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uthill-design-photography-service-scope"/>
    <w:p>
      <w:pPr>
        <w:pStyle w:val="Heading1"/>
      </w:pPr>
      <w:r>
        <w:t xml:space="preserve">Tuthill Design Photography — Service Scope</w:t>
      </w:r>
    </w:p>
    <w:p>
      <w:pPr>
        <w:pStyle w:val="FirstParagraph"/>
      </w:pPr>
      <w:r>
        <w:rPr>
          <w:b/>
          <w:bCs/>
        </w:rPr>
        <w:t xml:space="preserve">Operating brand:</w:t>
      </w:r>
      <w:r>
        <w:t xml:space="preserve"> </w:t>
      </w:r>
      <w:r>
        <w:t xml:space="preserve">Tuthill Design Photography (under Tuthill Design)</w:t>
      </w:r>
      <w:r>
        <w:t xml:space="preserve"> </w:t>
      </w:r>
      <w:r>
        <w:rPr>
          <w:b/>
          <w:bCs/>
        </w:rPr>
        <w:t xml:space="preserve">Marketing operator:</w:t>
      </w:r>
      <w:r>
        <w:t xml:space="preserve"> </w:t>
      </w:r>
      <w:r>
        <w:t xml:space="preserve">MBT (Measurably Better Things LLC)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Chase Pierson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rPr>
          <w:rStyle w:val="VerbatimChar"/>
        </w:rPr>
        <w:t xml:space="preserve">docs/partner-studios-pitch-2026-04-20.md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docs/THE_THESIS.md</w:t>
      </w:r>
    </w:p>
    <w:p>
      <w:r>
        <w:pict>
          <v:rect style="width:0;height:1.5pt" o:hralign="center" o:hrstd="t" o:hr="t"/>
        </w:pict>
      </w:r>
    </w:p>
    <w:bookmarkStart w:id="9" w:name="what-it-is"/>
    <w:p>
      <w:pPr>
        <w:pStyle w:val="Heading2"/>
      </w:pPr>
      <w:r>
        <w:t xml:space="preserve">1. What it is</w:t>
      </w:r>
    </w:p>
    <w:p>
      <w:pPr>
        <w:pStyle w:val="FirstParagraph"/>
      </w:pPr>
      <w:r>
        <w:t xml:space="preserve">A new service line inside Tuthill Design:</w:t>
      </w:r>
      <w:r>
        <w:t xml:space="preserve"> </w:t>
      </w:r>
      <w:r>
        <w:rPr>
          <w:b/>
          <w:bCs/>
        </w:rPr>
        <w:t xml:space="preserve">real estate photography</w:t>
      </w:r>
      <w:r>
        <w:t xml:space="preserve">, marketed and sold under the Tuthill Design brand, with distribution in two regions — the Hudson Valley and the Deep South (Natchez corridor + Blues Highway).</w:t>
      </w:r>
    </w:p>
    <w:p>
      <w:pPr>
        <w:pStyle w:val="BodyText"/>
      </w:pPr>
      <w:r>
        <w:t xml:space="preserve">It’s operationally distinct from</w:t>
      </w:r>
      <w:r>
        <w:t xml:space="preserve"> </w:t>
      </w:r>
      <w:r>
        <w:rPr>
          <w:b/>
          <w:bCs/>
        </w:rPr>
        <w:t xml:space="preserve">Chase Pierson Photography (CPP)</w:t>
      </w:r>
      <w:r>
        <w:t xml:space="preserve">, which keeps everything that isn’t real estate — portraits, events, editorial, fine art, brand photography, Big Muddy Magazine work, Blues Room show documentation, travel/place photography.</w:t>
      </w:r>
    </w:p>
    <w:p>
      <w:pPr>
        <w:pStyle w:val="BodyText"/>
      </w:pPr>
      <w:r>
        <w:t xml:space="preserve">The split in one line:</w:t>
      </w:r>
      <w:r>
        <w:t xml:space="preserve"> </w:t>
      </w:r>
      <w:r>
        <w:rPr>
          <w:b/>
          <w:bCs/>
        </w:rPr>
        <w:t xml:space="preserve">RE = Tuthill. Non-RE = CPP.</w:t>
      </w:r>
    </w:p>
    <w:p>
      <w:r>
        <w:pict>
          <v:rect style="width:0;height:1.5pt" o:hralign="center" o:hrstd="t" o:hr="t"/>
        </w:pict>
      </w:r>
    </w:p>
    <w:bookmarkEnd w:id="9"/>
    <w:bookmarkStart w:id="10" w:name="the-two-tier-booking-model"/>
    <w:p>
      <w:pPr>
        <w:pStyle w:val="Heading2"/>
      </w:pPr>
      <w:r>
        <w:t xml:space="preserve">2. The two-tier booking model</w:t>
      </w:r>
    </w:p>
    <w:p>
      <w:pPr>
        <w:pStyle w:val="FirstParagraph"/>
      </w:pPr>
      <w:r>
        <w:t xml:space="preserve">Every Tuthill Design Photography booking has two price tiers. The customer chooses: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Who shoots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Tuthill Design standard</w:t>
            </w:r>
          </w:p>
        </w:tc>
        <w:tc>
          <w:tcPr/>
          <w:p>
            <w:pPr>
              <w:pStyle w:val="Compact"/>
            </w:pPr>
            <w:r>
              <w:t xml:space="preserve">Market-competitive for the region</w:t>
            </w:r>
          </w:p>
        </w:tc>
        <w:tc>
          <w:tcPr/>
          <w:p>
            <w:pPr>
              <w:pStyle w:val="Compact"/>
            </w:pPr>
            <w:r>
              <w:t xml:space="preserve">Any Tuthill Design photographer (may or may not be Chase). Tuthill assigns based on availability, geography, and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Chase Pierson premium</w:t>
            </w:r>
          </w:p>
        </w:tc>
        <w:tc>
          <w:tcPr/>
          <w:p>
            <w:pPr>
              <w:pStyle w:val="Compact"/>
            </w:pPr>
            <w:r>
              <w:t xml:space="preserve">Higher. Reflects Chase’s track record + named-talent value.</w:t>
            </w:r>
          </w:p>
        </w:tc>
        <w:tc>
          <w:tcPr/>
          <w:p>
            <w:pPr>
              <w:pStyle w:val="Compact"/>
            </w:pPr>
            <w:r>
              <w:t xml:space="preserve">Chase personally. Booked inside the Tuthill system as a named upgrade.</w:t>
            </w:r>
          </w:p>
        </w:tc>
      </w:tr>
    </w:tbl>
    <w:p>
      <w:pPr>
        <w:pStyle w:val="BodyText"/>
      </w:pPr>
      <w:r>
        <w:t xml:space="preserve">Both tiers are bookable from the same Tuthill Design Photography surface. The client picks their tier at the point of booking. No dual funnel, no customer confusion.</w:t>
      </w:r>
    </w:p>
    <w:p>
      <w:pPr>
        <w:pStyle w:val="BodyText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- Tuthill Design gets a scalable service line that doesn’t require Chase for every shoot.</w:t>
      </w:r>
      <w:r>
        <w:t xml:space="preserve"> </w:t>
      </w:r>
      <w:r>
        <w:t xml:space="preserve">- Chase gets a premium-tier channel where his name and eye command a real premium without having to market CPP separately for RE work.</w:t>
      </w:r>
      <w:r>
        <w:t xml:space="preserve"> </w:t>
      </w:r>
      <w:r>
        <w:t xml:space="preserve">- The client gets a real choice —</w:t>
      </w:r>
      <w:r>
        <w:t xml:space="preserve"> </w:t>
      </w:r>
      <w:r>
        <w:t xml:space="preserve">“I want a professional Tuthill shoot”</w:t>
      </w:r>
      <w:r>
        <w:t xml:space="preserve"> </w:t>
      </w:r>
      <w:r>
        <w:t xml:space="preserve">vs. </w:t>
      </w:r>
      <w:r>
        <w:t xml:space="preserve">“I want Chase specifically.”</w:t>
      </w:r>
      <w:r>
        <w:t xml:space="preserve"> </w:t>
      </w:r>
      <w:r>
        <w:t xml:space="preserve">- Tuthill revenue compounds (more shoots possible because Chase isn’t the bottleneck).</w:t>
      </w:r>
      <w:r>
        <w:t xml:space="preserve"> </w:t>
      </w:r>
      <w:r>
        <w:t xml:space="preserve">- Chase’s time stays fractional on RE — the work routes to him only when the premium tier is selected.</w:t>
      </w:r>
    </w:p>
    <w:p>
      <w:r>
        <w:pict>
          <v:rect style="width:0;height:1.5pt" o:hralign="center" o:hrstd="t" o:hr="t"/>
        </w:pict>
      </w:r>
    </w:p>
    <w:bookmarkEnd w:id="10"/>
    <w:bookmarkStart w:id="11" w:name="Xda1c34e39f499b995417b16ef851a6710ded15d"/>
    <w:p>
      <w:pPr>
        <w:pStyle w:val="Heading2"/>
      </w:pPr>
      <w:r>
        <w:t xml:space="preserve">3. The baseline retainer — confirmed with Elijah + Miles 2026-04-20 PM</w:t>
      </w:r>
    </w:p>
    <w:p>
      <w:pPr>
        <w:pStyle w:val="FirstParagraph"/>
      </w:pPr>
      <w:r>
        <w:t xml:space="preserve">Separate from the photography service line’s booking math, MBT has locked a</w:t>
      </w:r>
      <w:r>
        <w:t xml:space="preserve"> </w:t>
      </w:r>
      <w:r>
        <w:rPr>
          <w:b/>
          <w:bCs/>
        </w:rPr>
        <w:t xml:space="preserve">$1,000/month bucket of hours at $50/hr = 20 hrs/month</w:t>
      </w:r>
      <w:r>
        <w:t xml:space="preserve"> </w:t>
      </w:r>
      <w:r>
        <w:t xml:space="preserve">with both Studio C Video and Tuthill Design. Each studio gets its own $1k/mo retainer against production + marketing work. Pattern matches the</w:t>
      </w:r>
      <w:r>
        <w:t xml:space="preserve"> </w:t>
      </w:r>
      <w:r>
        <w:t xml:space="preserve">“another Utopia-type account”</w:t>
      </w:r>
      <w:r>
        <w:t xml:space="preserve"> </w:t>
      </w:r>
      <w:r>
        <w:t xml:space="preserve">framing Chase has been using with Elijah.</w:t>
      </w:r>
    </w:p>
    <w:p>
      <w:pPr>
        <w:pStyle w:val="BodyText"/>
      </w:pPr>
      <w:r>
        <w:rPr>
          <w:b/>
          <w:bCs/>
        </w:rPr>
        <w:t xml:space="preserve">Start date: April 1, 2026</w:t>
      </w:r>
      <w:r>
        <w:t xml:space="preserve"> </w:t>
      </w:r>
      <w:r>
        <w:t xml:space="preserve">(backdated). The ramp-up and setup work already happening in April — scope docs, coordination calls, Cloudbeds onboarding prep, photography-tier pricing discussions, Sprinter wrap specs including the Studio C logo, 90-day plan alignment — all legitimately draws against April’s 20-hour allocation. Each studio has a full 20-hour bucket available for April even though we formalized on April 20; the setup-phase work that’s been happening is the work the retainer is paying for. May 1 forward, the monthly cadence runs clean.</w:t>
      </w:r>
    </w:p>
    <w:p>
      <w:pPr>
        <w:pStyle w:val="BodyText"/>
      </w:pPr>
      <w:r>
        <w:rPr>
          <w:b/>
          <w:bCs/>
        </w:rPr>
        <w:t xml:space="preserve">What the retainer covers:</w:t>
      </w:r>
      <w:r>
        <w:t xml:space="preserve"> </w:t>
      </w:r>
      <w:r>
        <w:t xml:space="preserve">- Production work for Big Muddy brands (Inn video, Magazine assets, Blues Room documentation, touring EPK cuts, Amy’s records + radio visuals on the Studio C side)</w:t>
      </w:r>
      <w:r>
        <w:t xml:space="preserve"> </w:t>
      </w:r>
      <w:r>
        <w:t xml:space="preserve">- Design work for Big Muddy brands (brand systems, print, collateral, logo refinements, the Sprinter wrap on the Tuthill side)</w:t>
      </w:r>
      <w:r>
        <w:t xml:space="preserve"> </w:t>
      </w:r>
      <w:r>
        <w:t xml:space="preserve">- Elijah’s ride-along during the Fiverr Cloudbeds rebuild (inside the Studio C bucket — this is how he learns the PMS well enough to become the Inn’s Tier-1 support)</w:t>
      </w:r>
      <w:r>
        <w:t xml:space="preserve"> </w:t>
      </w:r>
      <w:r>
        <w:t xml:space="preserve">- Per-event promotional asset production for the partner studios’ own outbound marketing</w:t>
      </w:r>
    </w:p>
    <w:p>
      <w:pPr>
        <w:pStyle w:val="BodyText"/>
      </w:pPr>
      <w:r>
        <w:rPr>
          <w:b/>
          <w:bCs/>
        </w:rPr>
        <w:t xml:space="preserve">What’s outside the retainer (separate engagements):</w:t>
      </w:r>
      <w:r>
        <w:t xml:space="preserve"> </w:t>
      </w:r>
      <w:r>
        <w:t xml:space="preserve">- Tuthill Design Photography shoots — billed per-shoot at the tiered rates below, not against the retainer bucket</w:t>
      </w:r>
      <w:r>
        <w:t xml:space="preserve"> </w:t>
      </w:r>
      <w:r>
        <w:t xml:space="preserve">- Studio C video productions that exceed the bucket (e.g. a full-day wedding video shoot) — billed as project work</w:t>
      </w:r>
      <w:r>
        <w:t xml:space="preserve"> </w:t>
      </w:r>
      <w:r>
        <w:t xml:space="preserve">- Major brand refreshes or multi-deliverable campaigns — scoped and priced separately</w:t>
      </w:r>
    </w:p>
    <w:p>
      <w:pPr>
        <w:pStyle w:val="BodyText"/>
      </w:pPr>
      <w:r>
        <w:rPr>
          <w:b/>
          <w:bCs/>
        </w:rPr>
        <w:t xml:space="preserve">How hours get tracked:</w:t>
      </w:r>
      <w:r>
        <w:t xml:space="preserve"> </w:t>
      </w:r>
      <w:r>
        <w:t xml:space="preserve">- Each studio keeps a simple shared hours log (Google Sheet or similar)</w:t>
      </w:r>
      <w:r>
        <w:t xml:space="preserve"> </w:t>
      </w:r>
      <w:r>
        <w:t xml:space="preserve">- Monthly true-up: hours used, hours banked, hours overflow</w:t>
      </w:r>
      <w:r>
        <w:t xml:space="preserve"> </w:t>
      </w:r>
      <w:r>
        <w:t xml:space="preserve">- Unused hours roll at most one month forward; then reset</w:t>
      </w:r>
      <w:r>
        <w:t xml:space="preserve"> </w:t>
      </w:r>
      <w:r>
        <w:t xml:space="preserve">- Overflow above 20 hrs/mo is billed at the same $50/hr rate as the retainer</w:t>
      </w:r>
      <w:r>
        <w:t xml:space="preserve"> </w:t>
      </w:r>
      <w:r>
        <w:t xml:space="preserve">- MBT reviews the backlog monthly with Elijah + Miles and adjusts priorities</w:t>
      </w:r>
    </w:p>
    <w:p>
      <w:pPr>
        <w:pStyle w:val="BodyText"/>
      </w:pPr>
      <w:r>
        <w:rPr>
          <w:b/>
          <w:bCs/>
        </w:rPr>
        <w:t xml:space="preserve">Ecosystem cost basis:</w:t>
      </w:r>
      <w:r>
        <w:t xml:space="preserve"> </w:t>
      </w:r>
      <w:r>
        <w:t xml:space="preserve">$1k/mo × 2 studios = $24k/yr total, matching the</w:t>
      </w:r>
      <w:r>
        <w:t xml:space="preserve"> </w:t>
      </w:r>
      <w:r>
        <w:t xml:space="preserve">“Studio C services $12k/yr”</w:t>
      </w:r>
      <w:r>
        <w:t xml:space="preserve"> </w:t>
      </w:r>
      <w:r>
        <w:t xml:space="preserve">+</w:t>
      </w:r>
      <w:r>
        <w:t xml:space="preserve"> </w:t>
      </w:r>
      <w:r>
        <w:t xml:space="preserve">“(implicit partner studio services)”</w:t>
      </w:r>
      <w:r>
        <w:t xml:space="preserve"> </w:t>
      </w:r>
      <w:r>
        <w:t xml:space="preserve">lines already carried in the break-even math. (The break-even table’s</w:t>
      </w:r>
      <w:r>
        <w:t xml:space="preserve"> </w:t>
      </w:r>
      <w:r>
        <w:t xml:space="preserve">“Studio C services”</w:t>
      </w:r>
      <w:r>
        <w:t xml:space="preserve"> </w:t>
      </w:r>
      <w:r>
        <w:t xml:space="preserve">line now covers both Studio C and Tuthill Design retainers, renamed on next revision.)</w:t>
      </w:r>
    </w:p>
    <w:p>
      <w:r>
        <w:pict>
          <v:rect style="width:0;height:1.5pt" o:hralign="center" o:hrstd="t" o:hr="t"/>
        </w:pict>
      </w:r>
    </w:p>
    <w:bookmarkEnd w:id="11"/>
    <w:bookmarkStart w:id="16" w:name="Xeaf5a576d816bede949d2777cee47d5af3c4c7b"/>
    <w:p>
      <w:pPr>
        <w:pStyle w:val="Heading2"/>
      </w:pPr>
      <w:r>
        <w:t xml:space="preserve">4. Photography service-line revenue flow (framework — exact splits TBD with Miles)</w:t>
      </w:r>
    </w:p>
    <w:bookmarkStart w:id="12" w:name="X3ab74e22e733d8dc6c11ba171959bd42334a3c2"/>
    <w:p>
      <w:pPr>
        <w:pStyle w:val="Heading3"/>
      </w:pPr>
      <w:r>
        <w:t xml:space="preserve">When the client books the Tuthill standard tier AND the assigned shooter is NOT Chase:</w:t>
      </w:r>
    </w:p>
    <w:p>
      <w:pPr>
        <w:pStyle w:val="Compact"/>
        <w:numPr>
          <w:ilvl w:val="0"/>
          <w:numId w:val="1001"/>
        </w:numPr>
      </w:pPr>
      <w:r>
        <w:t xml:space="preserve">Client pays Tuthill Design</w:t>
      </w:r>
    </w:p>
    <w:p>
      <w:pPr>
        <w:pStyle w:val="Compact"/>
        <w:numPr>
          <w:ilvl w:val="0"/>
          <w:numId w:val="1001"/>
        </w:numPr>
      </w:pPr>
      <w:r>
        <w:t xml:space="preserve">Tuthill Design pays the assigned photographer per the standard contractor rate</w:t>
      </w:r>
    </w:p>
    <w:p>
      <w:pPr>
        <w:pStyle w:val="Compact"/>
        <w:numPr>
          <w:ilvl w:val="0"/>
          <w:numId w:val="1001"/>
        </w:numPr>
      </w:pPr>
      <w:r>
        <w:t xml:space="preserve">Tuthill Design keeps the margin</w:t>
      </w:r>
    </w:p>
    <w:p>
      <w:pPr>
        <w:pStyle w:val="Compact"/>
        <w:numPr>
          <w:ilvl w:val="0"/>
          <w:numId w:val="1001"/>
        </w:numPr>
      </w:pPr>
      <w:r>
        <w:t xml:space="preserve">MBT receives the marketing-operator fee (TBD — flat or percentage)</w:t>
      </w:r>
    </w:p>
    <w:bookmarkEnd w:id="12"/>
    <w:bookmarkStart w:id="13" w:name="Xfb182c9bbdff4c403d543fb09f0260b9cb8d502"/>
    <w:p>
      <w:pPr>
        <w:pStyle w:val="Heading3"/>
      </w:pPr>
      <w:r>
        <w:t xml:space="preserve">When the client books the Tuthill standard tier AND the assigned shooter IS Chase:</w:t>
      </w:r>
    </w:p>
    <w:p>
      <w:pPr>
        <w:pStyle w:val="Compact"/>
        <w:numPr>
          <w:ilvl w:val="0"/>
          <w:numId w:val="1002"/>
        </w:numPr>
      </w:pPr>
      <w:r>
        <w:t xml:space="preserve">Client pays Tuthill Design the standard rate</w:t>
      </w:r>
    </w:p>
    <w:p>
      <w:pPr>
        <w:pStyle w:val="Compact"/>
        <w:numPr>
          <w:ilvl w:val="0"/>
          <w:numId w:val="1002"/>
        </w:numPr>
      </w:pPr>
      <w:r>
        <w:t xml:space="preserve">Chase is paid at Tuthill’s standard contractor rate (same as any other shooter)</w:t>
      </w:r>
    </w:p>
    <w:p>
      <w:pPr>
        <w:pStyle w:val="Compact"/>
        <w:numPr>
          <w:ilvl w:val="0"/>
          <w:numId w:val="1002"/>
        </w:numPr>
      </w:pPr>
      <w:r>
        <w:t xml:space="preserve">Chase’s premium brand is not in play at this tier</w:t>
      </w:r>
    </w:p>
    <w:bookmarkEnd w:id="13"/>
    <w:bookmarkStart w:id="14" w:name="Xb276a13ffbfec1ff7b2778cb4b8d404af855f61"/>
    <w:p>
      <w:pPr>
        <w:pStyle w:val="Heading3"/>
      </w:pPr>
      <w:r>
        <w:t xml:space="preserve">When the client books the Chase-premium tier:</w:t>
      </w:r>
    </w:p>
    <w:p>
      <w:pPr>
        <w:pStyle w:val="Compact"/>
        <w:numPr>
          <w:ilvl w:val="0"/>
          <w:numId w:val="1003"/>
        </w:numPr>
      </w:pPr>
      <w:r>
        <w:t xml:space="preserve">Client pays Tuthill Design the premium rate</w:t>
      </w:r>
    </w:p>
    <w:p>
      <w:pPr>
        <w:pStyle w:val="Compact"/>
        <w:numPr>
          <w:ilvl w:val="0"/>
          <w:numId w:val="1003"/>
        </w:numPr>
      </w:pPr>
      <w:r>
        <w:t xml:space="preserve">Chase is paid at his premium shoot rate (significantly higher than standard contractor rate)</w:t>
      </w:r>
    </w:p>
    <w:p>
      <w:pPr>
        <w:pStyle w:val="Compact"/>
        <w:numPr>
          <w:ilvl w:val="0"/>
          <w:numId w:val="1003"/>
        </w:numPr>
      </w:pPr>
      <w:r>
        <w:t xml:space="preserve">Tuthill keeps a coordination/delivery fee (smaller absolute margin; the premium belongs to Chase)</w:t>
      </w:r>
    </w:p>
    <w:p>
      <w:pPr>
        <w:pStyle w:val="Compact"/>
        <w:numPr>
          <w:ilvl w:val="0"/>
          <w:numId w:val="1003"/>
        </w:numPr>
      </w:pPr>
      <w:r>
        <w:t xml:space="preserve">MBT receives the marketing-operator fee</w:t>
      </w:r>
    </w:p>
    <w:bookmarkEnd w:id="14"/>
    <w:bookmarkStart w:id="15" w:name="Xd97103b897904bb05b7ad2ef6d385dffa90dbd1"/>
    <w:p>
      <w:pPr>
        <w:pStyle w:val="Heading3"/>
      </w:pPr>
      <w:r>
        <w:t xml:space="preserve">Illustrative numbers (to be locked with Miles):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Client pays</w:t>
            </w:r>
          </w:p>
        </w:tc>
        <w:tc>
          <w:tcPr/>
          <w:p>
            <w:pPr>
              <w:pStyle w:val="Compact"/>
            </w:pPr>
            <w:r>
              <w:t xml:space="preserve">Tuthill keeps</w:t>
            </w:r>
          </w:p>
        </w:tc>
        <w:tc>
          <w:tcPr/>
          <w:p>
            <w:pPr>
              <w:pStyle w:val="Compact"/>
            </w:pPr>
            <w:r>
              <w:t xml:space="preserve">Chase paid</w:t>
            </w:r>
          </w:p>
        </w:tc>
        <w:tc>
          <w:tcPr/>
          <w:p>
            <w:pPr>
              <w:pStyle w:val="Compact"/>
            </w:pPr>
            <w:r>
              <w:t xml:space="preserve">MBT marketing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Tuthill standard (non-Chase shooter)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$400 (to assigned photographer)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Tuthill standard (Chase shoots)</w:t>
            </w:r>
          </w:p>
        </w:tc>
        <w:tc>
          <w:tcPr/>
          <w:p>
            <w:pPr>
              <w:pStyle w:val="Compact"/>
            </w:pPr>
            <w:r>
              <w:t xml:space="preserve">$800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$400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Chase-premium tier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$300</w:t>
            </w:r>
          </w:p>
        </w:tc>
        <w:tc>
          <w:tcPr/>
          <w:p>
            <w:pPr>
              <w:pStyle w:val="Compact"/>
            </w:pPr>
            <w:r>
              <w:t xml:space="preserve">$1,100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</w:tbl>
    <w:p>
      <w:pPr>
        <w:pStyle w:val="BodyText"/>
      </w:pPr>
      <w:r>
        <w:t xml:space="preserve">These are placeholders. Real numbers depend on the Hudson Valley vs. Deep South market, deliverable package (photos + drone + twilight?), and whatever Miles and Chase agree is fair.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geographic-strategy"/>
    <w:p>
      <w:pPr>
        <w:pStyle w:val="Heading2"/>
      </w:pPr>
      <w:r>
        <w:t xml:space="preserve">5. Geographic strategy</w:t>
      </w:r>
    </w:p>
    <w:bookmarkStart w:id="17" w:name="hudson-valley-mayoctober-peak"/>
    <w:p>
      <w:pPr>
        <w:pStyle w:val="Heading3"/>
      </w:pPr>
      <w:r>
        <w:t xml:space="preserve">Hudson Valley (May–October peak)</w:t>
      </w:r>
    </w:p>
    <w:p>
      <w:pPr>
        <w:pStyle w:val="Compact"/>
        <w:numPr>
          <w:ilvl w:val="0"/>
          <w:numId w:val="1004"/>
        </w:numPr>
      </w:pPr>
      <w:r>
        <w:t xml:space="preserve">Primary corridor: Woodstock, Kingston, New Paltz, Hudson, Rhinebeck, Beacon</w:t>
      </w:r>
    </w:p>
    <w:p>
      <w:pPr>
        <w:pStyle w:val="Compact"/>
        <w:numPr>
          <w:ilvl w:val="0"/>
          <w:numId w:val="1004"/>
        </w:numPr>
      </w:pPr>
      <w:r>
        <w:t xml:space="preserve">Existing relationships to re-engage: Chase’s prior RE clients (Warren Realty, Halter Associates, various brokers)</w:t>
      </w:r>
    </w:p>
    <w:p>
      <w:pPr>
        <w:pStyle w:val="Compact"/>
        <w:numPr>
          <w:ilvl w:val="0"/>
          <w:numId w:val="1004"/>
        </w:numPr>
      </w:pPr>
      <w:r>
        <w:t xml:space="preserve">Tracy’s biz dev layered on top</w:t>
      </w:r>
    </w:p>
    <w:p>
      <w:pPr>
        <w:pStyle w:val="Compact"/>
        <w:numPr>
          <w:ilvl w:val="0"/>
          <w:numId w:val="1004"/>
        </w:numPr>
      </w:pPr>
      <w:r>
        <w:t xml:space="preserve">Counter-seasonal with Deep South</w:t>
      </w:r>
    </w:p>
    <w:bookmarkEnd w:id="17"/>
    <w:bookmarkStart w:id="18" w:name="deep-south-octoberapril-peak"/>
    <w:p>
      <w:pPr>
        <w:pStyle w:val="Heading3"/>
      </w:pPr>
      <w:r>
        <w:t xml:space="preserve">Deep South (October–April peak)</w:t>
      </w:r>
    </w:p>
    <w:p>
      <w:pPr>
        <w:pStyle w:val="Compact"/>
        <w:numPr>
          <w:ilvl w:val="0"/>
          <w:numId w:val="1005"/>
        </w:numPr>
      </w:pPr>
      <w:r>
        <w:t xml:space="preserve">Primary corridor: Natchez + Blues Highway + Delta</w:t>
      </w:r>
    </w:p>
    <w:p>
      <w:pPr>
        <w:pStyle w:val="Compact"/>
        <w:numPr>
          <w:ilvl w:val="0"/>
          <w:numId w:val="1005"/>
        </w:numPr>
      </w:pPr>
      <w:r>
        <w:t xml:space="preserve">Anchor: Paul Green Realty pilot (5-agent package, in the 90-day plan)</w:t>
      </w:r>
    </w:p>
    <w:p>
      <w:pPr>
        <w:pStyle w:val="Compact"/>
        <w:numPr>
          <w:ilvl w:val="0"/>
          <w:numId w:val="1005"/>
        </w:numPr>
      </w:pPr>
      <w:r>
        <w:t xml:space="preserve">Vicki Wolpert’s Woodstock broker directory is a cross-region reference — she refers south, we refer north</w:t>
      </w:r>
    </w:p>
    <w:p>
      <w:pPr>
        <w:pStyle w:val="Compact"/>
        <w:numPr>
          <w:ilvl w:val="0"/>
          <w:numId w:val="1005"/>
        </w:numPr>
      </w:pPr>
      <w:r>
        <w:t xml:space="preserve">New territory for Tuthill — this is the</w:t>
      </w:r>
      <w:r>
        <w:t xml:space="preserve"> </w:t>
      </w:r>
      <w:r>
        <w:t xml:space="preserve">“amplify into a new market”</w:t>
      </w:r>
      <w:r>
        <w:t xml:space="preserve"> </w:t>
      </w:r>
      <w:r>
        <w:t xml:space="preserve">play the partner-studios-pitch describes</w:t>
      </w:r>
    </w:p>
    <w:bookmarkEnd w:id="18"/>
    <w:bookmarkStart w:id="19" w:name="counter-seasonality-in-practice"/>
    <w:p>
      <w:pPr>
        <w:pStyle w:val="Heading3"/>
      </w:pPr>
      <w:r>
        <w:t xml:space="preserve">Counter-seasonality in practice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Hudson Valley</w:t>
            </w:r>
          </w:p>
        </w:tc>
        <w:tc>
          <w:tcPr/>
          <w:p>
            <w:pPr>
              <w:pStyle w:val="Compact"/>
            </w:pPr>
            <w:r>
              <w:t xml:space="preserve">Deep South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 (May–Jul)</w:t>
            </w:r>
          </w:p>
        </w:tc>
        <w:tc>
          <w:tcPr/>
          <w:p>
            <w:pPr>
              <w:pStyle w:val="Compact"/>
            </w:pPr>
            <w:r>
              <w:t xml:space="preserve">Peak RE season — listings, rentals, Airbnb</w:t>
            </w:r>
          </w:p>
        </w:tc>
        <w:tc>
          <w:tcPr/>
          <w:p>
            <w:pPr>
              <w:pStyle w:val="Compact"/>
            </w:pPr>
            <w:r>
              <w:t xml:space="preserve">Slow — heat + slow MS tourism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 (Aug–Oct)</w:t>
            </w:r>
          </w:p>
        </w:tc>
        <w:tc>
          <w:tcPr/>
          <w:p>
            <w:pPr>
              <w:pStyle w:val="Compact"/>
            </w:pPr>
            <w:r>
              <w:t xml:space="preserve">Strong fall listings</w:t>
            </w:r>
          </w:p>
        </w:tc>
        <w:tc>
          <w:tcPr/>
          <w:p>
            <w:pPr>
              <w:pStyle w:val="Compact"/>
            </w:pPr>
            <w:r>
              <w:t xml:space="preserve">Ramping into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 (Nov–Jan)</w:t>
            </w:r>
          </w:p>
        </w:tc>
        <w:tc>
          <w:tcPr/>
          <w:p>
            <w:pPr>
              <w:pStyle w:val="Compact"/>
            </w:pPr>
            <w:r>
              <w:t xml:space="preserve">Winter slow</w:t>
            </w:r>
          </w:p>
        </w:tc>
        <w:tc>
          <w:tcPr/>
          <w:p>
            <w:pPr>
              <w:pStyle w:val="Compact"/>
            </w:pPr>
            <w:r>
              <w:t xml:space="preserve">Peak — holiday tourism + event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(Feb–Apr)</w:t>
            </w:r>
          </w:p>
        </w:tc>
        <w:tc>
          <w:tcPr/>
          <w:p>
            <w:pPr>
              <w:pStyle w:val="Compact"/>
            </w:pPr>
            <w:r>
              <w:t xml:space="preserve">Pre-peak warm-up</w:t>
            </w:r>
          </w:p>
        </w:tc>
        <w:tc>
          <w:tcPr/>
          <w:p>
            <w:pPr>
              <w:pStyle w:val="Compact"/>
            </w:pPr>
            <w:r>
              <w:t xml:space="preserve">Still strong — spring tourism</w:t>
            </w:r>
          </w:p>
        </w:tc>
      </w:tr>
    </w:tbl>
    <w:p>
      <w:pPr>
        <w:pStyle w:val="BodyText"/>
      </w:pPr>
      <w:r>
        <w:t xml:space="preserve">One team, two regions, near-full-year utilization. That’s the shape.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marketing-push-first-90-days"/>
    <w:p>
      <w:pPr>
        <w:pStyle w:val="Heading2"/>
      </w:pPr>
      <w:r>
        <w:t xml:space="preserve">6. Marketing push — first 90 days</w:t>
      </w:r>
    </w:p>
    <w:p>
      <w:pPr>
        <w:pStyle w:val="FirstParagraph"/>
      </w:pPr>
      <w:r>
        <w:rPr>
          <w:b/>
          <w:bCs/>
        </w:rPr>
        <w:t xml:space="preserve">Channels: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Tracy’s biz dev / CRM</w:t>
            </w:r>
          </w:p>
        </w:tc>
        <w:tc>
          <w:tcPr/>
          <w:p>
            <w:pPr>
              <w:pStyle w:val="Compact"/>
            </w:pPr>
            <w:r>
              <w:t xml:space="preserve">Direct outreach to brokers + property managers</w:t>
            </w:r>
          </w:p>
        </w:tc>
        <w:tc>
          <w:tcPr/>
          <w:p>
            <w:pPr>
              <w:pStyle w:val="Compact"/>
            </w:pPr>
            <w:r>
              <w:t xml:space="preserve">Tracy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Tuthill Design portfolio page (web)</w:t>
            </w:r>
          </w:p>
        </w:tc>
        <w:tc>
          <w:tcPr/>
          <w:p>
            <w:pPr>
              <w:pStyle w:val="Compact"/>
            </w:pPr>
            <w:r>
              <w:t xml:space="preserve">Service catalog + booking surface</w:t>
            </w:r>
          </w:p>
        </w:tc>
        <w:tc>
          <w:tcPr/>
          <w:p>
            <w:pPr>
              <w:pStyle w:val="Compact"/>
            </w:pPr>
            <w:r>
              <w:t xml:space="preserve">MBT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South Directory (as applicable)</w:t>
            </w:r>
          </w:p>
        </w:tc>
        <w:tc>
          <w:tcPr/>
          <w:p>
            <w:pPr>
              <w:pStyle w:val="Compact"/>
            </w:pPr>
            <w:r>
              <w:t xml:space="preserve">Directory listing for RE services</w:t>
            </w:r>
          </w:p>
        </w:tc>
        <w:tc>
          <w:tcPr/>
          <w:p>
            <w:pPr>
              <w:pStyle w:val="Compact"/>
            </w:pPr>
            <w:r>
              <w:t xml:space="preserve">MBT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Muddy Magazine</w:t>
            </w:r>
          </w:p>
        </w:tc>
        <w:tc>
          <w:tcPr/>
          <w:p>
            <w:pPr>
              <w:pStyle w:val="Compact"/>
            </w:pPr>
            <w:r>
              <w:t xml:space="preserve">Editorial coverage of notable properties</w:t>
            </w:r>
          </w:p>
        </w:tc>
        <w:tc>
          <w:tcPr/>
          <w:p>
            <w:pPr>
              <w:pStyle w:val="Compact"/>
            </w:pPr>
            <w:r>
              <w:t xml:space="preserve">Tracy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 C Video cross-pollination</w:t>
            </w:r>
          </w:p>
        </w:tc>
        <w:tc>
          <w:tcPr/>
          <w:p>
            <w:pPr>
              <w:pStyle w:val="Compact"/>
            </w:pPr>
            <w:r>
              <w:t xml:space="preserve">Video walkthrough upsell bundle</w:t>
            </w:r>
          </w:p>
        </w:tc>
        <w:tc>
          <w:tcPr/>
          <w:p>
            <w:pPr>
              <w:pStyle w:val="Compact"/>
            </w:pPr>
            <w:r>
              <w:t xml:space="preserve">Elijah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Paul Green Realty pilot</w:t>
            </w:r>
          </w:p>
        </w:tc>
        <w:tc>
          <w:tcPr/>
          <w:p>
            <w:pPr>
              <w:pStyle w:val="Compact"/>
            </w:pPr>
            <w:r>
              <w:t xml:space="preserve">First 5-agent package</w:t>
            </w:r>
          </w:p>
        </w:tc>
        <w:tc>
          <w:tcPr/>
          <w:p>
            <w:pPr>
              <w:pStyle w:val="Compact"/>
            </w:pPr>
            <w:r>
              <w:t xml:space="preserve">Chase + Tracy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Vicki Wolpert referrals</w:t>
            </w:r>
          </w:p>
        </w:tc>
        <w:tc>
          <w:tcPr/>
          <w:p>
            <w:pPr>
              <w:pStyle w:val="Compact"/>
            </w:pPr>
            <w:r>
              <w:t xml:space="preserve">Cross-region agent referrals</w:t>
            </w:r>
          </w:p>
        </w:tc>
        <w:tc>
          <w:tcPr/>
          <w:p>
            <w:pPr>
              <w:pStyle w:val="Compact"/>
            </w:pPr>
            <w:r>
              <w:t xml:space="preserve">Vicki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Explicit NOT in scope for the first 90 days:</w:t>
      </w:r>
      <w:r>
        <w:t xml:space="preserve"> </w:t>
      </w:r>
      <w:r>
        <w:t xml:space="preserve">- Paid search / Google Ads on generic RE photography keywords (expensive, low conversion without local trust)</w:t>
      </w:r>
      <w:r>
        <w:t xml:space="preserve"> </w:t>
      </w:r>
      <w:r>
        <w:t xml:space="preserve">- Zillow / Redfin integration (not relevant for boutique/independent brokerage work)</w:t>
      </w:r>
      <w:r>
        <w:t xml:space="preserve"> </w:t>
      </w:r>
      <w:r>
        <w:t xml:space="preserve">- Third-party marketplace listings (Thumbtack, etc. — race-to-bottom pricing)</w:t>
      </w:r>
    </w:p>
    <w:p>
      <w:pPr>
        <w:pStyle w:val="BodyText"/>
      </w:pPr>
      <w:r>
        <w:rPr>
          <w:b/>
          <w:bCs/>
        </w:rPr>
        <w:t xml:space="preserve">Outreach cadence (Week 1 of the 90-day plan, Tracy owns):</w:t>
      </w:r>
      <w:r>
        <w:t xml:space="preserve"> </w:t>
      </w:r>
      <w:r>
        <w:t xml:space="preserve">- Split the existing photography-past-client list into (a) RE clients → Tuthill Design Photography pitch, (b) non-RE → CPP re-engagement</w:t>
      </w:r>
      <w:r>
        <w:t xml:space="preserve"> </w:t>
      </w:r>
      <w:r>
        <w:t xml:space="preserve">- RE re-engagement email opens:</w:t>
      </w:r>
      <w:r>
        <w:t xml:space="preserve"> </w:t>
      </w:r>
      <w:r>
        <w:t xml:space="preserve">“Chase is back to shooting in [region]. Tuthill Design Photography is the new home for his real estate work, with a two-tier booking (Tuthill standard rate or Chase-premium tier). Here’s the scope + pricing.”</w:t>
      </w:r>
      <w:r>
        <w:t xml:space="preserve"> </w:t>
      </w:r>
      <w:r>
        <w:t xml:space="preserve">- Non-RE re-engagement stays under CPP brand</w:t>
      </w:r>
    </w:p>
    <w:p>
      <w:r>
        <w:pict>
          <v:rect style="width:0;height:1.5pt" o:hralign="center" o:hrstd="t" o:hr="t"/>
        </w:pict>
      </w:r>
    </w:p>
    <w:bookmarkEnd w:id="21"/>
    <w:bookmarkStart w:id="22" w:name="operational-workflow"/>
    <w:p>
      <w:pPr>
        <w:pStyle w:val="Heading2"/>
      </w:pPr>
      <w:r>
        <w:t xml:space="preserve">7. Operational workflow</w:t>
      </w:r>
    </w:p>
    <w:p>
      <w:pPr>
        <w:pStyle w:val="FirstParagraph"/>
      </w:pPr>
      <w:r>
        <w:rPr>
          <w:b/>
          <w:bCs/>
        </w:rPr>
        <w:t xml:space="preserve">Intake</w:t>
      </w:r>
      <w:r>
        <w:t xml:space="preserve"> </w:t>
      </w:r>
      <w:r>
        <w:t xml:space="preserve">(any channel):</w:t>
      </w:r>
      <w:r>
        <w:t xml:space="preserve"> </w:t>
      </w:r>
      <w:r>
        <w:t xml:space="preserve">1. Client lands on Tuthill Design Photography booking page or contacts Tracy</w:t>
      </w:r>
      <w:r>
        <w:t xml:space="preserve"> </w:t>
      </w:r>
      <w:r>
        <w:t xml:space="preserve">2. Chooses property scope (square footage, rooms, drone yes/no, twilight yes/no, video yes/no)</w:t>
      </w:r>
      <w:r>
        <w:t xml:space="preserve"> </w:t>
      </w:r>
      <w:r>
        <w:t xml:space="preserve">3. Chooses tier: Tuthill standard vs. Chase-premium</w:t>
      </w:r>
      <w:r>
        <w:t xml:space="preserve"> </w:t>
      </w:r>
      <w:r>
        <w:t xml:space="preserve">4. Chooses date</w:t>
      </w:r>
      <w:r>
        <w:t xml:space="preserve"> </w:t>
      </w:r>
      <w:r>
        <w:t xml:space="preserve">5. Deposit collected via Stripe</w:t>
      </w:r>
    </w:p>
    <w:p>
      <w:pPr>
        <w:pStyle w:val="BodyText"/>
      </w:pPr>
      <w:r>
        <w:rPr>
          <w:b/>
          <w:bCs/>
        </w:rPr>
        <w:t xml:space="preserve">Assignment</w:t>
      </w:r>
      <w:r>
        <w:t xml:space="preserve"> </w:t>
      </w:r>
      <w:r>
        <w:t xml:space="preserve">(Tuthill operations):</w:t>
      </w:r>
      <w:r>
        <w:t xml:space="preserve"> </w:t>
      </w:r>
      <w:r>
        <w:t xml:space="preserve">- Tuthill-standard tier → Tuthill assigns from available pool based on date + geography</w:t>
      </w:r>
      <w:r>
        <w:t xml:space="preserve"> </w:t>
      </w:r>
      <w:r>
        <w:t xml:space="preserve">- Chase-premium tier → Chase personally, calendar-locked</w:t>
      </w:r>
      <w:r>
        <w:t xml:space="preserve"> </w:t>
      </w:r>
      <w:r>
        <w:t xml:space="preserve">- If Chase-premium is requested but Chase is unavailable on the requested date, client can either reschedule or drop to standard rate with different shooter (clearly communicated at booking)</w:t>
      </w:r>
    </w:p>
    <w:p>
      <w:pPr>
        <w:pStyle w:val="BodyText"/>
      </w:pPr>
      <w:r>
        <w:rPr>
          <w:b/>
          <w:bCs/>
        </w:rPr>
        <w:t xml:space="preserve">Delivery</w:t>
      </w:r>
      <w:r>
        <w:t xml:space="preserve"> </w:t>
      </w:r>
      <w:r>
        <w:t xml:space="preserve">(Tuthill standardized):</w:t>
      </w:r>
      <w:r>
        <w:t xml:space="preserve"> </w:t>
      </w:r>
      <w:r>
        <w:t xml:space="preserve">- Raw capture handled by assigned shooter</w:t>
      </w:r>
      <w:r>
        <w:t xml:space="preserve"> </w:t>
      </w:r>
      <w:r>
        <w:t xml:space="preserve">- Edits + color grading done by Tuthill’s editing workflow (standardized look for the brand regardless of shooter)</w:t>
      </w:r>
      <w:r>
        <w:t xml:space="preserve"> </w:t>
      </w:r>
      <w:r>
        <w:t xml:space="preserve">- Delivery: Tuthill-branded gallery, 48–72 hour turnaround for standard, 72-hour for premium with Chase’s personal selects/edits highlighted</w:t>
      </w:r>
      <w:r>
        <w:t xml:space="preserve"> </w:t>
      </w:r>
      <w:r>
        <w:t xml:space="preserve">- Client gets Tuthill Design Photography delivery, consistent with brand</w:t>
      </w:r>
    </w:p>
    <w:p>
      <w:pPr>
        <w:pStyle w:val="BodyText"/>
      </w:pPr>
      <w:r>
        <w:rPr>
          <w:b/>
          <w:bCs/>
        </w:rPr>
        <w:t xml:space="preserve">Studio C Video upsell:</w:t>
      </w:r>
      <w:r>
        <w:t xml:space="preserve"> </w:t>
      </w:r>
      <w:r>
        <w:t xml:space="preserve">- At booking or at delivery, customer offered video walkthrough add-on</w:t>
      </w:r>
      <w:r>
        <w:t xml:space="preserve"> </w:t>
      </w:r>
      <w:r>
        <w:t xml:space="preserve">- Elijah / Studio C fulfills</w:t>
      </w:r>
      <w:r>
        <w:t xml:space="preserve"> </w:t>
      </w:r>
      <w:r>
        <w:t xml:space="preserve">- Creates a natural Tuthill + Studio C bundle under the partner-amplification thesis</w:t>
      </w:r>
    </w:p>
    <w:p>
      <w:r>
        <w:pict>
          <v:rect style="width:0;height:1.5pt" o:hralign="center" o:hrstd="t" o:hr="t"/>
        </w:pict>
      </w:r>
    </w:p>
    <w:bookmarkEnd w:id="22"/>
    <w:bookmarkStart w:id="23" w:name="X46237f58c98a1575c8d12fe36d51cca78694fb3"/>
    <w:p>
      <w:pPr>
        <w:pStyle w:val="Heading2"/>
      </w:pPr>
      <w:r>
        <w:t xml:space="preserve">8. What Tuthill Design (Miles) needs to agree to</w:t>
      </w:r>
    </w:p>
    <w:p>
      <w:pPr>
        <w:pStyle w:val="FirstParagraph"/>
      </w:pPr>
      <w:r>
        <w:t xml:space="preserve">Before this ships, Chase and Miles have a 30-minute alignment call covering: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Brand use</w:t>
      </w:r>
      <w:r>
        <w:t xml:space="preserve"> </w:t>
      </w:r>
      <w:r>
        <w:t xml:space="preserve">— Tuthill Design Photography is a Tuthill-branded service; does Miles approve the brand-extension and the two-tier pricing model?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Operational ownership</w:t>
      </w:r>
      <w:r>
        <w:t xml:space="preserve"> </w:t>
      </w:r>
      <w:r>
        <w:t xml:space="preserve">— who owns shooter assignment, editing workflow, client delivery? Tuthill or MBT?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Revenue share splits</w:t>
      </w:r>
      <w:r>
        <w:t xml:space="preserve"> </w:t>
      </w:r>
      <w:r>
        <w:t xml:space="preserve">— exact percentages on each tier; MBT marketing-operator fee 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Shooter pool</w:t>
      </w:r>
      <w:r>
        <w:t xml:space="preserve"> </w:t>
      </w:r>
      <w:r>
        <w:t xml:space="preserve">— does Tuthill recruit standard-tier photographers, or does MBT handle 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Reporting cadence</w:t>
      </w:r>
      <w:r>
        <w:t xml:space="preserve"> </w:t>
      </w:r>
      <w:r>
        <w:t xml:space="preserve">— how often does Tuthill see booking pipeline and revenue split?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Exit clause</w:t>
      </w:r>
      <w:r>
        <w:t xml:space="preserve"> </w:t>
      </w:r>
      <w:r>
        <w:t xml:space="preserve">— if either side wants out, what’s the notice period + obligations to open bookings?</w:t>
      </w:r>
    </w:p>
    <w:p>
      <w:pPr>
        <w:pStyle w:val="FirstParagraph"/>
      </w:pPr>
      <w:r>
        <w:t xml:space="preserve">The partner-studios-pitch already frames the larger relationship. This call is the concrete product-level agreement inside that frame.</w:t>
      </w:r>
    </w:p>
    <w:p>
      <w:r>
        <w:pict>
          <v:rect style="width:0;height:1.5pt" o:hralign="center" o:hrstd="t" o:hr="t"/>
        </w:pict>
      </w:r>
    </w:p>
    <w:bookmarkEnd w:id="23"/>
    <w:bookmarkStart w:id="24" w:name="X0bf9cc15911c230d50f008db418affe116c47c4"/>
    <w:p>
      <w:pPr>
        <w:pStyle w:val="Heading2"/>
      </w:pPr>
      <w:r>
        <w:t xml:space="preserve">9. Chase Pierson Photography (CPP) — scope, refined</w:t>
      </w:r>
    </w:p>
    <w:p>
      <w:pPr>
        <w:pStyle w:val="FirstParagraph"/>
      </w:pPr>
      <w:r>
        <w:t xml:space="preserve">Under the new split, CPP is</w:t>
      </w:r>
      <w:r>
        <w:t xml:space="preserve"> </w:t>
      </w:r>
      <w:r>
        <w:rPr>
          <w:b/>
          <w:bCs/>
        </w:rPr>
        <w:t xml:space="preserve">everything non-real-estate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Portraits (headshots, family, executive, editorial)</w:t>
      </w:r>
    </w:p>
    <w:p>
      <w:pPr>
        <w:pStyle w:val="Compact"/>
        <w:numPr>
          <w:ilvl w:val="0"/>
          <w:numId w:val="1007"/>
        </w:numPr>
      </w:pPr>
      <w:r>
        <w:t xml:space="preserve">Events (weddings — the wedding package from the 90-day plan lives here — corporate events, private events, tour documentation)</w:t>
      </w:r>
    </w:p>
    <w:p>
      <w:pPr>
        <w:pStyle w:val="Compact"/>
        <w:numPr>
          <w:ilvl w:val="0"/>
          <w:numId w:val="1007"/>
        </w:numPr>
      </w:pPr>
      <w:r>
        <w:t xml:space="preserve">Fine art + gallery print sales (Chase Pierson Photography gallery, ongoing)</w:t>
      </w:r>
    </w:p>
    <w:p>
      <w:pPr>
        <w:pStyle w:val="Compact"/>
        <w:numPr>
          <w:ilvl w:val="0"/>
          <w:numId w:val="1007"/>
        </w:numPr>
      </w:pPr>
      <w:r>
        <w:t xml:space="preserve">Editorial assignments (Big Muddy Magazine, outside editorial)</w:t>
      </w:r>
    </w:p>
    <w:p>
      <w:pPr>
        <w:pStyle w:val="Compact"/>
        <w:numPr>
          <w:ilvl w:val="0"/>
          <w:numId w:val="1007"/>
        </w:numPr>
      </w:pPr>
      <w:r>
        <w:t xml:space="preserve">Brand / commercial photography for non-RE brands</w:t>
      </w:r>
    </w:p>
    <w:p>
      <w:pPr>
        <w:pStyle w:val="Compact"/>
        <w:numPr>
          <w:ilvl w:val="0"/>
          <w:numId w:val="1007"/>
        </w:numPr>
      </w:pPr>
      <w:r>
        <w:t xml:space="preserve">Travel / place photography (the Mississippi stock footage pipeline, the Bearsville/Catskills archive)</w:t>
      </w:r>
    </w:p>
    <w:p>
      <w:pPr>
        <w:pStyle w:val="Compact"/>
        <w:numPr>
          <w:ilvl w:val="0"/>
          <w:numId w:val="1007"/>
        </w:numPr>
      </w:pPr>
      <w:r>
        <w:t xml:space="preserve">Blues Room + Studio C live shoot documentation</w:t>
      </w:r>
    </w:p>
    <w:p>
      <w:pPr>
        <w:pStyle w:val="FirstParagraph"/>
      </w:pPr>
      <w:r>
        <w:t xml:space="preserve">CPP keeps its brand, its gallery, its existing marketing surface, and its client relationships.</w:t>
      </w:r>
    </w:p>
    <w:p>
      <w:pPr>
        <w:pStyle w:val="BodyText"/>
      </w:pPr>
      <w:r>
        <w:rPr>
          <w:b/>
          <w:bCs/>
        </w:rPr>
        <w:t xml:space="preserve">What CPP is NOT doing anymore:</w:t>
      </w:r>
      <w:r>
        <w:t xml:space="preserve"> </w:t>
      </w:r>
      <w:r>
        <w:t xml:space="preserve">real estate listing photography. Those leads route to Tuthill Design Photography.</w:t>
      </w:r>
    </w:p>
    <w:p>
      <w:r>
        <w:pict>
          <v:rect style="width:0;height:1.5pt" o:hralign="center" o:hrstd="t" o:hr="t"/>
        </w:pict>
      </w:r>
    </w:p>
    <w:bookmarkEnd w:id="24"/>
    <w:bookmarkStart w:id="25" w:name="Xeb4c605fb147c1e6ea7707226ad797dfb38f106"/>
    <w:p>
      <w:pPr>
        <w:pStyle w:val="Heading2"/>
      </w:pPr>
      <w:r>
        <w:t xml:space="preserve">10. Entity-structure decision for CPP (recommendation)</w:t>
      </w:r>
    </w:p>
    <w:p>
      <w:pPr>
        <w:pStyle w:val="FirstParagraph"/>
      </w:pPr>
      <w:r>
        <w:rPr>
          <w:b/>
          <w:bCs/>
        </w:rPr>
        <w:t xml:space="preserve">Three options on the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Rename FarleyPierson LLC → Chase Pierson Photography LLC</w:t>
            </w:r>
          </w:p>
        </w:tc>
        <w:tc>
          <w:tcPr/>
          <w:p>
            <w:pPr>
              <w:pStyle w:val="Compact"/>
            </w:pPr>
            <w:r>
              <w:t xml:space="preserve">Keep the NY entity + EIN (81-4280721), file an amendment to change the name</w:t>
            </w:r>
          </w:p>
        </w:tc>
        <w:tc>
          <w:tcPr/>
          <w:p>
            <w:pPr>
              <w:pStyle w:val="Compact"/>
            </w:pPr>
            <w:r>
              <w:t xml:space="preserve">Minimal disruption; EIN preserved; dedicated entity for CPP</w:t>
            </w:r>
          </w:p>
        </w:tc>
        <w:tc>
          <w:tcPr/>
          <w:p>
            <w:pPr>
              <w:pStyle w:val="Compact"/>
            </w:pPr>
            <w:r>
              <w:t xml:space="preserve">NY filing fee + time; adds an ongoing LLC to maintain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Close FarleyPierson LLC. Run CPP as a DBA (</w:t>
            </w:r>
            <w:r>
              <w:rPr>
                <w:b/>
                <w:bCs/>
              </w:rPr>
              <w:t xml:space="preserve">“doing business as”</w:t>
            </w:r>
            <w:r>
              <w:rPr>
                <w:b/>
                <w:bCs/>
              </w:rPr>
              <w:t xml:space="preserve">) of MBT</w:t>
            </w:r>
          </w:p>
        </w:tc>
        <w:tc>
          <w:tcPr/>
          <w:p>
            <w:pPr>
              <w:pStyle w:val="Compact"/>
            </w:pPr>
            <w:r>
              <w:t xml:space="preserve">MBT = legal operating entity;</w:t>
            </w:r>
            <w:r>
              <w:t xml:space="preserve"> </w:t>
            </w:r>
            <w:r>
              <w:t xml:space="preserve">“Chase Pierson Photography”</w:t>
            </w:r>
            <w:r>
              <w:t xml:space="preserve"> </w:t>
            </w:r>
            <w:r>
              <w:t xml:space="preserve">is a DBA registered in whatever state MBT operates in</w:t>
            </w:r>
          </w:p>
        </w:tc>
        <w:tc>
          <w:tcPr/>
          <w:p>
            <w:pPr>
              <w:pStyle w:val="Compact"/>
            </w:pPr>
            <w:r>
              <w:t xml:space="preserve">Simplest admin; MBT already exists; one entity, multiple brand surfaces (like Big Muddy Touring, Big Muddy Magazine, etc. could all be DBAs)</w:t>
            </w:r>
          </w:p>
        </w:tc>
        <w:tc>
          <w:tcPr/>
          <w:p>
            <w:pPr>
              <w:pStyle w:val="Compact"/>
            </w:pPr>
            <w:r>
              <w:t xml:space="preserve">MBT’s bookkeeping mixes platform + service revenue (not a real problem, just messier in reports)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Close FarleyPierson LLC. Spin up new Chase Pierson Photography LLC</w:t>
            </w:r>
          </w:p>
        </w:tc>
        <w:tc>
          <w:tcPr/>
          <w:p>
            <w:pPr>
              <w:pStyle w:val="Compact"/>
            </w:pPr>
            <w:r>
              <w:t xml:space="preserve">New entity with new EIN, new bank account, new everything</w:t>
            </w:r>
          </w:p>
        </w:tc>
        <w:tc>
          <w:tcPr/>
          <w:p>
            <w:pPr>
              <w:pStyle w:val="Compact"/>
            </w:pPr>
            <w:r>
              <w:t xml:space="preserve">Clean dedicated entity; clean liability boundary</w:t>
            </w:r>
          </w:p>
        </w:tc>
        <w:tc>
          <w:tcPr/>
          <w:p>
            <w:pPr>
              <w:pStyle w:val="Compact"/>
            </w:pPr>
            <w:r>
              <w:t xml:space="preserve">Most admin overhead; new EIN means every client needs updated W-9s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Option 2 — close FarleyPierson LLC, run CPP as a DBA of MBT.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MBT is already the operating entity for the whole ecosystem. Adding CPP as a DBA is the same pattern Big Muddy Natchez LLC follows (a subsidiary of MBT for distinct liability profile). CPP’s liability profile is low (service + IP, no guests, no road, no venue), so a DBA is sufficient without a full subsidiary LLC.</w:t>
      </w:r>
      <w:r>
        <w:t xml:space="preserve"> </w:t>
      </w:r>
      <w:r>
        <w:t xml:space="preserve">- Closes one legacy LLC (FarleyPierson) that was flagged for retirement back on 2026-04-19 anyway.</w:t>
      </w:r>
      <w:r>
        <w:t xml:space="preserve"> </w:t>
      </w:r>
      <w:r>
        <w:t xml:space="preserve">- Lets Chase bill clients under</w:t>
      </w:r>
      <w:r>
        <w:t xml:space="preserve"> </w:t>
      </w:r>
      <w:r>
        <w:t xml:space="preserve">“Chase Pierson Photography”</w:t>
      </w:r>
      <w:r>
        <w:t xml:space="preserve"> </w:t>
      </w:r>
      <w:r>
        <w:t xml:space="preserve">without maintaining a dedicated entity.</w:t>
      </w:r>
      <w:r>
        <w:t xml:space="preserve"> </w:t>
      </w:r>
      <w:r>
        <w:t xml:space="preserve">- Streamlines accounting — one operating entity for the ecosystem, multiple revenue streams by DBA + by department.</w:t>
      </w:r>
      <w:r>
        <w:t xml:space="preserve"> </w:t>
      </w:r>
      <w:r>
        <w:t xml:space="preserve">- Counsel still needs to rubber-stamp it, but it’s the path with the fewest moving parts.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before executing, confirm with counsel that (a) MBT can register</w:t>
      </w:r>
      <w:r>
        <w:t xml:space="preserve"> </w:t>
      </w:r>
      <w:r>
        <w:t xml:space="preserve">“Chase Pierson Photography”</w:t>
      </w:r>
      <w:r>
        <w:t xml:space="preserve"> </w:t>
      </w:r>
      <w:r>
        <w:t xml:space="preserve">as a DBA in its home state, (b) it’s also registrable in NY (where Hudson Valley clients are), (c) closing FarleyPierson LLC doesn’t have any outstanding tax or contract obligations.</w:t>
      </w:r>
    </w:p>
    <w:p>
      <w:r>
        <w:pict>
          <v:rect style="width:0;height:1.5pt" o:hralign="center" o:hrstd="t" o:hr="t"/>
        </w:pict>
      </w:r>
    </w:p>
    <w:bookmarkEnd w:id="25"/>
    <w:bookmarkStart w:id="26" w:name="what-this-changes-in-the-existing-docs"/>
    <w:p>
      <w:pPr>
        <w:pStyle w:val="Heading2"/>
      </w:pPr>
      <w:r>
        <w:t xml:space="preserve">11. What this changes in the existing docs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THE_THESIS.md</w:t>
      </w:r>
      <w:r>
        <w:t xml:space="preserve"> </w:t>
      </w:r>
      <w:r>
        <w:t xml:space="preserve">— portfolio section gets a Tuthill Design Photography line; CPP line gets refined to</w:t>
      </w:r>
      <w:r>
        <w:t xml:space="preserve"> </w:t>
      </w:r>
      <w:r>
        <w:t xml:space="preserve">“non-RE only”</w:t>
      </w:r>
      <w:r>
        <w:t xml:space="preserve">; entity-structure note updated from</w:t>
      </w:r>
      <w:r>
        <w:t xml:space="preserve"> </w:t>
      </w:r>
      <w:r>
        <w:t xml:space="preserve">“FarleyPierson TBD”</w:t>
      </w:r>
      <w:r>
        <w:t xml:space="preserve"> </w:t>
      </w:r>
      <w:r>
        <w:t xml:space="preserve">to</w:t>
      </w:r>
      <w:r>
        <w:t xml:space="preserve"> </w:t>
      </w:r>
      <w:r>
        <w:t xml:space="preserve">“close + DBA from MBT (pending counsel)”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90_DAY_PLAN.md</w:t>
      </w:r>
      <w:r>
        <w:t xml:space="preserve"> </w:t>
      </w:r>
      <w:r>
        <w:t xml:space="preserve">— Week 1 photography re-engagement splits into two outreach tracks (Tuthill RE vs. CPP non-RE); the $100k CPP revenue line needs to be re-cast as</w:t>
      </w:r>
      <w:r>
        <w:t xml:space="preserve"> </w:t>
      </w:r>
      <w:r>
        <w:t xml:space="preserve">“photography revenue”</w:t>
      </w:r>
      <w:r>
        <w:t xml:space="preserve"> </w:t>
      </w:r>
      <w:r>
        <w:t xml:space="preserve">spanning Tuthill RE + CPP non-RE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STORY_KIT.md</w:t>
      </w:r>
      <w:r>
        <w:t xml:space="preserve"> </w:t>
      </w:r>
      <w:r>
        <w:t xml:space="preserve">— brand descriptions add Tuthill Design Photography; CPP brand description refined to non-RE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partner-studios-pitch-2026-04-20.md</w:t>
      </w:r>
      <w:r>
        <w:t xml:space="preserve"> </w:t>
      </w:r>
      <w:r>
        <w:t xml:space="preserve">— Tuthill Design gets an explicit product-level scope (photography service line) to anchor the conversation with Miles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/story page</w:t>
      </w:r>
      <w:r>
        <w:t xml:space="preserve"> </w:t>
      </w:r>
      <w:r>
        <w:t xml:space="preserve">— portfolio section reflects the split</w:t>
      </w:r>
    </w:p>
    <w:p>
      <w:r>
        <w:pict>
          <v:rect style="width:0;height:1.5pt" o:hralign="center" o:hrstd="t" o:hr="t"/>
        </w:pict>
      </w:r>
    </w:p>
    <w:bookmarkEnd w:id="26"/>
    <w:bookmarkStart w:id="27" w:name="open-decisions-for-chase"/>
    <w:p>
      <w:pPr>
        <w:pStyle w:val="Heading2"/>
      </w:pPr>
      <w:r>
        <w:t xml:space="preserve">12. Open decisions for Chase</w:t>
      </w:r>
    </w:p>
    <w:p>
      <w:pPr>
        <w:pStyle w:val="Compact"/>
        <w:numPr>
          <w:ilvl w:val="0"/>
          <w:numId w:val="1009"/>
        </w:numPr>
      </w:pPr>
      <w:r>
        <w:t xml:space="preserve">Approve Option 2 (FarleyPierson close + DBA from MBT) — or go with Option 1 (rename)?</w:t>
      </w:r>
    </w:p>
    <w:p>
      <w:pPr>
        <w:pStyle w:val="Compact"/>
        <w:numPr>
          <w:ilvl w:val="0"/>
          <w:numId w:val="1009"/>
        </w:numPr>
      </w:pPr>
      <w:r>
        <w:t xml:space="preserve">Lock the tier pricing (illustrative in Section 3 — need real numbers for Tuthill standard + Chase-premium across property-size brackets)</w:t>
      </w:r>
    </w:p>
    <w:p>
      <w:pPr>
        <w:pStyle w:val="Compact"/>
        <w:numPr>
          <w:ilvl w:val="0"/>
          <w:numId w:val="1009"/>
        </w:numPr>
      </w:pPr>
      <w:r>
        <w:t xml:space="preserve">Miles alignment call — scheduled when?</w:t>
      </w:r>
    </w:p>
    <w:p>
      <w:pPr>
        <w:pStyle w:val="Compact"/>
        <w:numPr>
          <w:ilvl w:val="0"/>
          <w:numId w:val="1009"/>
        </w:numPr>
      </w:pPr>
      <w:r>
        <w:t xml:space="preserve">Standard-tier shooter pool — who recruits? (Recommend Miles/Tuthill since it’s their brand + workflow)</w:t>
      </w:r>
    </w:p>
    <w:p>
      <w:pPr>
        <w:pStyle w:val="Compact"/>
        <w:numPr>
          <w:ilvl w:val="0"/>
          <w:numId w:val="1009"/>
        </w:numPr>
      </w:pPr>
      <w:r>
        <w:t xml:space="preserve">MBT marketing-operator fee — flat per shoot, percentage of booking, or retainer? (Recommend percentage tied to the Tuthill side so it scales with volume without burdening the operator fee when volume is low)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scope doc.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2026-04-20T23:05:04Z</dcterms:created>
  <dcterms:modified xsi:type="dcterms:W3CDTF">2026-04-20T23:05:04Z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