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for-studio-c-video-tuthill-design"/>
    <w:p>
      <w:pPr>
        <w:pStyle w:val="Heading1"/>
      </w:pPr>
      <w:r>
        <w:t xml:space="preserve">For Studio C Video + Tuthill Design</w:t>
      </w:r>
    </w:p>
    <w:p>
      <w:pPr>
        <w:pStyle w:val="FirstParagraph"/>
      </w:pPr>
      <w:r>
        <w:rPr>
          <w:b/>
          <w:bCs/>
        </w:rPr>
        <w:t xml:space="preserve">A conversation-starter, not a proposal.</w:t>
      </w:r>
      <w:r>
        <w:t xml:space="preserve"> </w:t>
      </w:r>
      <w:r>
        <w:rPr>
          <w:b/>
          <w:bCs/>
        </w:rPr>
        <w:t xml:space="preserve">Author:</w:t>
      </w:r>
      <w:r>
        <w:t xml:space="preserve"> </w:t>
      </w:r>
      <w:r>
        <w:t xml:space="preserve">Chase Pierson</w:t>
      </w:r>
      <w:r>
        <w:t xml:space="preserve"> </w:t>
      </w:r>
      <w:r>
        <w:rPr>
          <w:b/>
          <w:bCs/>
        </w:rPr>
        <w:t xml:space="preserve">Prepared:</w:t>
      </w:r>
      <w:r>
        <w:t xml:space="preserve"> </w:t>
      </w:r>
      <w:r>
        <w:t xml:space="preserve">April 20, 2026</w:t>
      </w:r>
    </w:p>
    <w:p>
      <w:r>
        <w:pict>
          <v:rect style="width:0;height:1.5pt" o:hralign="center" o:hrstd="t" o:hr="t"/>
        </w:pict>
      </w:r>
    </w:p>
    <w:p>
      <w:pPr>
        <w:pStyle w:val="FirstParagraph"/>
      </w:pPr>
      <w:r>
        <w:t xml:space="preserve">We’ve been circling this for a while. Here’s the shape of what I’m actually proposing — not to close anything today, but to make the conversation crisp enough to decide the next move together.</w:t>
      </w:r>
    </w:p>
    <w:p>
      <w:r>
        <w:pict>
          <v:rect style="width:0;height:1.5pt" o:hralign="center" o:hrstd="t" o:hr="t"/>
        </w:pict>
      </w:r>
    </w:p>
    <w:bookmarkStart w:id="9" w:name="what-mbt-actually-is"/>
    <w:p>
      <w:pPr>
        <w:pStyle w:val="Heading2"/>
      </w:pPr>
      <w:r>
        <w:t xml:space="preserve">What MBT actually is</w:t>
      </w:r>
    </w:p>
    <w:p>
      <w:pPr>
        <w:pStyle w:val="FirstParagraph"/>
      </w:pPr>
      <w:r>
        <w:t xml:space="preserve">MBT (Measurably Better Things LLC) is a</w:t>
      </w:r>
      <w:r>
        <w:t xml:space="preserve"> </w:t>
      </w:r>
      <w:r>
        <w:rPr>
          <w:b/>
          <w:bCs/>
        </w:rPr>
        <w:t xml:space="preserve">shared technology and brand platform</w:t>
      </w:r>
      <w:r>
        <w:t xml:space="preserve"> </w:t>
      </w:r>
      <w:r>
        <w:t xml:space="preserve">I’ve built over the last eight months. It runs a portfolio of media and hospitality businesses in Natchez, Mississippi — an inn, a magazine, a touring arm, a records/radio layer, and a photography operation — under a single ecosystem called Big Muddy. Tracy Alderson-Allen and Amy Allen are the other two equity partners.</w:t>
      </w:r>
    </w:p>
    <w:p>
      <w:pPr>
        <w:pStyle w:val="BodyText"/>
      </w:pPr>
      <w:r>
        <w:t xml:space="preserve">This is</w:t>
      </w:r>
      <w:r>
        <w:t xml:space="preserve"> </w:t>
      </w:r>
      <w:r>
        <w:rPr>
          <w:b/>
          <w:bCs/>
        </w:rPr>
        <w:t xml:space="preserve">not a startup</w:t>
      </w:r>
      <w:r>
        <w:t xml:space="preserve"> </w:t>
      </w:r>
      <w:r>
        <w:t xml:space="preserve">chasing scale. It’s not a SaaS product I’m selling you. It’s not an acquisition play. It’s a</w:t>
      </w:r>
      <w:r>
        <w:t xml:space="preserve"> </w:t>
      </w:r>
      <w:r>
        <w:rPr>
          <w:b/>
          <w:bCs/>
        </w:rPr>
        <w:t xml:space="preserve">platform that amplifies existing businesses</w:t>
      </w:r>
      <w:r>
        <w:t xml:space="preserve"> </w:t>
      </w:r>
      <w:r>
        <w:t xml:space="preserve">that already run independently — starting with my own Chase Pierson Photography and Studio C Video, and Tracy’s Inn + Magazine, and Amy’s singing career.</w:t>
      </w:r>
    </w:p>
    <w:p>
      <w:pPr>
        <w:pStyle w:val="BodyText"/>
      </w:pPr>
      <w:r>
        <w:t xml:space="preserve">What I want to explore with you is whether Studio C and Tuthill Design plug into this same amplification engine — on terms we design together, not on terms I’m imposing.</w:t>
      </w:r>
    </w:p>
    <w:p>
      <w:r>
        <w:pict>
          <v:rect style="width:0;height:1.5pt" o:hralign="center" o:hrstd="t" o:hr="t"/>
        </w:pict>
      </w:r>
    </w:p>
    <w:bookmarkEnd w:id="9"/>
    <w:bookmarkStart w:id="16" w:name="X3ba3e9fd76ce54c4f7b81cbba436f02bc8654e0"/>
    <w:p>
      <w:pPr>
        <w:pStyle w:val="Heading2"/>
      </w:pPr>
      <w:r>
        <w:t xml:space="preserve">What the platform does that matters to your business</w:t>
      </w:r>
    </w:p>
    <w:p>
      <w:pPr>
        <w:pStyle w:val="FirstParagraph"/>
      </w:pPr>
      <w:r>
        <w:t xml:space="preserve">Five concrete things MBT brings to you if we formalize this:</w:t>
      </w:r>
    </w:p>
    <w:bookmarkStart w:id="10" w:name="X107f3f4d9688483100237a3396703092d72416b"/>
    <w:p>
      <w:pPr>
        <w:pStyle w:val="Heading3"/>
      </w:pPr>
      <w:r>
        <w:t xml:space="preserve">0. The bigger thing first — Big Muddy markets YOU, full-brand</w:t>
      </w:r>
    </w:p>
    <w:p>
      <w:pPr>
        <w:pStyle w:val="FirstParagraph"/>
      </w:pPr>
      <w:r>
        <w:t xml:space="preserve">Before anything else: the partnership isn’t one-way. MBT and Big Muddy don’t just pull you into our ecosystem to deliver services —</w:t>
      </w:r>
      <w:r>
        <w:t xml:space="preserve"> </w:t>
      </w:r>
      <w:r>
        <w:rPr>
          <w:b/>
          <w:bCs/>
        </w:rPr>
        <w:t xml:space="preserve">we drive marketing and promotion for Studio C Video and Tuthill Design as whole brands, not just for the service lines we’re launching together.</w:t>
      </w:r>
      <w:r>
        <w:t xml:space="preserve"> </w:t>
      </w:r>
      <w:r>
        <w:t xml:space="preserve">Everything Big Muddy is building (Magazine readership, Radio audience, show-goer funnel, social channels, Tracy’s biz dev network, Deep South corridor partners) becomes a distribution layer for your own work. If Studio C closes a commercial video gig in Kingston next fall, that came in partly because Big Muddy Magazine, Big Muddy Radio, and the corridor social presence have been promoting Studio C as a production company for months. Same for Tuthill.</w:t>
      </w:r>
    </w:p>
    <w:p>
      <w:pPr>
        <w:pStyle w:val="BodyText"/>
      </w:pPr>
      <w:r>
        <w:t xml:space="preserve">That’s the real amplification. The Tuthill Design Photography service line is one concrete piece of it. The rest is the ongoing marketing engine running in your favor, continuously, at no cost to you.</w:t>
      </w:r>
    </w:p>
    <w:bookmarkEnd w:id="10"/>
    <w:bookmarkStart w:id="11" w:name="X041ace4940e2510cc5317db650f0edc4f12892f"/>
    <w:p>
      <w:pPr>
        <w:pStyle w:val="Heading3"/>
      </w:pPr>
      <w:r>
        <w:t xml:space="preserve">1. New market expansion — Natchez + the Deep South</w:t>
      </w:r>
    </w:p>
    <w:p>
      <w:pPr>
        <w:pStyle w:val="FirstParagraph"/>
      </w:pPr>
      <w:r>
        <w:t xml:space="preserve">Tracy is the BizDev lead across the ecosystem. Her role expands to include opening doors in the Deep South corridor for Studio C video work and Tuthill design work — the same way she’s opening doors for Chase Pierson Photography. You get leads you wouldn’t have earned from an NY-based operation alone.</w:t>
      </w:r>
    </w:p>
    <w:p>
      <w:pPr>
        <w:pStyle w:val="BodyText"/>
      </w:pPr>
      <w:r>
        <w:rPr>
          <w:b/>
          <w:bCs/>
        </w:rPr>
        <w:t xml:space="preserve">Geographic angle:</w:t>
      </w:r>
      <w:r>
        <w:t xml:space="preserve"> </w:t>
      </w:r>
      <w:r>
        <w:t xml:space="preserve">the model is counter-seasonal. NY photography and production peaks May–October. Natchez peaks October–March (tourism + Inn hospitality + corridor events). Studio C and Tuthill work the Natchez market during the NY slow season and vice versa — one integrated team, two regions, near-full-year utilization.</w:t>
      </w:r>
    </w:p>
    <w:bookmarkEnd w:id="11"/>
    <w:bookmarkStart w:id="12" w:name="X862bcc0f5cf396532a4b0bf6e79cabbb4f0b875"/>
    <w:p>
      <w:pPr>
        <w:pStyle w:val="Heading3"/>
      </w:pPr>
      <w:r>
        <w:t xml:space="preserve">2. New customers via the Big Muddy ecosystem</w:t>
      </w:r>
    </w:p>
    <w:p>
      <w:pPr>
        <w:pStyle w:val="FirstParagraph"/>
      </w:pPr>
      <w:r>
        <w:t xml:space="preserve">The Big Muddy brands generate continuous creative work that needs production:</w:t>
      </w:r>
    </w:p>
    <w:p>
      <w:pPr>
        <w:pStyle w:val="Compact"/>
        <w:numPr>
          <w:ilvl w:val="0"/>
          <w:numId w:val="1001"/>
        </w:numPr>
      </w:pPr>
      <w:r>
        <w:rPr>
          <w:b/>
          <w:bCs/>
        </w:rPr>
        <w:t xml:space="preserve">Studio C:</w:t>
      </w:r>
      <w:r>
        <w:t xml:space="preserve"> </w:t>
      </w:r>
      <w:r>
        <w:t xml:space="preserve">Blues Room live recording, Magazine hero content, wedding package hero video, Inn brand films, touring act EPKs, Amy’s records and radio visuals.</w:t>
      </w:r>
    </w:p>
    <w:p>
      <w:pPr>
        <w:pStyle w:val="Compact"/>
        <w:numPr>
          <w:ilvl w:val="0"/>
          <w:numId w:val="1001"/>
        </w:numPr>
      </w:pPr>
      <w:r>
        <w:rPr>
          <w:b/>
          <w:bCs/>
        </w:rPr>
        <w:t xml:space="preserve">Tuthill Design:</w:t>
      </w:r>
      <w:r>
        <w:t xml:space="preserve"> </w:t>
      </w:r>
      <w:r>
        <w:t xml:space="preserve">Brand assets for every Big Muddy surface, print pieces (magazine print runs, show posters, wedding collateral), logo + identity refinements, the wrap on the Sprinter van.</w:t>
      </w:r>
    </w:p>
    <w:p>
      <w:pPr>
        <w:pStyle w:val="Compact"/>
        <w:numPr>
          <w:ilvl w:val="0"/>
          <w:numId w:val="1001"/>
        </w:numPr>
      </w:pPr>
      <w:r>
        <w:rPr>
          <w:b/>
          <w:bCs/>
        </w:rPr>
        <w:t xml:space="preserve">Tuthill Design Photography (NEW — launching 2026-04-20):</w:t>
      </w:r>
      <w:r>
        <w:t xml:space="preserve"> </w:t>
      </w:r>
      <w:r>
        <w:t xml:space="preserve">A full real-estate photography service line under the Tuthill Design brand, marketed by MBT across two regions (Hudson Valley + Deep South). Two-tier booking: Tuthill Design standard rate (any Tuthill-assigned photographer) and a Chase Pierson premium tier (Chase personally, higher rate). This gives Tuthill a scalable, counter-seasonal photography revenue line that doesn’t require Chase for every shoot, while giving Chase a named-premium channel inside Tuthill where his eye commands a real premium. Full scope:</w:t>
      </w:r>
      <w:r>
        <w:t xml:space="preserve"> </w:t>
      </w:r>
      <w:r>
        <w:rPr>
          <w:rStyle w:val="VerbatimChar"/>
        </w:rPr>
        <w:t xml:space="preserve">docs/partners/tuthill-photography-scope-2026-04-20.md</w:t>
      </w:r>
      <w:r>
        <w:t xml:space="preserve">.</w:t>
      </w:r>
    </w:p>
    <w:p>
      <w:pPr>
        <w:pStyle w:val="FirstParagraph"/>
      </w:pPr>
      <w:r>
        <w:t xml:space="preserve">This isn’t hypothetical — it’s the volume of work the ecosystem is already generating and currently buying piecemeal. Formalized, it becomes a predictable revenue line for both studios.</w:t>
      </w:r>
    </w:p>
    <w:bookmarkEnd w:id="12"/>
    <w:bookmarkStart w:id="13" w:name="Xff647d876107bd8b319e8178fa84d21e15824e2"/>
    <w:p>
      <w:pPr>
        <w:pStyle w:val="Heading3"/>
      </w:pPr>
      <w:r>
        <w:t xml:space="preserve">3. Platform resources you don’t have to build</w:t>
      </w:r>
    </w:p>
    <w:p>
      <w:pPr>
        <w:pStyle w:val="FirstParagraph"/>
      </w:pPr>
      <w:r>
        <w:t xml:space="preserve">The platform’s shared layer is load-bearing for everyone inside it:</w:t>
      </w:r>
    </w:p>
    <w:p>
      <w:pPr>
        <w:pStyle w:val="Compact"/>
        <w:numPr>
          <w:ilvl w:val="0"/>
          <w:numId w:val="1002"/>
        </w:numPr>
      </w:pPr>
      <w:r>
        <w:t xml:space="preserve">Sanity CMS — the content management layer</w:t>
      </w:r>
    </w:p>
    <w:p>
      <w:pPr>
        <w:pStyle w:val="Compact"/>
        <w:numPr>
          <w:ilvl w:val="0"/>
          <w:numId w:val="1002"/>
        </w:numPr>
      </w:pPr>
      <w:r>
        <w:t xml:space="preserve">GCS photo library with 229 curated images and growing</w:t>
      </w:r>
    </w:p>
    <w:p>
      <w:pPr>
        <w:pStyle w:val="Compact"/>
        <w:numPr>
          <w:ilvl w:val="0"/>
          <w:numId w:val="1002"/>
        </w:numPr>
      </w:pPr>
      <w:r>
        <w:t xml:space="preserve">AI tooling (Gemini for first drafts, Claude for editorial, Imagen 3 for mockups)</w:t>
      </w:r>
    </w:p>
    <w:p>
      <w:pPr>
        <w:pStyle w:val="Compact"/>
        <w:numPr>
          <w:ilvl w:val="0"/>
          <w:numId w:val="1002"/>
        </w:numPr>
      </w:pPr>
      <w:r>
        <w:t xml:space="preserve">Shared brand systems + voice documentation</w:t>
      </w:r>
    </w:p>
    <w:p>
      <w:pPr>
        <w:pStyle w:val="Compact"/>
        <w:numPr>
          <w:ilvl w:val="0"/>
          <w:numId w:val="1002"/>
        </w:numPr>
      </w:pPr>
      <w:r>
        <w:t xml:space="preserve">Sales pipelines and CRM</w:t>
      </w:r>
    </w:p>
    <w:p>
      <w:pPr>
        <w:pStyle w:val="Compact"/>
        <w:numPr>
          <w:ilvl w:val="0"/>
          <w:numId w:val="1002"/>
        </w:numPr>
      </w:pPr>
      <w:r>
        <w:t xml:space="preserve">Deploy infrastructure (Vercel, Neon Postgres, custom multi-tenant routing)</w:t>
      </w:r>
    </w:p>
    <w:p>
      <w:pPr>
        <w:pStyle w:val="FirstParagraph"/>
      </w:pPr>
      <w:r>
        <w:t xml:space="preserve">You get access to all of it as if it were your own infrastructure. You don’t have to build or buy it.</w:t>
      </w:r>
    </w:p>
    <w:bookmarkEnd w:id="13"/>
    <w:bookmarkStart w:id="14" w:name="mbt-is-a-paying-customer-of-yours"/>
    <w:p>
      <w:pPr>
        <w:pStyle w:val="Heading3"/>
      </w:pPr>
      <w:r>
        <w:t xml:space="preserve">4. MBT is a paying customer of yours</w:t>
      </w:r>
    </w:p>
    <w:p>
      <w:pPr>
        <w:pStyle w:val="FirstParagraph"/>
      </w:pPr>
      <w:r>
        <w:t xml:space="preserve">I want to be explicit about this: this isn’t a favor-exchange. The platform — specifically Big Muddy Inn, Magazine, Touring, and the shared brand systems —</w:t>
      </w:r>
      <w:r>
        <w:t xml:space="preserve"> </w:t>
      </w:r>
      <w:r>
        <w:rPr>
          <w:b/>
          <w:bCs/>
        </w:rPr>
        <w:t xml:space="preserve">buys ongoing video and design work</w:t>
      </w:r>
      <w:r>
        <w:t xml:space="preserve"> </w:t>
      </w:r>
      <w:r>
        <w:t xml:space="preserve">from Studio C and Tuthill. That’s a real revenue line, invoiced like any other client, not a</w:t>
      </w:r>
      <w:r>
        <w:t xml:space="preserve"> </w:t>
      </w:r>
      <w:r>
        <w:t xml:space="preserve">“please do this for us because we’re partners.”</w:t>
      </w:r>
    </w:p>
    <w:bookmarkEnd w:id="14"/>
    <w:bookmarkStart w:id="15" w:name="tracy-amy-as-part-of-the-extended-team"/>
    <w:p>
      <w:pPr>
        <w:pStyle w:val="Heading3"/>
      </w:pPr>
      <w:r>
        <w:t xml:space="preserve">5. Tracy + Amy as part of the extended team</w:t>
      </w:r>
    </w:p>
    <w:p>
      <w:pPr>
        <w:pStyle w:val="FirstParagraph"/>
      </w:pPr>
      <w:r>
        <w:t xml:space="preserve">This is the piece that changes the feel of the partnership. Tracy’s BizDev role and Amy’s hospitality + artist-in-residence work aren’t just Big Muddy assets — they’re resources working to help</w:t>
      </w:r>
      <w:r>
        <w:t xml:space="preserve"> </w:t>
      </w:r>
      <w:r>
        <w:rPr>
          <w:b/>
          <w:bCs/>
        </w:rPr>
        <w:t xml:space="preserve">all of us</w:t>
      </w:r>
      <w:r>
        <w:t xml:space="preserve"> </w:t>
      </w:r>
      <w:r>
        <w:t xml:space="preserve">grow. Tracy’s next sales call could be for your studio as easily as for the Inn. Amy’s network of touring artists becomes a client base for Studio C video + Tuthill merch design.</w:t>
      </w:r>
    </w:p>
    <w:p>
      <w:pPr>
        <w:pStyle w:val="BodyText"/>
      </w:pPr>
      <w:r>
        <w:t xml:space="preserve">We are one team amplifying multiple businesses, not separate vendors coordinating.</w:t>
      </w:r>
    </w:p>
    <w:p>
      <w:r>
        <w:pict>
          <v:rect style="width:0;height:1.5pt" o:hralign="center" o:hrstd="t" o:hr="t"/>
        </w:pict>
      </w:r>
    </w:p>
    <w:bookmarkEnd w:id="15"/>
    <w:bookmarkEnd w:id="16"/>
    <w:bookmarkStart w:id="17" w:name="what-each-of-you-brings"/>
    <w:p>
      <w:pPr>
        <w:pStyle w:val="Heading2"/>
      </w:pPr>
      <w:r>
        <w:t xml:space="preserve">What each of you brings</w:t>
      </w:r>
    </w:p>
    <w:p>
      <w:pPr>
        <w:pStyle w:val="FirstParagraph"/>
      </w:pPr>
      <w:r>
        <w:t xml:space="preserve">I want to be careful not to describe your contribution as if it’s something I’m extracting. Here’s what the ecosystem gains by having you in it:</w:t>
      </w:r>
    </w:p>
    <w:p>
      <w:pPr>
        <w:pStyle w:val="Compact"/>
        <w:numPr>
          <w:ilvl w:val="0"/>
          <w:numId w:val="1003"/>
        </w:numPr>
      </w:pPr>
      <w:r>
        <w:rPr>
          <w:b/>
          <w:bCs/>
        </w:rPr>
        <w:t xml:space="preserve">Existing client bases.</w:t>
      </w:r>
      <w:r>
        <w:t xml:space="preserve"> </w:t>
      </w:r>
      <w:r>
        <w:t xml:space="preserve">Studio C and Tuthill both have years of NY client relationships. Some of those clients will have Deep South needs we can’t see yet. Some will be interested in the Big Muddy story. Some will become corridor tour sponsors, Magazine advertisers, Inn guests, or Inn-rental buyers.</w:t>
      </w:r>
    </w:p>
    <w:p>
      <w:pPr>
        <w:pStyle w:val="Compact"/>
        <w:numPr>
          <w:ilvl w:val="0"/>
          <w:numId w:val="1003"/>
        </w:numPr>
      </w:pPr>
      <w:r>
        <w:rPr>
          <w:b/>
          <w:bCs/>
        </w:rPr>
        <w:t xml:space="preserve">Production capacity at a level Big Muddy couldn’t build in-house.</w:t>
      </w:r>
      <w:r>
        <w:t xml:space="preserve"> </w:t>
      </w:r>
      <w:r>
        <w:t xml:space="preserve">The alternative to having you in the ecosystem is buying the same services from outside vendors at worse quality and without alignment. You make the output better than any external vendor could.</w:t>
      </w:r>
    </w:p>
    <w:p>
      <w:pPr>
        <w:pStyle w:val="Compact"/>
        <w:numPr>
          <w:ilvl w:val="0"/>
          <w:numId w:val="1003"/>
        </w:numPr>
      </w:pPr>
      <w:r>
        <w:rPr>
          <w:b/>
          <w:bCs/>
        </w:rPr>
        <w:t xml:space="preserve">Creative quality that compounds across every customer surface.</w:t>
      </w:r>
      <w:r>
        <w:t xml:space="preserve"> </w:t>
      </w:r>
      <w:r>
        <w:t xml:space="preserve">One good Studio C film for the Inn makes every subsequent booking easier. One strong Tuthill brand refresh pays off across 14 domains.</w:t>
      </w:r>
    </w:p>
    <w:p>
      <w:pPr>
        <w:pStyle w:val="Compact"/>
        <w:numPr>
          <w:ilvl w:val="0"/>
          <w:numId w:val="1003"/>
        </w:numPr>
      </w:pPr>
      <w:r>
        <w:rPr>
          <w:b/>
          <w:bCs/>
        </w:rPr>
        <w:t xml:space="preserve">Partnership equity in the model, not vendor relationships.</w:t>
      </w:r>
      <w:r>
        <w:t xml:space="preserve"> </w:t>
      </w:r>
      <w:r>
        <w:t xml:space="preserve">You’re inside the ecosystem, with a real stake in it working — not selling services at arm’s length.</w:t>
      </w:r>
    </w:p>
    <w:p>
      <w:r>
        <w:pict>
          <v:rect style="width:0;height:1.5pt" o:hralign="center" o:hrstd="t" o:hr="t"/>
        </w:pict>
      </w:r>
    </w:p>
    <w:bookmarkEnd w:id="17"/>
    <w:bookmarkStart w:id="18" w:name="X1aaacdff31ace749601bea1a41f71ee5fe9fbb7"/>
    <w:p>
      <w:pPr>
        <w:pStyle w:val="Heading2"/>
      </w:pPr>
      <w:r>
        <w:t xml:space="preserve">Commercial structure (TBD — the conversation, not the pitch)</w:t>
      </w:r>
    </w:p>
    <w:p>
      <w:pPr>
        <w:pStyle w:val="FirstParagraph"/>
      </w:pPr>
      <w:r>
        <w:t xml:space="preserve">I’m not proposing a specific deal in this document. The shape of what we agree to could range across several models:</w:t>
      </w:r>
    </w:p>
    <w:p>
      <w:pPr>
        <w:pStyle w:val="Compact"/>
        <w:numPr>
          <w:ilvl w:val="0"/>
          <w:numId w:val="1004"/>
        </w:numPr>
      </w:pPr>
      <w:r>
        <w:rPr>
          <w:b/>
          <w:bCs/>
        </w:rPr>
        <w:t xml:space="preserve">Revenue share on MBT-originated work.</w:t>
      </w:r>
      <w:r>
        <w:t xml:space="preserve"> </w:t>
      </w:r>
      <w:r>
        <w:t xml:space="preserve">Tracy sells it; you deliver it; we split.</w:t>
      </w:r>
    </w:p>
    <w:p>
      <w:pPr>
        <w:pStyle w:val="Compact"/>
        <w:numPr>
          <w:ilvl w:val="0"/>
          <w:numId w:val="1004"/>
        </w:numPr>
      </w:pPr>
      <w:r>
        <w:rPr>
          <w:b/>
          <w:bCs/>
        </w:rPr>
        <w:t xml:space="preserve">Ongoing retainer + project billing.</w:t>
      </w:r>
      <w:r>
        <w:t xml:space="preserve"> </w:t>
      </w:r>
      <w:r>
        <w:t xml:space="preserve">Predictable monthly minimum + per-project upsizes.</w:t>
      </w:r>
    </w:p>
    <w:p>
      <w:pPr>
        <w:pStyle w:val="Compact"/>
        <w:numPr>
          <w:ilvl w:val="0"/>
          <w:numId w:val="1004"/>
        </w:numPr>
      </w:pPr>
      <w:r>
        <w:rPr>
          <w:b/>
          <w:bCs/>
        </w:rPr>
        <w:t xml:space="preserve">Licensing / services package.</w:t>
      </w:r>
      <w:r>
        <w:t xml:space="preserve"> </w:t>
      </w:r>
      <w:r>
        <w:t xml:space="preserve">MBT licenses brand + platform access to your studio for your independent clients.</w:t>
      </w:r>
    </w:p>
    <w:p>
      <w:pPr>
        <w:pStyle w:val="Compact"/>
        <w:numPr>
          <w:ilvl w:val="0"/>
          <w:numId w:val="1004"/>
        </w:numPr>
      </w:pPr>
      <w:r>
        <w:rPr>
          <w:b/>
          <w:bCs/>
        </w:rPr>
        <w:t xml:space="preserve">Equity stake in a holding structure</w:t>
      </w:r>
      <w:r>
        <w:t xml:space="preserve"> </w:t>
      </w:r>
      <w:r>
        <w:t xml:space="preserve">— if we want to make it truly aligned and longer-term.</w:t>
      </w:r>
    </w:p>
    <w:p>
      <w:pPr>
        <w:pStyle w:val="Compact"/>
        <w:numPr>
          <w:ilvl w:val="0"/>
          <w:numId w:val="1004"/>
        </w:numPr>
      </w:pPr>
      <w:r>
        <w:rPr>
          <w:b/>
          <w:bCs/>
        </w:rPr>
        <w:t xml:space="preserve">Combination of the above</w:t>
      </w:r>
      <w:r>
        <w:t xml:space="preserve"> </w:t>
      </w:r>
      <w:r>
        <w:t xml:space="preserve">— probably.</w:t>
      </w:r>
    </w:p>
    <w:p>
      <w:pPr>
        <w:pStyle w:val="FirstParagraph"/>
      </w:pPr>
      <w:r>
        <w:t xml:space="preserve">We’ll design that together in the actual conversation. I want you to see the shape of the thing before we negotiate the mechanics.</w:t>
      </w:r>
    </w:p>
    <w:p>
      <w:r>
        <w:pict>
          <v:rect style="width:0;height:1.5pt" o:hralign="center" o:hrstd="t" o:hr="t"/>
        </w:pict>
      </w:r>
    </w:p>
    <w:bookmarkEnd w:id="18"/>
    <w:bookmarkStart w:id="19" w:name="X63eaed2cdb6dc1e99eaebba3ca9cf94e4cce636"/>
    <w:p>
      <w:pPr>
        <w:pStyle w:val="Heading2"/>
      </w:pPr>
      <w:r>
        <w:t xml:space="preserve">What I’m asking for in the next conversation</w:t>
      </w:r>
    </w:p>
    <w:p>
      <w:pPr>
        <w:pStyle w:val="FirstParagraph"/>
      </w:pPr>
      <w:r>
        <w:t xml:space="preserve">One meeting (ideally within the next two weeks — before the NY peak season fully kicks in and you’re slammed with client work). Agenda:</w:t>
      </w:r>
    </w:p>
    <w:p>
      <w:pPr>
        <w:pStyle w:val="Compact"/>
        <w:numPr>
          <w:ilvl w:val="0"/>
          <w:numId w:val="1005"/>
        </w:numPr>
      </w:pPr>
      <w:r>
        <w:t xml:space="preserve">Walk through this doc together; you ask what’s real, what’s aspirational, what changes in scope</w:t>
      </w:r>
    </w:p>
    <w:p>
      <w:pPr>
        <w:pStyle w:val="Compact"/>
        <w:numPr>
          <w:ilvl w:val="0"/>
          <w:numId w:val="1005"/>
        </w:numPr>
      </w:pPr>
      <w:r>
        <w:t xml:space="preserve">Identify which pieces of the ecosystem you’re most interested in plugging into first (lowest-friction onboarding)</w:t>
      </w:r>
    </w:p>
    <w:p>
      <w:pPr>
        <w:pStyle w:val="Compact"/>
        <w:numPr>
          <w:ilvl w:val="0"/>
          <w:numId w:val="1005"/>
        </w:numPr>
      </w:pPr>
      <w:r>
        <w:t xml:space="preserve">Sketch the commercial structure — even roughly — so we can both decide within 30 days whether to formalize</w:t>
      </w:r>
    </w:p>
    <w:p>
      <w:pPr>
        <w:pStyle w:val="Compact"/>
        <w:numPr>
          <w:ilvl w:val="0"/>
          <w:numId w:val="1005"/>
        </w:numPr>
      </w:pPr>
      <w:r>
        <w:t xml:space="preserve">Agree what</w:t>
      </w:r>
      <w:r>
        <w:t xml:space="preserve"> </w:t>
      </w:r>
      <w:r>
        <w:t xml:space="preserve">“yes”</w:t>
      </w:r>
      <w:r>
        <w:t xml:space="preserve"> </w:t>
      </w:r>
      <w:r>
        <w:t xml:space="preserve">looks like, what</w:t>
      </w:r>
      <w:r>
        <w:t xml:space="preserve"> </w:t>
      </w:r>
      <w:r>
        <w:t xml:space="preserve">“no”</w:t>
      </w:r>
      <w:r>
        <w:t xml:space="preserve"> </w:t>
      </w:r>
      <w:r>
        <w:t xml:space="preserve">looks like, and what</w:t>
      </w:r>
      <w:r>
        <w:t xml:space="preserve"> </w:t>
      </w:r>
      <w:r>
        <w:t xml:space="preserve">“let’s try one project together and see”</w:t>
      </w:r>
      <w:r>
        <w:t xml:space="preserve"> </w:t>
      </w:r>
      <w:r>
        <w:t xml:space="preserve">looks like</w:t>
      </w:r>
    </w:p>
    <w:p>
      <w:pPr>
        <w:pStyle w:val="FirstParagraph"/>
      </w:pPr>
      <w:r>
        <w:t xml:space="preserve">No pressure to commit in the meeting. I want alignment on the vision before we negotiate terms.</w:t>
      </w:r>
    </w:p>
    <w:p>
      <w:r>
        <w:pict>
          <v:rect style="width:0;height:1.5pt" o:hralign="center" o:hrstd="t" o:hr="t"/>
        </w:pict>
      </w:r>
    </w:p>
    <w:bookmarkEnd w:id="19"/>
    <w:bookmarkStart w:id="20" w:name="what-this-is-not"/>
    <w:p>
      <w:pPr>
        <w:pStyle w:val="Heading2"/>
      </w:pPr>
      <w:r>
        <w:t xml:space="preserve">What this is not</w:t>
      </w:r>
    </w:p>
    <w:p>
      <w:pPr>
        <w:pStyle w:val="FirstParagraph"/>
      </w:pPr>
      <w:r>
        <w:t xml:space="preserve">Because it matters:</w:t>
      </w:r>
    </w:p>
    <w:p>
      <w:pPr>
        <w:pStyle w:val="Compact"/>
        <w:numPr>
          <w:ilvl w:val="0"/>
          <w:numId w:val="1006"/>
        </w:numPr>
      </w:pPr>
      <w:r>
        <w:rPr>
          <w:b/>
          <w:bCs/>
        </w:rPr>
        <w:t xml:space="preserve">Not a fundraise.</w:t>
      </w:r>
      <w:r>
        <w:t xml:space="preserve"> </w:t>
      </w:r>
      <w:r>
        <w:t xml:space="preserve">No one’s selling equity for cash.</w:t>
      </w:r>
    </w:p>
    <w:p>
      <w:pPr>
        <w:pStyle w:val="Compact"/>
        <w:numPr>
          <w:ilvl w:val="0"/>
          <w:numId w:val="1006"/>
        </w:numPr>
      </w:pPr>
      <w:r>
        <w:rPr>
          <w:b/>
          <w:bCs/>
        </w:rPr>
        <w:t xml:space="preserve">Not an acquisition.</w:t>
      </w:r>
      <w:r>
        <w:t xml:space="preserve"> </w:t>
      </w:r>
      <w:r>
        <w:t xml:space="preserve">I’m not buying your studios.</w:t>
      </w:r>
    </w:p>
    <w:p>
      <w:pPr>
        <w:pStyle w:val="Compact"/>
        <w:numPr>
          <w:ilvl w:val="0"/>
          <w:numId w:val="1006"/>
        </w:numPr>
      </w:pPr>
      <w:r>
        <w:rPr>
          <w:b/>
          <w:bCs/>
        </w:rPr>
        <w:t xml:space="preserve">Not a SaaS contract.</w:t>
      </w:r>
      <w:r>
        <w:t xml:space="preserve"> </w:t>
      </w:r>
      <w:r>
        <w:t xml:space="preserve">You’re not a customer of MBT in the subscription sense.</w:t>
      </w:r>
    </w:p>
    <w:p>
      <w:pPr>
        <w:pStyle w:val="Compact"/>
        <w:numPr>
          <w:ilvl w:val="0"/>
          <w:numId w:val="1006"/>
        </w:numPr>
      </w:pPr>
      <w:r>
        <w:rPr>
          <w:b/>
          <w:bCs/>
        </w:rPr>
        <w:t xml:space="preserve">Not asking you to rebrand.</w:t>
      </w:r>
      <w:r>
        <w:t xml:space="preserve"> </w:t>
      </w:r>
      <w:r>
        <w:t xml:space="preserve">Studio C stays Studio C. Tuthill Design stays Tuthill Design.</w:t>
      </w:r>
    </w:p>
    <w:p>
      <w:pPr>
        <w:pStyle w:val="Compact"/>
        <w:numPr>
          <w:ilvl w:val="0"/>
          <w:numId w:val="1006"/>
        </w:numPr>
      </w:pPr>
      <w:r>
        <w:rPr>
          <w:b/>
          <w:bCs/>
        </w:rPr>
        <w:t xml:space="preserve">Not asking you to move.</w:t>
      </w:r>
      <w:r>
        <w:t xml:space="preserve"> </w:t>
      </w:r>
      <w:r>
        <w:t xml:space="preserve">NY stays your primary base. Natchez is a shared Southern hemisphere you’re invited into.</w:t>
      </w:r>
    </w:p>
    <w:p>
      <w:pPr>
        <w:pStyle w:val="Compact"/>
        <w:numPr>
          <w:ilvl w:val="0"/>
          <w:numId w:val="1006"/>
        </w:numPr>
      </w:pPr>
      <w:r>
        <w:rPr>
          <w:b/>
          <w:bCs/>
        </w:rPr>
        <w:t xml:space="preserve">Not locked in.</w:t>
      </w:r>
      <w:r>
        <w:t xml:space="preserve"> </w:t>
      </w:r>
      <w:r>
        <w:t xml:space="preserve">Any structure we design is built to let either of us exit cleanly if it’s not working.</w:t>
      </w:r>
    </w:p>
    <w:p>
      <w:r>
        <w:pict>
          <v:rect style="width:0;height:1.5pt" o:hralign="center" o:hrstd="t" o:hr="t"/>
        </w:pict>
      </w:r>
    </w:p>
    <w:bookmarkEnd w:id="20"/>
    <w:bookmarkStart w:id="21" w:name="the-underlying-idea-one-more-time"/>
    <w:p>
      <w:pPr>
        <w:pStyle w:val="Heading2"/>
      </w:pPr>
      <w:r>
        <w:t xml:space="preserve">The underlying idea, one more time</w:t>
      </w:r>
    </w:p>
    <w:p>
      <w:pPr>
        <w:pStyle w:val="FirstParagraph"/>
      </w:pPr>
      <w:r>
        <w:t xml:space="preserve">Three partners with three existing businesses can either:</w:t>
      </w:r>
      <w:r>
        <w:t xml:space="preserve"> </w:t>
      </w:r>
      <w:r>
        <w:t xml:space="preserve">- Each run their business separately, competing for the same creative attention and the same scarce client leads, or</w:t>
      </w:r>
      <w:r>
        <w:t xml:space="preserve"> </w:t>
      </w:r>
      <w:r>
        <w:t xml:space="preserve">- Run them with a shared brand, shared infrastructure, shared sales engine, shared audiences — and be meaningfully more profitable for less work</w:t>
      </w:r>
    </w:p>
    <w:p>
      <w:pPr>
        <w:pStyle w:val="BodyText"/>
      </w:pPr>
      <w:r>
        <w:t xml:space="preserve">MBT is the second one. Big Muddy is the first implementation. Bearsville Creative is the Northern-hemisphere version of the same thing that activates summer 2026 — which is roughly when we’d want Studio C + Tuthill fully inside if this conversation goes well.</w:t>
      </w:r>
    </w:p>
    <w:p>
      <w:r>
        <w:pict>
          <v:rect style="width:0;height:1.5pt" o:hralign="center" o:hrstd="t" o:hr="t"/>
        </w:pict>
      </w:r>
    </w:p>
    <w:p>
      <w:pPr>
        <w:pStyle w:val="FirstParagraph"/>
      </w:pPr>
      <w:r>
        <w:rPr>
          <w:b/>
          <w:bCs/>
        </w:rPr>
        <w:t xml:space="preserve">Next step:</w:t>
      </w:r>
      <w:r>
        <w:t xml:space="preserve"> </w:t>
      </w:r>
      <w:r>
        <w:t xml:space="preserve">pick a date. I’ll bring Tracy in for the conversation — she’s the BizDev lead and her perspective on the client-expansion angle is essential.</w:t>
      </w:r>
    </w:p>
    <w:p>
      <w:pPr>
        <w:pStyle w:val="BodyText"/>
      </w:pPr>
      <w:r>
        <w:t xml:space="preserve">— Chase</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2026-04-20T22:30:45Z</dcterms:created>
  <dcterms:modified xsi:type="dcterms:W3CDTF">2026-04-20T22:30:45Z</dcterms:modified>
</cp:coreProperties>
</file>

<file path=docProps/custom.xml><?xml version="1.0" encoding="utf-8"?>
<Properties xmlns="http://schemas.openxmlformats.org/officeDocument/2006/custom-properties" xmlns:vt="http://schemas.openxmlformats.org/officeDocument/2006/docPropsVTypes"/>
</file>