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uthill-design-photography-service-scope"/>
    <w:p>
      <w:pPr>
        <w:pStyle w:val="Heading1"/>
      </w:pPr>
      <w:r>
        <w:t xml:space="preserve">Tuthill Design Photography — Service Scope</w:t>
      </w:r>
    </w:p>
    <w:p>
      <w:pPr>
        <w:pStyle w:val="FirstParagraph"/>
      </w:pPr>
      <w:r>
        <w:rPr>
          <w:b/>
          <w:bCs/>
        </w:rPr>
        <w:t xml:space="preserve">Operating brand:</w:t>
      </w:r>
      <w:r>
        <w:t xml:space="preserve"> </w:t>
      </w:r>
      <w:r>
        <w:t xml:space="preserve">Tuthill Design Photography (under Tuthill Design)</w:t>
      </w:r>
      <w:r>
        <w:t xml:space="preserve"> </w:t>
      </w:r>
      <w:r>
        <w:rPr>
          <w:b/>
          <w:bCs/>
        </w:rPr>
        <w:t xml:space="preserve">Marketing operator:</w:t>
      </w:r>
      <w:r>
        <w:t xml:space="preserve"> </w:t>
      </w:r>
      <w:r>
        <w:t xml:space="preserve">MBT (Measurably Better Things LLC)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Chase Pierson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April 20, 2026</w:t>
      </w:r>
      <w:r>
        <w:t xml:space="preserve"> </w:t>
      </w:r>
      <w:r>
        <w:rPr>
          <w:b/>
          <w:bCs/>
        </w:rPr>
        <w:t xml:space="preserve">Companion:</w:t>
      </w:r>
      <w:r>
        <w:t xml:space="preserve"> </w:t>
      </w:r>
      <w:r>
        <w:rPr>
          <w:rStyle w:val="VerbatimChar"/>
        </w:rPr>
        <w:t xml:space="preserve">docs/partner-studios-pitch-2026-04-20.md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docs/THE_THESIS.md</w:t>
      </w:r>
    </w:p>
    <w:p>
      <w:r>
        <w:pict>
          <v:rect style="width:0;height:1.5pt" o:hralign="center" o:hrstd="t" o:hr="t"/>
        </w:pict>
      </w:r>
    </w:p>
    <w:bookmarkStart w:id="9" w:name="what-it-is"/>
    <w:p>
      <w:pPr>
        <w:pStyle w:val="Heading2"/>
      </w:pPr>
      <w:r>
        <w:t xml:space="preserve">1. What it is</w:t>
      </w:r>
    </w:p>
    <w:p>
      <w:pPr>
        <w:pStyle w:val="FirstParagraph"/>
      </w:pPr>
      <w:r>
        <w:t xml:space="preserve">A new service line inside Tuthill Design:</w:t>
      </w:r>
      <w:r>
        <w:t xml:space="preserve"> </w:t>
      </w:r>
      <w:r>
        <w:rPr>
          <w:b/>
          <w:bCs/>
        </w:rPr>
        <w:t xml:space="preserve">real estate photography</w:t>
      </w:r>
      <w:r>
        <w:t xml:space="preserve">, marketed and sold under the Tuthill Design brand, with distribution in two regions — the Hudson Valley and the Deep South (Natchez corridor + Blues Highway).</w:t>
      </w:r>
    </w:p>
    <w:p>
      <w:pPr>
        <w:pStyle w:val="BodyText"/>
      </w:pPr>
      <w:r>
        <w:t xml:space="preserve">It’s operationally distinct from</w:t>
      </w:r>
      <w:r>
        <w:t xml:space="preserve"> </w:t>
      </w:r>
      <w:r>
        <w:rPr>
          <w:b/>
          <w:bCs/>
        </w:rPr>
        <w:t xml:space="preserve">Chase Pierson Photography (CPP)</w:t>
      </w:r>
      <w:r>
        <w:t xml:space="preserve">, which keeps everything that isn’t real estate — portraits, events, editorial, fine art, brand photography, Big Muddy Magazine work, Blues Room show documentation, travel/place photography.</w:t>
      </w:r>
    </w:p>
    <w:p>
      <w:pPr>
        <w:pStyle w:val="BodyText"/>
      </w:pPr>
      <w:r>
        <w:t xml:space="preserve">The split in one line:</w:t>
      </w:r>
      <w:r>
        <w:t xml:space="preserve"> </w:t>
      </w:r>
      <w:r>
        <w:rPr>
          <w:b/>
          <w:bCs/>
        </w:rPr>
        <w:t xml:space="preserve">RE = Tuthill. Non-RE = CPP.</w:t>
      </w:r>
    </w:p>
    <w:p>
      <w:r>
        <w:pict>
          <v:rect style="width:0;height:1.5pt" o:hralign="center" o:hrstd="t" o:hr="t"/>
        </w:pict>
      </w:r>
    </w:p>
    <w:bookmarkEnd w:id="9"/>
    <w:bookmarkStart w:id="10" w:name="the-two-tier-booking-model"/>
    <w:p>
      <w:pPr>
        <w:pStyle w:val="Heading2"/>
      </w:pPr>
      <w:r>
        <w:t xml:space="preserve">2. The two-tier booking model</w:t>
      </w:r>
    </w:p>
    <w:p>
      <w:pPr>
        <w:pStyle w:val="FirstParagraph"/>
      </w:pPr>
      <w:r>
        <w:t xml:space="preserve">Every Tuthill Design Photography booking has two price tiers. The customer chooses: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Rate</w:t>
            </w:r>
          </w:p>
        </w:tc>
        <w:tc>
          <w:tcPr/>
          <w:p>
            <w:pPr>
              <w:pStyle w:val="Compact"/>
            </w:pPr>
            <w:r>
              <w:t xml:space="preserve">Who shoots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Tuthill Design standard</w:t>
            </w:r>
          </w:p>
        </w:tc>
        <w:tc>
          <w:tcPr/>
          <w:p>
            <w:pPr>
              <w:pStyle w:val="Compact"/>
            </w:pPr>
            <w:r>
              <w:t xml:space="preserve">Market-competitive for the region</w:t>
            </w:r>
          </w:p>
        </w:tc>
        <w:tc>
          <w:tcPr/>
          <w:p>
            <w:pPr>
              <w:pStyle w:val="Compact"/>
            </w:pPr>
            <w:r>
              <w:t xml:space="preserve">Any Tuthill Design photographer (may or may not be Chase). Tuthill assigns based on availability, geography, and fit.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Chase Pierson premium</w:t>
            </w:r>
          </w:p>
        </w:tc>
        <w:tc>
          <w:tcPr/>
          <w:p>
            <w:pPr>
              <w:pStyle w:val="Compact"/>
            </w:pPr>
            <w:r>
              <w:t xml:space="preserve">Higher. Reflects Chase’s track record + named-talent value.</w:t>
            </w:r>
          </w:p>
        </w:tc>
        <w:tc>
          <w:tcPr/>
          <w:p>
            <w:pPr>
              <w:pStyle w:val="Compact"/>
            </w:pPr>
            <w:r>
              <w:t xml:space="preserve">Chase personally. Booked inside the Tuthill system as a named upgrade.</w:t>
            </w:r>
          </w:p>
        </w:tc>
      </w:tr>
    </w:tbl>
    <w:p>
      <w:pPr>
        <w:pStyle w:val="BodyText"/>
      </w:pPr>
      <w:r>
        <w:t xml:space="preserve">Both tiers are bookable from the same Tuthill Design Photography surface. The client picks their tier at the point of booking. No dual funnel, no customer confusion.</w:t>
      </w:r>
    </w:p>
    <w:p>
      <w:pPr>
        <w:pStyle w:val="BodyText"/>
      </w:pPr>
      <w:r>
        <w:rPr>
          <w:b/>
          <w:bCs/>
        </w:rPr>
        <w:t xml:space="preserve">Why this works:</w:t>
      </w:r>
      <w:r>
        <w:t xml:space="preserve"> </w:t>
      </w:r>
      <w:r>
        <w:t xml:space="preserve">- Tuthill Design gets a scalable service line that doesn’t require Chase for every shoot.</w:t>
      </w:r>
      <w:r>
        <w:t xml:space="preserve"> </w:t>
      </w:r>
      <w:r>
        <w:t xml:space="preserve">- Chase gets a premium-tier channel where his name and eye command a real premium without having to market CPP separately for RE work.</w:t>
      </w:r>
      <w:r>
        <w:t xml:space="preserve"> </w:t>
      </w:r>
      <w:r>
        <w:t xml:space="preserve">- The client gets a real choice —</w:t>
      </w:r>
      <w:r>
        <w:t xml:space="preserve"> </w:t>
      </w:r>
      <w:r>
        <w:t xml:space="preserve">“I want a professional Tuthill shoot”</w:t>
      </w:r>
      <w:r>
        <w:t xml:space="preserve"> </w:t>
      </w:r>
      <w:r>
        <w:t xml:space="preserve">vs. </w:t>
      </w:r>
      <w:r>
        <w:t xml:space="preserve">“I want Chase specifically.”</w:t>
      </w:r>
      <w:r>
        <w:t xml:space="preserve"> </w:t>
      </w:r>
      <w:r>
        <w:t xml:space="preserve">- Tuthill revenue compounds (more shoots possible because Chase isn’t the bottleneck).</w:t>
      </w:r>
      <w:r>
        <w:t xml:space="preserve"> </w:t>
      </w:r>
      <w:r>
        <w:t xml:space="preserve">- Chase’s time stays fractional on RE — the work routes to him only when the premium tier is selected.</w:t>
      </w:r>
    </w:p>
    <w:p>
      <w:r>
        <w:pict>
          <v:rect style="width:0;height:1.5pt" o:hralign="center" o:hrstd="t" o:hr="t"/>
        </w:pict>
      </w:r>
    </w:p>
    <w:bookmarkEnd w:id="10"/>
    <w:bookmarkStart w:id="15" w:name="Xdaf46c11883518ea10d0c6ee024a198e59e58d9"/>
    <w:p>
      <w:pPr>
        <w:pStyle w:val="Heading2"/>
      </w:pPr>
      <w:r>
        <w:t xml:space="preserve">3. Revenue flow (framework — exact splits TBD with Miles)</w:t>
      </w:r>
    </w:p>
    <w:bookmarkStart w:id="11" w:name="X3ab74e22e733d8dc6c11ba171959bd42334a3c2"/>
    <w:p>
      <w:pPr>
        <w:pStyle w:val="Heading3"/>
      </w:pPr>
      <w:r>
        <w:t xml:space="preserve">When the client books the Tuthill standard tier AND the assigned shooter is NOT Chase:</w:t>
      </w:r>
    </w:p>
    <w:p>
      <w:pPr>
        <w:pStyle w:val="Compact"/>
        <w:numPr>
          <w:ilvl w:val="0"/>
          <w:numId w:val="1001"/>
        </w:numPr>
      </w:pPr>
      <w:r>
        <w:t xml:space="preserve">Client pays Tuthill Design</w:t>
      </w:r>
    </w:p>
    <w:p>
      <w:pPr>
        <w:pStyle w:val="Compact"/>
        <w:numPr>
          <w:ilvl w:val="0"/>
          <w:numId w:val="1001"/>
        </w:numPr>
      </w:pPr>
      <w:r>
        <w:t xml:space="preserve">Tuthill Design pays the assigned photographer per the standard contractor rate</w:t>
      </w:r>
    </w:p>
    <w:p>
      <w:pPr>
        <w:pStyle w:val="Compact"/>
        <w:numPr>
          <w:ilvl w:val="0"/>
          <w:numId w:val="1001"/>
        </w:numPr>
      </w:pPr>
      <w:r>
        <w:t xml:space="preserve">Tuthill Design keeps the margin</w:t>
      </w:r>
    </w:p>
    <w:p>
      <w:pPr>
        <w:pStyle w:val="Compact"/>
        <w:numPr>
          <w:ilvl w:val="0"/>
          <w:numId w:val="1001"/>
        </w:numPr>
      </w:pPr>
      <w:r>
        <w:t xml:space="preserve">MBT receives the marketing-operator fee (TBD — flat or percentage)</w:t>
      </w:r>
    </w:p>
    <w:bookmarkEnd w:id="11"/>
    <w:bookmarkStart w:id="12" w:name="Xfb182c9bbdff4c403d543fb09f0260b9cb8d502"/>
    <w:p>
      <w:pPr>
        <w:pStyle w:val="Heading3"/>
      </w:pPr>
      <w:r>
        <w:t xml:space="preserve">When the client books the Tuthill standard tier AND the assigned shooter IS Chase:</w:t>
      </w:r>
    </w:p>
    <w:p>
      <w:pPr>
        <w:pStyle w:val="Compact"/>
        <w:numPr>
          <w:ilvl w:val="0"/>
          <w:numId w:val="1002"/>
        </w:numPr>
      </w:pPr>
      <w:r>
        <w:t xml:space="preserve">Client pays Tuthill Design the standard rate</w:t>
      </w:r>
    </w:p>
    <w:p>
      <w:pPr>
        <w:pStyle w:val="Compact"/>
        <w:numPr>
          <w:ilvl w:val="0"/>
          <w:numId w:val="1002"/>
        </w:numPr>
      </w:pPr>
      <w:r>
        <w:t xml:space="preserve">Chase is paid at Tuthill’s standard contractor rate (same as any other shooter)</w:t>
      </w:r>
    </w:p>
    <w:p>
      <w:pPr>
        <w:pStyle w:val="Compact"/>
        <w:numPr>
          <w:ilvl w:val="0"/>
          <w:numId w:val="1002"/>
        </w:numPr>
      </w:pPr>
      <w:r>
        <w:t xml:space="preserve">Chase’s premium brand is not in play at this tier</w:t>
      </w:r>
    </w:p>
    <w:bookmarkEnd w:id="12"/>
    <w:bookmarkStart w:id="13" w:name="Xb276a13ffbfec1ff7b2778cb4b8d404af855f61"/>
    <w:p>
      <w:pPr>
        <w:pStyle w:val="Heading3"/>
      </w:pPr>
      <w:r>
        <w:t xml:space="preserve">When the client books the Chase-premium tier:</w:t>
      </w:r>
    </w:p>
    <w:p>
      <w:pPr>
        <w:pStyle w:val="Compact"/>
        <w:numPr>
          <w:ilvl w:val="0"/>
          <w:numId w:val="1003"/>
        </w:numPr>
      </w:pPr>
      <w:r>
        <w:t xml:space="preserve">Client pays Tuthill Design the premium rate</w:t>
      </w:r>
    </w:p>
    <w:p>
      <w:pPr>
        <w:pStyle w:val="Compact"/>
        <w:numPr>
          <w:ilvl w:val="0"/>
          <w:numId w:val="1003"/>
        </w:numPr>
      </w:pPr>
      <w:r>
        <w:t xml:space="preserve">Chase is paid at his premium shoot rate (significantly higher than standard contractor rate)</w:t>
      </w:r>
    </w:p>
    <w:p>
      <w:pPr>
        <w:pStyle w:val="Compact"/>
        <w:numPr>
          <w:ilvl w:val="0"/>
          <w:numId w:val="1003"/>
        </w:numPr>
      </w:pPr>
      <w:r>
        <w:t xml:space="preserve">Tuthill keeps a coordination/delivery fee (smaller absolute margin; the premium belongs to Chase)</w:t>
      </w:r>
    </w:p>
    <w:p>
      <w:pPr>
        <w:pStyle w:val="Compact"/>
        <w:numPr>
          <w:ilvl w:val="0"/>
          <w:numId w:val="1003"/>
        </w:numPr>
      </w:pPr>
      <w:r>
        <w:t xml:space="preserve">MBT receives the marketing-operator fee</w:t>
      </w:r>
    </w:p>
    <w:bookmarkEnd w:id="13"/>
    <w:bookmarkStart w:id="14" w:name="Xd97103b897904bb05b7ad2ef6d385dffa90dbd1"/>
    <w:p>
      <w:pPr>
        <w:pStyle w:val="Heading3"/>
      </w:pPr>
      <w:r>
        <w:t xml:space="preserve">Illustrative numbers (to be locked with Miles):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Client pays</w:t>
            </w:r>
          </w:p>
        </w:tc>
        <w:tc>
          <w:tcPr/>
          <w:p>
            <w:pPr>
              <w:pStyle w:val="Compact"/>
            </w:pPr>
            <w:r>
              <w:t xml:space="preserve">Tuthill keeps</w:t>
            </w:r>
          </w:p>
        </w:tc>
        <w:tc>
          <w:tcPr/>
          <w:p>
            <w:pPr>
              <w:pStyle w:val="Compact"/>
            </w:pPr>
            <w:r>
              <w:t xml:space="preserve">Chase paid</w:t>
            </w:r>
          </w:p>
        </w:tc>
        <w:tc>
          <w:tcPr/>
          <w:p>
            <w:pPr>
              <w:pStyle w:val="Compact"/>
            </w:pPr>
            <w:r>
              <w:t xml:space="preserve">MBT marketing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Tuthill standard (non-Chase shooter)</w:t>
            </w:r>
          </w:p>
        </w:tc>
        <w:tc>
          <w:tcPr/>
          <w:p>
            <w:pPr>
              <w:pStyle w:val="Compact"/>
            </w:pPr>
            <w:r>
              <w:t xml:space="preserve">$800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  <w:r>
              <w:t xml:space="preserve">$400 (to assigned photographer)</w:t>
            </w:r>
          </w:p>
        </w:tc>
        <w:tc>
          <w:tcPr/>
          <w:p>
            <w:pPr>
              <w:pStyle w:val="Compact"/>
            </w:pPr>
            <w:r>
              <w:t xml:space="preserve">$100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Tuthill standard (Chase shoots)</w:t>
            </w:r>
          </w:p>
        </w:tc>
        <w:tc>
          <w:tcPr/>
          <w:p>
            <w:pPr>
              <w:pStyle w:val="Compact"/>
            </w:pPr>
            <w:r>
              <w:t xml:space="preserve">$800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  <w:r>
              <w:t xml:space="preserve">$400</w:t>
            </w:r>
          </w:p>
        </w:tc>
        <w:tc>
          <w:tcPr/>
          <w:p>
            <w:pPr>
              <w:pStyle w:val="Compact"/>
            </w:pPr>
            <w:r>
              <w:t xml:space="preserve">$100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Chase-premium tier</w:t>
            </w:r>
          </w:p>
        </w:tc>
        <w:tc>
          <w:tcPr/>
          <w:p>
            <w:pPr>
              <w:pStyle w:val="Compact"/>
            </w:pPr>
            <w:r>
              <w:t xml:space="preserve">$1,500</w:t>
            </w:r>
          </w:p>
        </w:tc>
        <w:tc>
          <w:tcPr/>
          <w:p>
            <w:pPr>
              <w:pStyle w:val="Compact"/>
            </w:pPr>
            <w:r>
              <w:t xml:space="preserve">$300</w:t>
            </w:r>
          </w:p>
        </w:tc>
        <w:tc>
          <w:tcPr/>
          <w:p>
            <w:pPr>
              <w:pStyle w:val="Compact"/>
            </w:pPr>
            <w:r>
              <w:t xml:space="preserve">$1,100</w:t>
            </w:r>
          </w:p>
        </w:tc>
        <w:tc>
          <w:tcPr/>
          <w:p>
            <w:pPr>
              <w:pStyle w:val="Compact"/>
            </w:pPr>
            <w:r>
              <w:t xml:space="preserve">$100</w:t>
            </w:r>
          </w:p>
        </w:tc>
      </w:tr>
    </w:tbl>
    <w:p>
      <w:pPr>
        <w:pStyle w:val="BodyText"/>
      </w:pPr>
      <w:r>
        <w:t xml:space="preserve">These are placeholders. Real numbers depend on the Hudson Valley vs. Deep South market, deliverable package (photos + drone + twilight?), and whatever Miles and Chase agree is fair.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geographic-strategy"/>
    <w:p>
      <w:pPr>
        <w:pStyle w:val="Heading2"/>
      </w:pPr>
      <w:r>
        <w:t xml:space="preserve">4. Geographic strategy</w:t>
      </w:r>
    </w:p>
    <w:bookmarkStart w:id="16" w:name="hudson-valley-mayoctober-peak"/>
    <w:p>
      <w:pPr>
        <w:pStyle w:val="Heading3"/>
      </w:pPr>
      <w:r>
        <w:t xml:space="preserve">Hudson Valley (May–October peak)</w:t>
      </w:r>
    </w:p>
    <w:p>
      <w:pPr>
        <w:pStyle w:val="Compact"/>
        <w:numPr>
          <w:ilvl w:val="0"/>
          <w:numId w:val="1004"/>
        </w:numPr>
      </w:pPr>
      <w:r>
        <w:t xml:space="preserve">Primary corridor: Woodstock, Kingston, New Paltz, Hudson, Rhinebeck, Beacon</w:t>
      </w:r>
    </w:p>
    <w:p>
      <w:pPr>
        <w:pStyle w:val="Compact"/>
        <w:numPr>
          <w:ilvl w:val="0"/>
          <w:numId w:val="1004"/>
        </w:numPr>
      </w:pPr>
      <w:r>
        <w:t xml:space="preserve">Existing relationships to re-engage: Chase’s prior RE clients (Warren Realty, Halter Associates, various brokers)</w:t>
      </w:r>
    </w:p>
    <w:p>
      <w:pPr>
        <w:pStyle w:val="Compact"/>
        <w:numPr>
          <w:ilvl w:val="0"/>
          <w:numId w:val="1004"/>
        </w:numPr>
      </w:pPr>
      <w:r>
        <w:t xml:space="preserve">Tracy’s biz dev layered on top</w:t>
      </w:r>
    </w:p>
    <w:p>
      <w:pPr>
        <w:pStyle w:val="Compact"/>
        <w:numPr>
          <w:ilvl w:val="0"/>
          <w:numId w:val="1004"/>
        </w:numPr>
      </w:pPr>
      <w:r>
        <w:t xml:space="preserve">Counter-seasonal with Deep South</w:t>
      </w:r>
    </w:p>
    <w:bookmarkEnd w:id="16"/>
    <w:bookmarkStart w:id="17" w:name="deep-south-octoberapril-peak"/>
    <w:p>
      <w:pPr>
        <w:pStyle w:val="Heading3"/>
      </w:pPr>
      <w:r>
        <w:t xml:space="preserve">Deep South (October–April peak)</w:t>
      </w:r>
    </w:p>
    <w:p>
      <w:pPr>
        <w:pStyle w:val="Compact"/>
        <w:numPr>
          <w:ilvl w:val="0"/>
          <w:numId w:val="1005"/>
        </w:numPr>
      </w:pPr>
      <w:r>
        <w:t xml:space="preserve">Primary corridor: Natchez + Blues Highway + Delta</w:t>
      </w:r>
    </w:p>
    <w:p>
      <w:pPr>
        <w:pStyle w:val="Compact"/>
        <w:numPr>
          <w:ilvl w:val="0"/>
          <w:numId w:val="1005"/>
        </w:numPr>
      </w:pPr>
      <w:r>
        <w:t xml:space="preserve">Anchor: Paul Green Realty pilot (5-agent package, in the 90-day plan)</w:t>
      </w:r>
    </w:p>
    <w:p>
      <w:pPr>
        <w:pStyle w:val="Compact"/>
        <w:numPr>
          <w:ilvl w:val="0"/>
          <w:numId w:val="1005"/>
        </w:numPr>
      </w:pPr>
      <w:r>
        <w:t xml:space="preserve">Vicki Wolpert’s Woodstock broker directory is a cross-region reference — she refers south, we refer north</w:t>
      </w:r>
    </w:p>
    <w:p>
      <w:pPr>
        <w:pStyle w:val="Compact"/>
        <w:numPr>
          <w:ilvl w:val="0"/>
          <w:numId w:val="1005"/>
        </w:numPr>
      </w:pPr>
      <w:r>
        <w:t xml:space="preserve">New territory for Tuthill — this is the</w:t>
      </w:r>
      <w:r>
        <w:t xml:space="preserve"> </w:t>
      </w:r>
      <w:r>
        <w:t xml:space="preserve">“amplify into a new market”</w:t>
      </w:r>
      <w:r>
        <w:t xml:space="preserve"> </w:t>
      </w:r>
      <w:r>
        <w:t xml:space="preserve">play the partner-studios-pitch describes</w:t>
      </w:r>
    </w:p>
    <w:bookmarkEnd w:id="17"/>
    <w:bookmarkStart w:id="18" w:name="counter-seasonality-in-practice"/>
    <w:p>
      <w:pPr>
        <w:pStyle w:val="Heading3"/>
      </w:pPr>
      <w:r>
        <w:t xml:space="preserve">Counter-seasonality in practice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Quarter</w:t>
            </w:r>
          </w:p>
        </w:tc>
        <w:tc>
          <w:tcPr/>
          <w:p>
            <w:pPr>
              <w:pStyle w:val="Compact"/>
            </w:pPr>
            <w:r>
              <w:t xml:space="preserve">Hudson Valley</w:t>
            </w:r>
          </w:p>
        </w:tc>
        <w:tc>
          <w:tcPr/>
          <w:p>
            <w:pPr>
              <w:pStyle w:val="Compact"/>
            </w:pPr>
            <w:r>
              <w:t xml:space="preserve">Deep South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 (May–Jul)</w:t>
            </w:r>
          </w:p>
        </w:tc>
        <w:tc>
          <w:tcPr/>
          <w:p>
            <w:pPr>
              <w:pStyle w:val="Compact"/>
            </w:pPr>
            <w:r>
              <w:t xml:space="preserve">Peak RE season — listings, rentals, Airbnb</w:t>
            </w:r>
          </w:p>
        </w:tc>
        <w:tc>
          <w:tcPr/>
          <w:p>
            <w:pPr>
              <w:pStyle w:val="Compact"/>
            </w:pPr>
            <w:r>
              <w:t xml:space="preserve">Slow — heat + slow MS tourism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 (Aug–Oct)</w:t>
            </w:r>
          </w:p>
        </w:tc>
        <w:tc>
          <w:tcPr/>
          <w:p>
            <w:pPr>
              <w:pStyle w:val="Compact"/>
            </w:pPr>
            <w:r>
              <w:t xml:space="preserve">Strong fall listings</w:t>
            </w:r>
          </w:p>
        </w:tc>
        <w:tc>
          <w:tcPr/>
          <w:p>
            <w:pPr>
              <w:pStyle w:val="Compact"/>
            </w:pPr>
            <w:r>
              <w:t xml:space="preserve">Ramping into peak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(Nov–Jan)</w:t>
            </w:r>
          </w:p>
        </w:tc>
        <w:tc>
          <w:tcPr/>
          <w:p>
            <w:pPr>
              <w:pStyle w:val="Compact"/>
            </w:pPr>
            <w:r>
              <w:t xml:space="preserve">Winter slow</w:t>
            </w:r>
          </w:p>
        </w:tc>
        <w:tc>
          <w:tcPr/>
          <w:p>
            <w:pPr>
              <w:pStyle w:val="Compact"/>
            </w:pPr>
            <w:r>
              <w:t xml:space="preserve">Peak — holiday tourism + event bookings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(Feb–Apr)</w:t>
            </w:r>
          </w:p>
        </w:tc>
        <w:tc>
          <w:tcPr/>
          <w:p>
            <w:pPr>
              <w:pStyle w:val="Compact"/>
            </w:pPr>
            <w:r>
              <w:t xml:space="preserve">Pre-peak warm-up</w:t>
            </w:r>
          </w:p>
        </w:tc>
        <w:tc>
          <w:tcPr/>
          <w:p>
            <w:pPr>
              <w:pStyle w:val="Compact"/>
            </w:pPr>
            <w:r>
              <w:t xml:space="preserve">Still strong — spring tourism</w:t>
            </w:r>
          </w:p>
        </w:tc>
      </w:tr>
    </w:tbl>
    <w:p>
      <w:pPr>
        <w:pStyle w:val="BodyText"/>
      </w:pPr>
      <w:r>
        <w:t xml:space="preserve">One team, two regions, near-full-year utilization. That’s the shape.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marketing-push-first-90-days"/>
    <w:p>
      <w:pPr>
        <w:pStyle w:val="Heading2"/>
      </w:pPr>
      <w:r>
        <w:t xml:space="preserve">5. Marketing push — first 90 days</w:t>
      </w:r>
    </w:p>
    <w:p>
      <w:pPr>
        <w:pStyle w:val="FirstParagraph"/>
      </w:pPr>
      <w:r>
        <w:rPr>
          <w:b/>
          <w:bCs/>
        </w:rPr>
        <w:t xml:space="preserve">Channels: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Tracy’s biz dev / CRM</w:t>
            </w:r>
          </w:p>
        </w:tc>
        <w:tc>
          <w:tcPr/>
          <w:p>
            <w:pPr>
              <w:pStyle w:val="Compact"/>
            </w:pPr>
            <w:r>
              <w:t xml:space="preserve">Direct outreach to brokers + property managers</w:t>
            </w:r>
          </w:p>
        </w:tc>
        <w:tc>
          <w:tcPr/>
          <w:p>
            <w:pPr>
              <w:pStyle w:val="Compact"/>
            </w:pPr>
            <w:r>
              <w:t xml:space="preserve">Tracy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Tuthill Design portfolio page (web)</w:t>
            </w:r>
          </w:p>
        </w:tc>
        <w:tc>
          <w:tcPr/>
          <w:p>
            <w:pPr>
              <w:pStyle w:val="Compact"/>
            </w:pPr>
            <w:r>
              <w:t xml:space="preserve">Service catalog + booking surface</w:t>
            </w:r>
          </w:p>
        </w:tc>
        <w:tc>
          <w:tcPr/>
          <w:p>
            <w:pPr>
              <w:pStyle w:val="Compact"/>
            </w:pPr>
            <w:r>
              <w:t xml:space="preserve">MBT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South Directory (as applicable)</w:t>
            </w:r>
          </w:p>
        </w:tc>
        <w:tc>
          <w:tcPr/>
          <w:p>
            <w:pPr>
              <w:pStyle w:val="Compact"/>
            </w:pPr>
            <w:r>
              <w:t xml:space="preserve">Directory listing for RE services</w:t>
            </w:r>
          </w:p>
        </w:tc>
        <w:tc>
          <w:tcPr/>
          <w:p>
            <w:pPr>
              <w:pStyle w:val="Compact"/>
            </w:pPr>
            <w:r>
              <w:t xml:space="preserve">MBT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 Muddy Magazine</w:t>
            </w:r>
          </w:p>
        </w:tc>
        <w:tc>
          <w:tcPr/>
          <w:p>
            <w:pPr>
              <w:pStyle w:val="Compact"/>
            </w:pPr>
            <w:r>
              <w:t xml:space="preserve">Editorial coverage of notable properties</w:t>
            </w:r>
          </w:p>
        </w:tc>
        <w:tc>
          <w:tcPr/>
          <w:p>
            <w:pPr>
              <w:pStyle w:val="Compact"/>
            </w:pPr>
            <w:r>
              <w:t xml:space="preserve">Tracy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Studio C Video cross-pollination</w:t>
            </w:r>
          </w:p>
        </w:tc>
        <w:tc>
          <w:tcPr/>
          <w:p>
            <w:pPr>
              <w:pStyle w:val="Compact"/>
            </w:pPr>
            <w:r>
              <w:t xml:space="preserve">Video walkthrough upsell bundle</w:t>
            </w:r>
          </w:p>
        </w:tc>
        <w:tc>
          <w:tcPr/>
          <w:p>
            <w:pPr>
              <w:pStyle w:val="Compact"/>
            </w:pPr>
            <w:r>
              <w:t xml:space="preserve">Elijah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Paul Green Realty pilot</w:t>
            </w:r>
          </w:p>
        </w:tc>
        <w:tc>
          <w:tcPr/>
          <w:p>
            <w:pPr>
              <w:pStyle w:val="Compact"/>
            </w:pPr>
            <w:r>
              <w:t xml:space="preserve">First 5-agent package</w:t>
            </w:r>
          </w:p>
        </w:tc>
        <w:tc>
          <w:tcPr/>
          <w:p>
            <w:pPr>
              <w:pStyle w:val="Compact"/>
            </w:pPr>
            <w:r>
              <w:t xml:space="preserve">Chase + Tracy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Vicki Wolpert referrals</w:t>
            </w:r>
          </w:p>
        </w:tc>
        <w:tc>
          <w:tcPr/>
          <w:p>
            <w:pPr>
              <w:pStyle w:val="Compact"/>
            </w:pPr>
            <w:r>
              <w:t xml:space="preserve">Cross-region agent referrals</w:t>
            </w:r>
          </w:p>
        </w:tc>
        <w:tc>
          <w:tcPr/>
          <w:p>
            <w:pPr>
              <w:pStyle w:val="Compact"/>
            </w:pPr>
            <w:r>
              <w:t xml:space="preserve">Vicki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 NOT in scope for the first 90 days:</w:t>
      </w:r>
      <w:r>
        <w:t xml:space="preserve"> </w:t>
      </w:r>
      <w:r>
        <w:t xml:space="preserve">- Paid search / Google Ads on generic RE photography keywords (expensive, low conversion without local trust)</w:t>
      </w:r>
      <w:r>
        <w:t xml:space="preserve"> </w:t>
      </w:r>
      <w:r>
        <w:t xml:space="preserve">- Zillow / Redfin integration (not relevant for boutique/independent brokerage work)</w:t>
      </w:r>
      <w:r>
        <w:t xml:space="preserve"> </w:t>
      </w:r>
      <w:r>
        <w:t xml:space="preserve">- Third-party marketplace listings (Thumbtack, etc. — race-to-bottom pricing)</w:t>
      </w:r>
    </w:p>
    <w:p>
      <w:pPr>
        <w:pStyle w:val="BodyText"/>
      </w:pPr>
      <w:r>
        <w:rPr>
          <w:b/>
          <w:bCs/>
        </w:rPr>
        <w:t xml:space="preserve">Outreach cadence (Week 1 of the 90-day plan, Tracy owns):</w:t>
      </w:r>
      <w:r>
        <w:t xml:space="preserve"> </w:t>
      </w:r>
      <w:r>
        <w:t xml:space="preserve">- Split the existing photography-past-client list into (a) RE clients → Tuthill Design Photography pitch, (b) non-RE → CPP re-engagement</w:t>
      </w:r>
      <w:r>
        <w:t xml:space="preserve"> </w:t>
      </w:r>
      <w:r>
        <w:t xml:space="preserve">- RE re-engagement email opens:</w:t>
      </w:r>
      <w:r>
        <w:t xml:space="preserve"> </w:t>
      </w:r>
      <w:r>
        <w:t xml:space="preserve">“Chase is back to shooting in [region]. Tuthill Design Photography is the new home for his real estate work, with a two-tier booking (Tuthill standard rate or Chase-premium tier). Here’s the scope + pricing.”</w:t>
      </w:r>
      <w:r>
        <w:t xml:space="preserve"> </w:t>
      </w:r>
      <w:r>
        <w:t xml:space="preserve">- Non-RE re-engagement stays under CPP brand</w:t>
      </w:r>
    </w:p>
    <w:p>
      <w:r>
        <w:pict>
          <v:rect style="width:0;height:1.5pt" o:hralign="center" o:hrstd="t" o:hr="t"/>
        </w:pict>
      </w:r>
    </w:p>
    <w:bookmarkEnd w:id="20"/>
    <w:bookmarkStart w:id="21" w:name="operational-workflow"/>
    <w:p>
      <w:pPr>
        <w:pStyle w:val="Heading2"/>
      </w:pPr>
      <w:r>
        <w:t xml:space="preserve">6. Operational workflow</w:t>
      </w:r>
    </w:p>
    <w:p>
      <w:pPr>
        <w:pStyle w:val="FirstParagraph"/>
      </w:pPr>
      <w:r>
        <w:rPr>
          <w:b/>
          <w:bCs/>
        </w:rPr>
        <w:t xml:space="preserve">Intake</w:t>
      </w:r>
      <w:r>
        <w:t xml:space="preserve"> </w:t>
      </w:r>
      <w:r>
        <w:t xml:space="preserve">(any channel):</w:t>
      </w:r>
      <w:r>
        <w:t xml:space="preserve"> </w:t>
      </w:r>
      <w:r>
        <w:t xml:space="preserve">1. Client lands on Tuthill Design Photography booking page or contacts Tracy</w:t>
      </w:r>
      <w:r>
        <w:t xml:space="preserve"> </w:t>
      </w:r>
      <w:r>
        <w:t xml:space="preserve">2. Chooses property scope (square footage, rooms, drone yes/no, twilight yes/no, video yes/no)</w:t>
      </w:r>
      <w:r>
        <w:t xml:space="preserve"> </w:t>
      </w:r>
      <w:r>
        <w:t xml:space="preserve">3. Chooses tier: Tuthill standard vs. Chase-premium</w:t>
      </w:r>
      <w:r>
        <w:t xml:space="preserve"> </w:t>
      </w:r>
      <w:r>
        <w:t xml:space="preserve">4. Chooses date</w:t>
      </w:r>
      <w:r>
        <w:t xml:space="preserve"> </w:t>
      </w:r>
      <w:r>
        <w:t xml:space="preserve">5. Deposit collected via Stripe</w:t>
      </w:r>
    </w:p>
    <w:p>
      <w:pPr>
        <w:pStyle w:val="BodyText"/>
      </w:pPr>
      <w:r>
        <w:rPr>
          <w:b/>
          <w:bCs/>
        </w:rPr>
        <w:t xml:space="preserve">Assignment</w:t>
      </w:r>
      <w:r>
        <w:t xml:space="preserve"> </w:t>
      </w:r>
      <w:r>
        <w:t xml:space="preserve">(Tuthill operations):</w:t>
      </w:r>
      <w:r>
        <w:t xml:space="preserve"> </w:t>
      </w:r>
      <w:r>
        <w:t xml:space="preserve">- Tuthill-standard tier → Tuthill assigns from available pool based on date + geography</w:t>
      </w:r>
      <w:r>
        <w:t xml:space="preserve"> </w:t>
      </w:r>
      <w:r>
        <w:t xml:space="preserve">- Chase-premium tier → Chase personally, calendar-locked</w:t>
      </w:r>
      <w:r>
        <w:t xml:space="preserve"> </w:t>
      </w:r>
      <w:r>
        <w:t xml:space="preserve">- If Chase-premium is requested but Chase is unavailable on the requested date, client can either reschedule or drop to standard rate with different shooter (clearly communicated at booking)</w:t>
      </w:r>
    </w:p>
    <w:p>
      <w:pPr>
        <w:pStyle w:val="BodyText"/>
      </w:pPr>
      <w:r>
        <w:rPr>
          <w:b/>
          <w:bCs/>
        </w:rPr>
        <w:t xml:space="preserve">Delivery</w:t>
      </w:r>
      <w:r>
        <w:t xml:space="preserve"> </w:t>
      </w:r>
      <w:r>
        <w:t xml:space="preserve">(Tuthill standardized):</w:t>
      </w:r>
      <w:r>
        <w:t xml:space="preserve"> </w:t>
      </w:r>
      <w:r>
        <w:t xml:space="preserve">- Raw capture handled by assigned shooter</w:t>
      </w:r>
      <w:r>
        <w:t xml:space="preserve"> </w:t>
      </w:r>
      <w:r>
        <w:t xml:space="preserve">- Edits + color grading done by Tuthill’s editing workflow (standardized look for the brand regardless of shooter)</w:t>
      </w:r>
      <w:r>
        <w:t xml:space="preserve"> </w:t>
      </w:r>
      <w:r>
        <w:t xml:space="preserve">- Delivery: Tuthill-branded gallery, 48–72 hour turnaround for standard, 72-hour for premium with Chase’s personal selects/edits highlighted</w:t>
      </w:r>
      <w:r>
        <w:t xml:space="preserve"> </w:t>
      </w:r>
      <w:r>
        <w:t xml:space="preserve">- Client gets Tuthill Design Photography delivery, consistent with brand</w:t>
      </w:r>
    </w:p>
    <w:p>
      <w:pPr>
        <w:pStyle w:val="BodyText"/>
      </w:pPr>
      <w:r>
        <w:rPr>
          <w:b/>
          <w:bCs/>
        </w:rPr>
        <w:t xml:space="preserve">Studio C Video upsell:</w:t>
      </w:r>
      <w:r>
        <w:t xml:space="preserve"> </w:t>
      </w:r>
      <w:r>
        <w:t xml:space="preserve">- At booking or at delivery, customer offered video walkthrough add-on</w:t>
      </w:r>
      <w:r>
        <w:t xml:space="preserve"> </w:t>
      </w:r>
      <w:r>
        <w:t xml:space="preserve">- Elijah / Studio C fulfills</w:t>
      </w:r>
      <w:r>
        <w:t xml:space="preserve"> </w:t>
      </w:r>
      <w:r>
        <w:t xml:space="preserve">- Creates a natural Tuthill + Studio C bundle under the partner-amplification thesis</w:t>
      </w:r>
    </w:p>
    <w:p>
      <w:r>
        <w:pict>
          <v:rect style="width:0;height:1.5pt" o:hralign="center" o:hrstd="t" o:hr="t"/>
        </w:pict>
      </w:r>
    </w:p>
    <w:bookmarkEnd w:id="21"/>
    <w:bookmarkStart w:id="22" w:name="X46237f58c98a1575c8d12fe36d51cca78694fb3"/>
    <w:p>
      <w:pPr>
        <w:pStyle w:val="Heading2"/>
      </w:pPr>
      <w:r>
        <w:t xml:space="preserve">7. What Tuthill Design (Miles) needs to agree to</w:t>
      </w:r>
    </w:p>
    <w:p>
      <w:pPr>
        <w:pStyle w:val="FirstParagraph"/>
      </w:pPr>
      <w:r>
        <w:t xml:space="preserve">Before this ships, Chase and Miles have a 30-minute alignment call covering: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Brand use</w:t>
      </w:r>
      <w:r>
        <w:t xml:space="preserve"> </w:t>
      </w:r>
      <w:r>
        <w:t xml:space="preserve">— Tuthill Design Photography is a Tuthill-branded service; does Miles approve the brand-extension and the two-tier pricing model?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ownership</w:t>
      </w:r>
      <w:r>
        <w:t xml:space="preserve"> </w:t>
      </w:r>
      <w:r>
        <w:t xml:space="preserve">— who owns shooter assignment, editing workflow, client delivery? Tuthill or MBT?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Revenue share splits</w:t>
      </w:r>
      <w:r>
        <w:t xml:space="preserve"> </w:t>
      </w:r>
      <w:r>
        <w:t xml:space="preserve">— exact percentages on each tier; MBT marketing-operator fee structure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Shooter pool</w:t>
      </w:r>
      <w:r>
        <w:t xml:space="preserve"> </w:t>
      </w:r>
      <w:r>
        <w:t xml:space="preserve">— does Tuthill recruit standard-tier photographers, or does MBT handle it?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Reporting cadence</w:t>
      </w:r>
      <w:r>
        <w:t xml:space="preserve"> </w:t>
      </w:r>
      <w:r>
        <w:t xml:space="preserve">— how often does Tuthill see booking pipeline and revenue split?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Exit clause</w:t>
      </w:r>
      <w:r>
        <w:t xml:space="preserve"> </w:t>
      </w:r>
      <w:r>
        <w:t xml:space="preserve">— if either side wants out, what’s the notice period + obligations to open bookings?</w:t>
      </w:r>
    </w:p>
    <w:p>
      <w:pPr>
        <w:pStyle w:val="FirstParagraph"/>
      </w:pPr>
      <w:r>
        <w:t xml:space="preserve">The partner-studios-pitch already frames the larger relationship. This call is the concrete product-level agreement inside that frame.</w:t>
      </w:r>
    </w:p>
    <w:p>
      <w:r>
        <w:pict>
          <v:rect style="width:0;height:1.5pt" o:hralign="center" o:hrstd="t" o:hr="t"/>
        </w:pict>
      </w:r>
    </w:p>
    <w:bookmarkEnd w:id="22"/>
    <w:bookmarkStart w:id="23" w:name="X0bf9cc15911c230d50f008db418affe116c47c4"/>
    <w:p>
      <w:pPr>
        <w:pStyle w:val="Heading2"/>
      </w:pPr>
      <w:r>
        <w:t xml:space="preserve">8. Chase Pierson Photography (CPP) — scope, refined</w:t>
      </w:r>
    </w:p>
    <w:p>
      <w:pPr>
        <w:pStyle w:val="FirstParagraph"/>
      </w:pPr>
      <w:r>
        <w:t xml:space="preserve">Under the new split, CPP is</w:t>
      </w:r>
      <w:r>
        <w:t xml:space="preserve"> </w:t>
      </w:r>
      <w:r>
        <w:rPr>
          <w:b/>
          <w:bCs/>
        </w:rPr>
        <w:t xml:space="preserve">everything non-real-estate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Portraits (headshots, family, executive, editorial)</w:t>
      </w:r>
    </w:p>
    <w:p>
      <w:pPr>
        <w:pStyle w:val="Compact"/>
        <w:numPr>
          <w:ilvl w:val="0"/>
          <w:numId w:val="1007"/>
        </w:numPr>
      </w:pPr>
      <w:r>
        <w:t xml:space="preserve">Events (weddings — the wedding package from the 90-day plan lives here — corporate events, private events, tour documentation)</w:t>
      </w:r>
    </w:p>
    <w:p>
      <w:pPr>
        <w:pStyle w:val="Compact"/>
        <w:numPr>
          <w:ilvl w:val="0"/>
          <w:numId w:val="1007"/>
        </w:numPr>
      </w:pPr>
      <w:r>
        <w:t xml:space="preserve">Fine art + gallery print sales (Chase Pierson Photography gallery, ongoing)</w:t>
      </w:r>
    </w:p>
    <w:p>
      <w:pPr>
        <w:pStyle w:val="Compact"/>
        <w:numPr>
          <w:ilvl w:val="0"/>
          <w:numId w:val="1007"/>
        </w:numPr>
      </w:pPr>
      <w:r>
        <w:t xml:space="preserve">Editorial assignments (Big Muddy Magazine, outside editorial)</w:t>
      </w:r>
    </w:p>
    <w:p>
      <w:pPr>
        <w:pStyle w:val="Compact"/>
        <w:numPr>
          <w:ilvl w:val="0"/>
          <w:numId w:val="1007"/>
        </w:numPr>
      </w:pPr>
      <w:r>
        <w:t xml:space="preserve">Brand / commercial photography for non-RE brands</w:t>
      </w:r>
    </w:p>
    <w:p>
      <w:pPr>
        <w:pStyle w:val="Compact"/>
        <w:numPr>
          <w:ilvl w:val="0"/>
          <w:numId w:val="1007"/>
        </w:numPr>
      </w:pPr>
      <w:r>
        <w:t xml:space="preserve">Travel / place photography (the Mississippi stock footage pipeline, the Bearsville/Catskills archive)</w:t>
      </w:r>
    </w:p>
    <w:p>
      <w:pPr>
        <w:pStyle w:val="Compact"/>
        <w:numPr>
          <w:ilvl w:val="0"/>
          <w:numId w:val="1007"/>
        </w:numPr>
      </w:pPr>
      <w:r>
        <w:t xml:space="preserve">Blues Room + Studio C live shoot documentation</w:t>
      </w:r>
    </w:p>
    <w:p>
      <w:pPr>
        <w:pStyle w:val="FirstParagraph"/>
      </w:pPr>
      <w:r>
        <w:t xml:space="preserve">CPP keeps its brand, its gallery, its existing marketing surface, and its client relationships.</w:t>
      </w:r>
    </w:p>
    <w:p>
      <w:pPr>
        <w:pStyle w:val="BodyText"/>
      </w:pPr>
      <w:r>
        <w:rPr>
          <w:b/>
          <w:bCs/>
        </w:rPr>
        <w:t xml:space="preserve">What CPP is NOT doing anymore:</w:t>
      </w:r>
      <w:r>
        <w:t xml:space="preserve"> </w:t>
      </w:r>
      <w:r>
        <w:t xml:space="preserve">real estate listing photography. Those leads route to Tuthill Design Photography.</w:t>
      </w:r>
    </w:p>
    <w:p>
      <w:r>
        <w:pict>
          <v:rect style="width:0;height:1.5pt" o:hralign="center" o:hrstd="t" o:hr="t"/>
        </w:pict>
      </w:r>
    </w:p>
    <w:bookmarkEnd w:id="23"/>
    <w:bookmarkStart w:id="24" w:name="Xeb4c605fb147c1e6ea7707226ad797dfb38f106"/>
    <w:p>
      <w:pPr>
        <w:pStyle w:val="Heading2"/>
      </w:pPr>
      <w:r>
        <w:t xml:space="preserve">9. Entity-structure decision for CPP (recommendation)</w:t>
      </w:r>
    </w:p>
    <w:p>
      <w:pPr>
        <w:pStyle w:val="FirstParagraph"/>
      </w:pPr>
      <w:r>
        <w:rPr>
          <w:b/>
          <w:bCs/>
        </w:rPr>
        <w:t xml:space="preserve">Three options on the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Rename FarleyPierson LLC → Chase Pierson Photography LLC</w:t>
            </w:r>
          </w:p>
        </w:tc>
        <w:tc>
          <w:tcPr/>
          <w:p>
            <w:pPr>
              <w:pStyle w:val="Compact"/>
            </w:pPr>
            <w:r>
              <w:t xml:space="preserve">Keep the NY entity + EIN (81-4280721), file an amendment to change the name</w:t>
            </w:r>
          </w:p>
        </w:tc>
        <w:tc>
          <w:tcPr/>
          <w:p>
            <w:pPr>
              <w:pStyle w:val="Compact"/>
            </w:pPr>
            <w:r>
              <w:t xml:space="preserve">Minimal disruption; EIN preserved; dedicated entity for CPP</w:t>
            </w:r>
          </w:p>
        </w:tc>
        <w:tc>
          <w:tcPr/>
          <w:p>
            <w:pPr>
              <w:pStyle w:val="Compact"/>
            </w:pPr>
            <w:r>
              <w:t xml:space="preserve">NY filing fee + time; adds an ongoing LLC to maintain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Close FarleyPierson LLC. Run CPP as a DBA (</w:t>
            </w:r>
            <w:r>
              <w:rPr>
                <w:b/>
                <w:bCs/>
              </w:rPr>
              <w:t xml:space="preserve">“doing business as”</w:t>
            </w:r>
            <w:r>
              <w:rPr>
                <w:b/>
                <w:bCs/>
              </w:rPr>
              <w:t xml:space="preserve">) of MBT</w:t>
            </w:r>
          </w:p>
        </w:tc>
        <w:tc>
          <w:tcPr/>
          <w:p>
            <w:pPr>
              <w:pStyle w:val="Compact"/>
            </w:pPr>
            <w:r>
              <w:t xml:space="preserve">MBT = legal operating entity;</w:t>
            </w:r>
            <w:r>
              <w:t xml:space="preserve"> </w:t>
            </w:r>
            <w:r>
              <w:t xml:space="preserve">“Chase Pierson Photography”</w:t>
            </w:r>
            <w:r>
              <w:t xml:space="preserve"> </w:t>
            </w:r>
            <w:r>
              <w:t xml:space="preserve">is a DBA registered in whatever state MBT operates in</w:t>
            </w:r>
          </w:p>
        </w:tc>
        <w:tc>
          <w:tcPr/>
          <w:p>
            <w:pPr>
              <w:pStyle w:val="Compact"/>
            </w:pPr>
            <w:r>
              <w:t xml:space="preserve">Simplest admin; MBT already exists; one entity, multiple brand surfaces (like Big Muddy Touring, Big Muddy Magazine, etc. could all be DBAs)</w:t>
            </w:r>
          </w:p>
        </w:tc>
        <w:tc>
          <w:tcPr/>
          <w:p>
            <w:pPr>
              <w:pStyle w:val="Compact"/>
            </w:pPr>
            <w:r>
              <w:t xml:space="preserve">MBT’s bookkeeping mixes platform + service revenue (not a real problem, just messier in reports)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Close FarleyPierson LLC. Spin up new Chase Pierson Photography LLC</w:t>
            </w:r>
          </w:p>
        </w:tc>
        <w:tc>
          <w:tcPr/>
          <w:p>
            <w:pPr>
              <w:pStyle w:val="Compact"/>
            </w:pPr>
            <w:r>
              <w:t xml:space="preserve">New entity with new EIN, new bank account, new everything</w:t>
            </w:r>
          </w:p>
        </w:tc>
        <w:tc>
          <w:tcPr/>
          <w:p>
            <w:pPr>
              <w:pStyle w:val="Compact"/>
            </w:pPr>
            <w:r>
              <w:t xml:space="preserve">Clean dedicated entity; clean liability boundary</w:t>
            </w:r>
          </w:p>
        </w:tc>
        <w:tc>
          <w:tcPr/>
          <w:p>
            <w:pPr>
              <w:pStyle w:val="Compact"/>
            </w:pPr>
            <w:r>
              <w:t xml:space="preserve">Most admin overhead; new EIN means every client needs updated W-9s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Recommendation: Option 2 — close FarleyPierson LLC, run CPP as a DBA of MBT.</w:t>
      </w:r>
    </w:p>
    <w:p>
      <w:pPr>
        <w:pStyle w:val="BodyText"/>
      </w:pPr>
      <w:r>
        <w:t xml:space="preserve">Why:</w:t>
      </w:r>
      <w:r>
        <w:t xml:space="preserve"> </w:t>
      </w:r>
      <w:r>
        <w:t xml:space="preserve">- MBT is already the operating entity for the whole ecosystem. Adding CPP as a DBA is the same pattern Big Muddy Natchez LLC follows (a subsidiary of MBT for distinct liability profile). CPP’s liability profile is low (service + IP, no guests, no road, no venue), so a DBA is sufficient without a full subsidiary LLC.</w:t>
      </w:r>
      <w:r>
        <w:t xml:space="preserve"> </w:t>
      </w:r>
      <w:r>
        <w:t xml:space="preserve">- Closes one legacy LLC (FarleyPierson) that was flagged for retirement back on 2026-04-19 anyway.</w:t>
      </w:r>
      <w:r>
        <w:t xml:space="preserve"> </w:t>
      </w:r>
      <w:r>
        <w:t xml:space="preserve">- Lets Chase bill clients under</w:t>
      </w:r>
      <w:r>
        <w:t xml:space="preserve"> </w:t>
      </w:r>
      <w:r>
        <w:t xml:space="preserve">“Chase Pierson Photography”</w:t>
      </w:r>
      <w:r>
        <w:t xml:space="preserve"> </w:t>
      </w:r>
      <w:r>
        <w:t xml:space="preserve">without maintaining a dedicated entity.</w:t>
      </w:r>
      <w:r>
        <w:t xml:space="preserve"> </w:t>
      </w:r>
      <w:r>
        <w:t xml:space="preserve">- Streamlines accounting — one operating entity for the ecosystem, multiple revenue streams by DBA + by department.</w:t>
      </w:r>
      <w:r>
        <w:t xml:space="preserve"> </w:t>
      </w:r>
      <w:r>
        <w:t xml:space="preserve">- Counsel still needs to rubber-stamp it, but it’s the path with the fewest moving parts.</w:t>
      </w:r>
    </w:p>
    <w:p>
      <w:pPr>
        <w:pStyle w:val="BodyText"/>
      </w:pPr>
      <w:r>
        <w:rPr>
          <w:b/>
          <w:bCs/>
        </w:rPr>
        <w:t xml:space="preserve">Action:</w:t>
      </w:r>
      <w:r>
        <w:t xml:space="preserve"> </w:t>
      </w:r>
      <w:r>
        <w:t xml:space="preserve">before executing, confirm with counsel that (a) MBT can register</w:t>
      </w:r>
      <w:r>
        <w:t xml:space="preserve"> </w:t>
      </w:r>
      <w:r>
        <w:t xml:space="preserve">“Chase Pierson Photography”</w:t>
      </w:r>
      <w:r>
        <w:t xml:space="preserve"> </w:t>
      </w:r>
      <w:r>
        <w:t xml:space="preserve">as a DBA in its home state, (b) it’s also registrable in NY (where Hudson Valley clients are), (c) closing FarleyPierson LLC doesn’t have any outstanding tax or contract obligations.</w:t>
      </w:r>
    </w:p>
    <w:p>
      <w:r>
        <w:pict>
          <v:rect style="width:0;height:1.5pt" o:hralign="center" o:hrstd="t" o:hr="t"/>
        </w:pict>
      </w:r>
    </w:p>
    <w:bookmarkEnd w:id="24"/>
    <w:bookmarkStart w:id="25" w:name="what-this-changes-in-the-existing-docs"/>
    <w:p>
      <w:pPr>
        <w:pStyle w:val="Heading2"/>
      </w:pPr>
      <w:r>
        <w:t xml:space="preserve">10. What this changes in the existing docs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THE_THESIS.md</w:t>
      </w:r>
      <w:r>
        <w:t xml:space="preserve"> </w:t>
      </w:r>
      <w:r>
        <w:t xml:space="preserve">— portfolio section gets a Tuthill Design Photography line; CPP line gets refined to</w:t>
      </w:r>
      <w:r>
        <w:t xml:space="preserve"> </w:t>
      </w:r>
      <w:r>
        <w:t xml:space="preserve">“non-RE only”</w:t>
      </w:r>
      <w:r>
        <w:t xml:space="preserve">; entity-structure note updated from</w:t>
      </w:r>
      <w:r>
        <w:t xml:space="preserve"> </w:t>
      </w:r>
      <w:r>
        <w:t xml:space="preserve">“FarleyPierson TBD”</w:t>
      </w:r>
      <w:r>
        <w:t xml:space="preserve"> </w:t>
      </w:r>
      <w:r>
        <w:t xml:space="preserve">to</w:t>
      </w:r>
      <w:r>
        <w:t xml:space="preserve"> </w:t>
      </w:r>
      <w:r>
        <w:t xml:space="preserve">“close + DBA from MBT (pending counsel)”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90_DAY_PLAN.md</w:t>
      </w:r>
      <w:r>
        <w:t xml:space="preserve"> </w:t>
      </w:r>
      <w:r>
        <w:t xml:space="preserve">— Week 1 photography re-engagement splits into two outreach tracks (Tuthill RE vs. CPP non-RE); the $100k CPP revenue line needs to be re-cast as</w:t>
      </w:r>
      <w:r>
        <w:t xml:space="preserve"> </w:t>
      </w:r>
      <w:r>
        <w:t xml:space="preserve">“photography revenue”</w:t>
      </w:r>
      <w:r>
        <w:t xml:space="preserve"> </w:t>
      </w:r>
      <w:r>
        <w:t xml:space="preserve">spanning Tuthill RE + CPP non-RE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STORY_KIT.md</w:t>
      </w:r>
      <w:r>
        <w:t xml:space="preserve"> </w:t>
      </w:r>
      <w:r>
        <w:t xml:space="preserve">— brand descriptions add Tuthill Design Photography; CPP brand description refined to non-RE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partner-studios-pitch-2026-04-20.md</w:t>
      </w:r>
      <w:r>
        <w:t xml:space="preserve"> </w:t>
      </w:r>
      <w:r>
        <w:t xml:space="preserve">— Tuthill Design gets an explicit product-level scope (photography service line) to anchor the conversation with Miles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/story page</w:t>
      </w:r>
      <w:r>
        <w:t xml:space="preserve"> </w:t>
      </w:r>
      <w:r>
        <w:t xml:space="preserve">— portfolio section reflects the split</w:t>
      </w:r>
    </w:p>
    <w:p>
      <w:r>
        <w:pict>
          <v:rect style="width:0;height:1.5pt" o:hralign="center" o:hrstd="t" o:hr="t"/>
        </w:pict>
      </w:r>
    </w:p>
    <w:bookmarkEnd w:id="25"/>
    <w:bookmarkStart w:id="26" w:name="open-decisions-for-chase"/>
    <w:p>
      <w:pPr>
        <w:pStyle w:val="Heading2"/>
      </w:pPr>
      <w:r>
        <w:t xml:space="preserve">11. Open decisions for Chase</w:t>
      </w:r>
    </w:p>
    <w:p>
      <w:pPr>
        <w:pStyle w:val="Compact"/>
        <w:numPr>
          <w:ilvl w:val="0"/>
          <w:numId w:val="1009"/>
        </w:numPr>
      </w:pPr>
      <w:r>
        <w:t xml:space="preserve">Approve Option 2 (FarleyPierson close + DBA from MBT) — or go with Option 1 (rename)?</w:t>
      </w:r>
    </w:p>
    <w:p>
      <w:pPr>
        <w:pStyle w:val="Compact"/>
        <w:numPr>
          <w:ilvl w:val="0"/>
          <w:numId w:val="1009"/>
        </w:numPr>
      </w:pPr>
      <w:r>
        <w:t xml:space="preserve">Lock the tier pricing (illustrative in Section 3 — need real numbers for Tuthill standard + Chase-premium across property-size brackets)</w:t>
      </w:r>
    </w:p>
    <w:p>
      <w:pPr>
        <w:pStyle w:val="Compact"/>
        <w:numPr>
          <w:ilvl w:val="0"/>
          <w:numId w:val="1009"/>
        </w:numPr>
      </w:pPr>
      <w:r>
        <w:t xml:space="preserve">Miles alignment call — scheduled when?</w:t>
      </w:r>
    </w:p>
    <w:p>
      <w:pPr>
        <w:pStyle w:val="Compact"/>
        <w:numPr>
          <w:ilvl w:val="0"/>
          <w:numId w:val="1009"/>
        </w:numPr>
      </w:pPr>
      <w:r>
        <w:t xml:space="preserve">Standard-tier shooter pool — who recruits? (Recommend Miles/Tuthill since it’s their brand + workflow)</w:t>
      </w:r>
    </w:p>
    <w:p>
      <w:pPr>
        <w:pStyle w:val="Compact"/>
        <w:numPr>
          <w:ilvl w:val="0"/>
          <w:numId w:val="1009"/>
        </w:numPr>
      </w:pPr>
      <w:r>
        <w:t xml:space="preserve">MBT marketing-operator fee — flat per shoot, percentage of booking, or retainer? (Recommend percentage tied to the Tuthill side so it scales with volume without burdening the operator fee when volume is low)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scope doc.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2026-04-20T22:30:45Z</dcterms:created>
  <dcterms:modified xsi:type="dcterms:W3CDTF">2026-04-20T22:30:45Z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