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 (CPP)</w:t>
      </w:r>
      <w:r>
        <w:t xml:space="preserve"> </w:t>
      </w:r>
      <w:r>
        <w:t xml:space="preserve">— established photography business, 6-year $100k+/yr track record. Refined scope as of 2026-04-20:</w:t>
      </w:r>
      <w:r>
        <w:t xml:space="preserve"> </w:t>
      </w:r>
      <w:r>
        <w:rPr>
          <w:b/>
          <w:bCs/>
        </w:rPr>
        <w:t xml:space="preserve">non-real-estate work only</w:t>
      </w:r>
      <w:r>
        <w:t xml:space="preserve"> </w:t>
      </w:r>
      <w:r>
        <w:t xml:space="preserve">— portraits, events (including weddings), editorial, fine art + gallery print sales, brand/commercial, travel/place, Blues Room + Studio C documentation. Real-estate listing work moves to Tuthill Design Photography (see below). Expanding into Natchez + the Deep South via Tracy’s biz dev.</w:t>
      </w:r>
      <w:r>
        <w:t xml:space="preserve"> </w:t>
      </w:r>
      <w:r>
        <w:t xml:space="preserve">-</w:t>
      </w:r>
      <w:r>
        <w:t xml:space="preserve"> </w:t>
      </w:r>
      <w:r>
        <w:rPr>
          <w:b/>
          <w:bCs/>
        </w:rPr>
        <w:t xml:space="preserve">Tuthill Design Photography</w:t>
      </w:r>
      <w:r>
        <w:t xml:space="preserve"> </w:t>
      </w:r>
      <w:r>
        <w:t xml:space="preserve">— NEW service line under Tuthill Design, launching 2026-04-20. Real-estate photography in two regions (Hudson Valley + Deep South), two-tier booking: Tuthill Design standard rate (any Tuthill photographer) or Chase Pierson premium tier (Chase personally, higher rate). MBT markets, Tuthill delivers. Counter-seasonal across regions. Full scope:</w:t>
      </w:r>
      <w:r>
        <w:t xml:space="preserve"> </w:t>
      </w:r>
      <w:r>
        <w:rPr>
          <w:rStyle w:val="VerbatimChar"/>
        </w:rPr>
        <w:t xml:space="preserve">docs/partners/tuthill-photography-scope-2026-04-20.md</w:t>
      </w:r>
      <w:r>
        <w:t xml:space="preserve">.</w:t>
      </w:r>
      <w:r>
        <w:t xml:space="preserve"> </w:t>
      </w:r>
      <w:r>
        <w:t xml:space="preserve">-</w:t>
      </w:r>
      <w:r>
        <w:t xml:space="preserve"> </w:t>
      </w:r>
      <w:r>
        <w:rPr>
          <w:b/>
          <w:bCs/>
        </w:rPr>
        <w:t xml:space="preserve">Big Muddy markets Studio C AND Tuthill Design, full-brand.</w:t>
      </w:r>
      <w:r>
        <w:t xml:space="preserve"> </w:t>
      </w:r>
      <w:r>
        <w:t xml:space="preserve">This is explicit: MBT / Big Muddy drives marketing and promotion for Studio C Video (not just the new Tuthill Photography service line, but Studio C’s full production capability) AND Tuthill Design (not just Photography, but Tuthill’s design work as a whole). Both partner studios get their brand amplified by the Big Muddy audience, Magazine, social channels, and Tracy’s biz dev — same way the Big Muddy brands get amplified. This is the</w:t>
      </w:r>
      <w:r>
        <w:t xml:space="preserve"> </w:t>
      </w:r>
      <w:r>
        <w:t xml:space="preserve">“partner-amplification”</w:t>
      </w:r>
      <w:r>
        <w:t xml:space="preserve"> </w:t>
      </w:r>
      <w:r>
        <w:t xml:space="preserve">thesis in concrete form: the partnership isn’t one-way. Big Muddy is the marketing engine for all three production studios in the ecosystem (CPP, Studio C, Tuthill).</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 Also the planned Tier-1 support layer for Big Muddy Inn Cloudbeds operations (per Tracy’s ask for a human support contact).</w:t>
      </w:r>
      <w:r>
        <w:t xml:space="preserve"> </w:t>
      </w:r>
      <w:r>
        <w:t xml:space="preserve">-</w:t>
      </w:r>
      <w:r>
        <w:t xml:space="preserve"> </w:t>
      </w:r>
      <w:r>
        <w:rPr>
          <w:b/>
          <w:bCs/>
        </w:rPr>
        <w:t xml:space="preserve">FarleyPierson LLC</w:t>
      </w:r>
      <w:r>
        <w:t xml:space="preserve"> </w:t>
      </w:r>
      <w:r>
        <w:t xml:space="preserve">— name is being retired.</w:t>
      </w:r>
      <w:r>
        <w:t xml:space="preserve"> </w:t>
      </w:r>
      <w:r>
        <w:rPr>
          <w:b/>
          <w:bCs/>
        </w:rPr>
        <w:t xml:space="preserve">Recommended path (pending counsel):</w:t>
      </w:r>
      <w:r>
        <w:t xml:space="preserve"> </w:t>
      </w:r>
      <w:r>
        <w:t xml:space="preserve">close the NY LLC entirely. Run CPP as a</w:t>
      </w:r>
      <w:r>
        <w:t xml:space="preserve"> </w:t>
      </w:r>
      <w:r>
        <w:rPr>
          <w:b/>
          <w:bCs/>
        </w:rPr>
        <w:t xml:space="preserve">DBA under MBT</w:t>
      </w:r>
      <w:r>
        <w:t xml:space="preserve"> </w:t>
      </w:r>
      <w:r>
        <w:t xml:space="preserve">(same entity pattern that would cover Big Muddy Touring, Big Muddy Magazine, etc.). Simplest admin; MBT becomes the single operating entity with multiple DBAs.</w:t>
      </w:r>
      <w:r>
        <w:t xml:space="preserve"> </w:t>
      </w:r>
      <w:r>
        <w:t xml:space="preserve">-</w:t>
      </w:r>
      <w:r>
        <w:t xml:space="preserve"> </w:t>
      </w:r>
      <w:r>
        <w:rPr>
          <w:b/>
          <w:bCs/>
        </w:rPr>
        <w:t xml:space="preserve">Future partner studios</w:t>
      </w:r>
      <w:r>
        <w:t xml:space="preserve"> </w:t>
      </w:r>
      <w:r>
        <w:t xml:space="preserve">—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non-RE + Tuthill Design Photography RE) + Studio C + Tuthill Design: get amplified into two markets.</w:t>
      </w:r>
      <w:r>
        <w:t xml:space="preserve"> </w:t>
      </w:r>
      <w:r>
        <w:t xml:space="preserve">New leads from Tracy’s biz dev. Photography work now splits cleanly: Tuthill Design Photography handles all real-estate, CPP handles everything else. FarleyPierson LLC closes; CPP runs as a DBA of MBT.</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4" w:name="what-this-means-for-the-pro-forma"/>
    <w:p>
      <w:pPr>
        <w:pStyle w:val="Heading2"/>
      </w:pPr>
      <w:r>
        <w:t xml:space="preserve">What this means for the pro forma</w:t>
      </w:r>
    </w:p>
    <w:bookmarkStart w:id="19" w:name="the-real-y1-financial-ladder"/>
    <w:p>
      <w:pPr>
        <w:pStyle w:val="Heading3"/>
      </w:pPr>
      <w:r>
        <w:t xml:space="preserve">The real Y1 financial ladder</w:t>
      </w:r>
    </w:p>
    <w:p>
      <w:pPr>
        <w:pStyle w:val="FirstParagraph"/>
      </w:pPr>
      <w:r>
        <w:t xml:space="preserve">Fiscal year starts</w:t>
      </w:r>
      <w:r>
        <w:t xml:space="preserve"> </w:t>
      </w:r>
      <w:r>
        <w:rPr>
          <w:b/>
          <w:bCs/>
        </w:rPr>
        <w:t xml:space="preserve">May 1, 2026</w:t>
      </w:r>
      <w:r>
        <w:t xml:space="preserve"> </w:t>
      </w:r>
      <w:r>
        <w:t xml:space="preserve">and runs through April 30, 2027.</w:t>
      </w:r>
    </w:p>
    <w:p>
      <w:pPr>
        <w:pStyle w:val="Compact"/>
        <w:numPr>
          <w:ilvl w:val="0"/>
          <w:numId w:val="1009"/>
        </w:numPr>
      </w:pPr>
      <w:r>
        <w:rPr>
          <w:b/>
          <w:bCs/>
        </w:rPr>
        <w:t xml:space="preserve">Net break-even floor: $185,000</w:t>
      </w:r>
      <w:r>
        <w:t xml:space="preserve"> </w:t>
      </w:r>
      <w:r>
        <w:t xml:space="preserve">— ecosystem revenue needed to cover all costs after Chase’s ~$18k/yr Scan2Plan royalty offset. This is the number the ecosystem itself must produce. Public-facing</w:t>
      </w:r>
      <w:r>
        <w:t xml:space="preserve"> </w:t>
      </w:r>
      <w:r>
        <w:t xml:space="preserve">“approximately $200k”</w:t>
      </w:r>
      <w:r>
        <w:t xml:space="preserve"> </w:t>
      </w:r>
      <w:r>
        <w:t xml:space="preserve">framing.</w:t>
      </w:r>
    </w:p>
    <w:p>
      <w:pPr>
        <w:pStyle w:val="Compact"/>
        <w:numPr>
          <w:ilvl w:val="0"/>
          <w:numId w:val="1009"/>
        </w:numPr>
      </w:pPr>
      <w:r>
        <w:rPr>
          <w:b/>
          <w:bCs/>
        </w:rPr>
        <w:t xml:space="preserve">Gross break-even: $203,000</w:t>
      </w:r>
      <w:r>
        <w:t xml:space="preserve"> </w:t>
      </w:r>
      <w:r>
        <w:t xml:space="preserve">— total ecosystem costs itemized below. $18k is already covered by Chase’s passive royalty; the ecosystem covers the other $185k.</w:t>
      </w:r>
    </w:p>
    <w:p>
      <w:pPr>
        <w:pStyle w:val="Compact"/>
        <w:numPr>
          <w:ilvl w:val="0"/>
          <w:numId w:val="1009"/>
        </w:numPr>
      </w:pPr>
      <w:r>
        <w:rPr>
          <w:b/>
          <w:bCs/>
        </w:rPr>
        <w:t xml:space="preserve">First real profit: $250,000</w:t>
      </w:r>
      <w:r>
        <w:t xml:space="preserve"> </w:t>
      </w:r>
      <w:r>
        <w:t xml:space="preserve">— $65k above the net floor. The first point where the ecosystem isn’t just surviving: partners have real margin, reserves start accruing, the next interesting project becomes fundable.</w:t>
      </w:r>
    </w:p>
    <w:p>
      <w:pPr>
        <w:pStyle w:val="Compact"/>
        <w:numPr>
          <w:ilvl w:val="0"/>
          <w:numId w:val="1009"/>
        </w:numPr>
      </w:pPr>
      <w:r>
        <w:rPr>
          <w:b/>
          <w:bCs/>
        </w:rPr>
        <w:t xml:space="preserve">Baseline target: $330,000</w:t>
      </w:r>
      <w:r>
        <w:t xml:space="preserve"> </w:t>
      </w:r>
      <w:r>
        <w:t xml:space="preserve">— the realistic Y1 number the ecosystem can actually produce. $145k of real profit above the net floor.</w:t>
      </w:r>
    </w:p>
    <w:p>
      <w:pPr>
        <w:pStyle w:val="Compact"/>
        <w:numPr>
          <w:ilvl w:val="0"/>
          <w:numId w:val="1009"/>
        </w:numPr>
      </w:pPr>
      <w:r>
        <w:rPr>
          <w:b/>
          <w:bCs/>
        </w:rPr>
        <w:t xml:space="preserve">Stretch: $390–395,000</w:t>
      </w:r>
      <w:r>
        <w:t xml:space="preserve"> </w:t>
      </w:r>
      <w:r>
        <w:t xml:space="preserve">— if the photography art sales layer and Mississippi stock footage pipeline both land.</w:t>
      </w:r>
    </w:p>
    <w:p>
      <w:pPr>
        <w:pStyle w:val="FirstParagraph"/>
      </w:pPr>
      <w:r>
        <w:t xml:space="preserve">These numbers supersede every older figure you might find in older docs (the brief, the onboarding pro forma, memory files all carried $510k base / $760k stretch — those were aspirational and wrong). The number has tightened twice in one day as real line items have been itemized:</w:t>
      </w:r>
      <w:r>
        <w:t xml:space="preserve"> </w:t>
      </w:r>
      <w:r>
        <w:t xml:space="preserve">1. Original retraction 2026-04-19: $250k canonical</w:t>
      </w:r>
      <w:r>
        <w:t xml:space="preserve"> </w:t>
      </w:r>
      <w:r>
        <w:t xml:space="preserve">2. QuickBooks drill-down 2026-04-20 AM: gross $191k; $250k repositioned from</w:t>
      </w:r>
      <w:r>
        <w:t xml:space="preserve"> </w:t>
      </w:r>
      <w:r>
        <w:t xml:space="preserve">“break-even”</w:t>
      </w:r>
      <w:r>
        <w:t xml:space="preserve"> </w:t>
      </w:r>
      <w:r>
        <w:t xml:space="preserve">to</w:t>
      </w:r>
      <w:r>
        <w:t xml:space="preserve"> </w:t>
      </w:r>
      <w:r>
        <w:t xml:space="preserve">“first real profit”</w:t>
      </w:r>
      <w:r>
        <w:t xml:space="preserve"> </w:t>
      </w:r>
      <w:r>
        <w:t xml:space="preserve">3. Scan2Plan royalty folded in 2026-04-20 midday: net $173k with $18k of passive income offset</w:t>
      </w:r>
      <w:r>
        <w:t xml:space="preserve"> </w:t>
      </w:r>
      <w:r>
        <w:t xml:space="preserve">4. Studio C + Tuthill retainer structure locked at $1k/mo each 2026-04-20 PM: gross now $203k; net $185k; baseline first-profit still $250k</w:t>
      </w:r>
    </w:p>
    <w:p>
      <w:pPr>
        <w:pStyle w:val="BodyText"/>
      </w:pPr>
      <w:r>
        <w:t xml:space="preserve">The public-facing /story page rounds to</w:t>
      </w:r>
      <w:r>
        <w:t xml:space="preserve"> </w:t>
      </w:r>
      <w:r>
        <w:t xml:space="preserve">“approximately $200k”</w:t>
      </w:r>
      <w:r>
        <w:t xml:space="preserve"> </w:t>
      </w:r>
      <w:r>
        <w:t xml:space="preserve">for the break-even floor to respect the Inn’s financial privacy and avoid publicly exposing itemized partner retainers, personal line items, or specific operating costs. The exact math lives here for partners, counsel, and accountants.</w:t>
      </w:r>
    </w:p>
    <w:bookmarkEnd w:id="19"/>
    <w:bookmarkStart w:id="20" w:name="how-the-floor-is-built"/>
    <w:p>
      <w:pPr>
        <w:pStyle w:val="Heading3"/>
      </w:pPr>
      <w:r>
        <w:t xml:space="preserve">How the floor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retainer bucket ($1k/mo × 20 hrs @ $50/hr)</w:t>
            </w:r>
          </w:p>
        </w:tc>
        <w:tc>
          <w:tcPr/>
          <w:p>
            <w:pPr>
              <w:pStyle w:val="Compact"/>
            </w:pPr>
            <w:r>
              <w:t xml:space="preserve">$12,000</w:t>
            </w:r>
          </w:p>
        </w:tc>
      </w:tr>
      <w:tr>
        <w:tc>
          <w:tcPr/>
          <w:p>
            <w:pPr>
              <w:pStyle w:val="Compact"/>
            </w:pPr>
            <w:r>
              <w:t xml:space="preserve">Tuthill Design retainer bucket ($1k/mo × 20 hrs @ $50/hr)</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Gross ecosystem costs</w:t>
            </w:r>
          </w:p>
        </w:tc>
        <w:tc>
          <w:tcPr/>
          <w:p>
            <w:pPr>
              <w:pStyle w:val="Compact"/>
            </w:pPr>
            <w:r>
              <w:rPr>
                <w:b/>
                <w:bCs/>
              </w:rPr>
              <w:t xml:space="preserve">$203,000</w:t>
            </w:r>
          </w:p>
        </w:tc>
      </w:tr>
      <w:tr>
        <w:tc>
          <w:tcPr/>
          <w:p>
            <w:pPr>
              <w:pStyle w:val="Compact"/>
            </w:pPr>
            <w:r>
              <w:t xml:space="preserve">Less: Chase’s 2% Scan2Plan royalty (~$1,500/mo+, passive income)</w:t>
            </w:r>
          </w:p>
        </w:tc>
        <w:tc>
          <w:tcPr/>
          <w:p>
            <w:pPr>
              <w:pStyle w:val="Compact"/>
            </w:pPr>
            <w:r>
              <w:rPr>
                <w:b/>
                <w:bCs/>
              </w:rPr>
              <w:t xml:space="preserve">− $18,000</w:t>
            </w:r>
          </w:p>
        </w:tc>
      </w:tr>
      <w:tr>
        <w:tc>
          <w:tcPr/>
          <w:p>
            <w:pPr>
              <w:pStyle w:val="Compact"/>
            </w:pPr>
            <w:r>
              <w:rPr>
                <w:b/>
                <w:bCs/>
              </w:rPr>
              <w:t xml:space="preserve">Net ecosystem break-even (revenue the ecosystem must generate)</w:t>
            </w:r>
          </w:p>
        </w:tc>
        <w:tc>
          <w:tcPr/>
          <w:p>
            <w:pPr>
              <w:pStyle w:val="Compact"/>
            </w:pPr>
            <w:r>
              <w:rPr>
                <w:b/>
                <w:bCs/>
              </w:rPr>
              <w:t xml:space="preserve">$185,000</w:t>
            </w:r>
          </w:p>
        </w:tc>
      </w:tr>
    </w:tbl>
    <w:p>
      <w:pPr>
        <w:pStyle w:val="BodyText"/>
      </w:pPr>
      <w:r>
        <w:rPr>
          <w:b/>
          <w:bCs/>
        </w:rPr>
        <w:t xml:space="preserve">About the partner retainers:</w:t>
      </w:r>
      <w:r>
        <w:t xml:space="preserve"> </w:t>
      </w:r>
      <w:r>
        <w:t xml:space="preserve">Studio C and Tuthill Design each carry a $1,000/month retainer bucket = 20 hours at $50/hr, confirmed with Elijah and Miles 2026-04-20 PM. Pattern is the</w:t>
      </w:r>
      <w:r>
        <w:t xml:space="preserve"> </w:t>
      </w:r>
      <w:r>
        <w:t xml:space="preserve">“another Utopia-type account”</w:t>
      </w:r>
      <w:r>
        <w:t xml:space="preserve"> </w:t>
      </w:r>
      <w:r>
        <w:t xml:space="preserve">model Elijah already knows. Overflow bills at the same $50/hr rate. Full scope in</w:t>
      </w:r>
      <w:r>
        <w:t xml:space="preserve"> </w:t>
      </w:r>
      <w:r>
        <w:rPr>
          <w:rStyle w:val="VerbatimChar"/>
        </w:rPr>
        <w:t xml:space="preserve">docs/partners/tuthill-photography-scope-2026-04-20.md</w:t>
      </w:r>
      <w:r>
        <w:t xml:space="preserve"> </w:t>
      </w:r>
      <w:r>
        <w:t xml:space="preserve">§3.</w:t>
      </w:r>
    </w:p>
    <w:p>
      <w:pPr>
        <w:pStyle w:val="BodyText"/>
      </w:pPr>
      <w:r>
        <w:rPr>
          <w:b/>
          <w:bCs/>
        </w:rPr>
        <w:t xml:space="preserve">About the Scan2Plan royalty:</w:t>
      </w:r>
      <w:r>
        <w:t xml:space="preserve"> </w:t>
      </w:r>
      <w:r>
        <w:t xml:space="preserve">Chase retained a 2% royalty on Scan2Plan sales when the Owen Bush partnership dissolved on 2026-03-25. Average payout is $1,500/mo or higher, which makes it roughly $18k/yr of passive income. It lands in Chase’s account regardless of what the ecosystem does, so it directly offsets the portion of his personal costs ($42k/yr total) the ecosystem would otherwise have to cover. Netting it out lowers the ecosystem-revenue floor from $203k to $185k.</w:t>
      </w:r>
    </w:p>
    <w:p>
      <w:pPr>
        <w:pStyle w:val="BodyText"/>
      </w:pPr>
      <w:r>
        <w:rPr>
          <w:b/>
          <w:bCs/>
        </w:rPr>
        <w:t xml:space="preserve">What is intentionally NOT on this list:</w:t>
      </w:r>
      <w:r>
        <w:t xml:space="preserve"> </w:t>
      </w:r>
      <w:r>
        <w:t xml:space="preserve">-</w:t>
      </w:r>
      <w:r>
        <w:t xml:space="preserve"> </w:t>
      </w:r>
      <w:r>
        <w:rPr>
          <w:b/>
          <w:bCs/>
        </w:rPr>
        <w:t xml:space="preserve">Tracy’s and Amy’s personal costs.</w:t>
      </w:r>
      <w:r>
        <w:t xml:space="preserve"> </w:t>
      </w:r>
      <w:r>
        <w:t xml:space="preserve">They draw from Inn distributions, not from ecosystem revenue. They’re equity partners, not line items.</w:t>
      </w:r>
      <w:r>
        <w:t xml:space="preserve"> </w:t>
      </w:r>
      <w:r>
        <w:t xml:space="preserve">-</w:t>
      </w:r>
      <w:r>
        <w:t xml:space="preserve"> </w:t>
      </w:r>
      <w:r>
        <w:rPr>
          <w:b/>
          <w:bCs/>
        </w:rPr>
        <w:t xml:space="preserve">Touring, marketing, reserves.</w:t>
      </w:r>
      <w:r>
        <w:t xml:space="preserve"> </w:t>
      </w:r>
      <w:r>
        <w:t xml:space="preserve">Those are investments the ecosystem makes out of revenue</w:t>
      </w:r>
      <w:r>
        <w:t xml:space="preserve"> </w:t>
      </w:r>
      <w:r>
        <w:rPr>
          <w:i/>
          <w:iCs/>
        </w:rPr>
        <w:t xml:space="preserve">above</w:t>
      </w:r>
      <w:r>
        <w:t xml:space="preserve"> </w:t>
      </w:r>
      <w:r>
        <w:t xml:space="preserve">the floor, not fixed costs we owe just to keep the lights on.</w:t>
      </w:r>
      <w:r>
        <w:t xml:space="preserve"> </w:t>
      </w:r>
      <w:r>
        <w:t xml:space="preserve">-</w:t>
      </w:r>
      <w:r>
        <w:t xml:space="preserve"> </w:t>
      </w:r>
      <w:r>
        <w:rPr>
          <w:b/>
          <w:bCs/>
        </w:rPr>
        <w:t xml:space="preserve">A salaried Inn ops manager.</w:t>
      </w:r>
      <w:r>
        <w:t xml:space="preserve"> </w:t>
      </w:r>
      <w:r>
        <w:t xml:space="preserve">The per-event hospitality labor model (Chandra @ $20/room, Hospitality Coordinator @ $20/check-in) is variable, scales with bookings, and is covered inside the Inn’s own revenue basis before any other ecosystem cost is counted.</w:t>
      </w:r>
    </w:p>
    <w:bookmarkEnd w:id="20"/>
    <w:bookmarkStart w:id="21" w:name="Xb21eba007b925094cf9bcd76e96558f05e55306"/>
    <w:p>
      <w:pPr>
        <w:pStyle w:val="Heading3"/>
      </w:pPr>
      <w:r>
        <w:t xml:space="preserve">Why the floor matters, and why $250k still matters</w:t>
      </w:r>
    </w:p>
    <w:p>
      <w:pPr>
        <w:pStyle w:val="FirstParagraph"/>
      </w:pPr>
      <w:r>
        <w:t xml:space="preserve">Hitting $185k means the ecosystem covers itself on its own steam (after the royalty offset). The money comes in through the brands, and every committed cost at the platform + partner level is paid. Below that, Chase is subsidizing the ecosystem from outside. At $185k that subsidy goes to zero. Public-facing framing rounds to</w:t>
      </w:r>
      <w:r>
        <w:t xml:space="preserve"> </w:t>
      </w:r>
      <w:r>
        <w:t xml:space="preserve">“approximately $200k”</w:t>
      </w:r>
      <w:r>
        <w:t xml:space="preserve"> </w:t>
      </w:r>
      <w:r>
        <w:t xml:space="preserve">to keep line items private.</w:t>
      </w:r>
    </w:p>
    <w:p>
      <w:pPr>
        <w:pStyle w:val="BodyText"/>
      </w:pPr>
      <w:r>
        <w:t xml:space="preserve">Hitting $250k means the ecosystem is actually profitable — $77k of real margin above the net floor. That’s the first point where the conversation stops being</w:t>
      </w:r>
      <w:r>
        <w:t xml:space="preserve"> </w:t>
      </w:r>
      <w:r>
        <w:t xml:space="preserve">“can we keep the lights on”</w:t>
      </w:r>
      <w:r>
        <w:t xml:space="preserve"> </w:t>
      </w:r>
      <w:r>
        <w:t xml:space="preserve">and starts being</w:t>
      </w:r>
      <w:r>
        <w:t xml:space="preserve"> </w:t>
      </w:r>
      <w:r>
        <w:t xml:space="preserve">“what do we do with the surplus.”</w:t>
      </w:r>
      <w:r>
        <w:t xml:space="preserve"> </w:t>
      </w:r>
      <w:r>
        <w:t xml:space="preserve">It’s a round, meaningful waypoint on the way to the $330k baseline.</w:t>
      </w:r>
    </w:p>
    <w:p>
      <w:pPr>
        <w:pStyle w:val="BodyText"/>
      </w:pPr>
      <w:r>
        <w:rPr>
          <w:b/>
          <w:bCs/>
        </w:rPr>
        <w:t xml:space="preserve">We actually want to be profitable, not just break even.</w:t>
      </w:r>
      <w:r>
        <w:t xml:space="preserve"> </w:t>
      </w:r>
      <w:r>
        <w:t xml:space="preserve">$185k is the floor we commit to hit; $250k is the first milestone of real profit; $330k is the baseline we work for. Above $185k, every dollar is real profit — redeployed across touring, marketing, reserves, partner distributions, and quality of life.</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1"/>
    <w:bookmarkStart w:id="22"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pct" w:w="5000"/>
        <w:tblLayout w:type="fixed"/>
        <w:tblLook w:firstRow="1" w:lastRow="0" w:firstColumn="0" w:lastColumn="0" w:noHBand="0" w:noVBand="0" w:val="0020"/>
      </w:tblPr>
      <w:tblGrid>
        <w:gridCol w:w="864"/>
        <w:gridCol w:w="1152"/>
        <w:gridCol w:w="2304"/>
        <w:gridCol w:w="360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c>
          <w:tcPr/>
          <w:p>
            <w:pPr>
              <w:pStyle w:val="Compact"/>
            </w:pPr>
            <w:r>
              <w:t xml:space="preserve">Profit over break-even</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$330,000 baseline</w:t>
            </w:r>
            <w:r>
              <w:t xml:space="preserve"> </w:t>
            </w:r>
            <w:r>
              <w:t xml:space="preserve">(net floor $185k; gross $203k)</w:t>
            </w:r>
          </w:p>
        </w:tc>
        <w:tc>
          <w:tcPr/>
          <w:p>
            <w:pPr>
              <w:pStyle w:val="Compact"/>
            </w:pPr>
            <w:r>
              <w:t xml:space="preserve">$145k</w:t>
            </w:r>
          </w:p>
        </w:tc>
      </w:tr>
      <w:tr>
        <w:tc>
          <w:tcPr/>
          <w:p>
            <w:pPr>
              <w:pStyle w:val="Compact"/>
            </w:pPr>
            <w:r>
              <w:t xml:space="preserve">Y2</w:t>
            </w:r>
          </w:p>
        </w:tc>
        <w:tc>
          <w:tcPr/>
          <w:p>
            <w:pPr>
              <w:pStyle w:val="Compact"/>
            </w:pPr>
            <w:r>
              <w:t xml:space="preserve">May 2027 – Apr 2028</w:t>
            </w:r>
          </w:p>
        </w:tc>
        <w:tc>
          <w:tcPr/>
          <w:p>
            <w:pPr>
              <w:pStyle w:val="Compact"/>
            </w:pPr>
            <w:r>
              <w:t xml:space="preserve">$412,500</w:t>
            </w:r>
          </w:p>
        </w:tc>
        <w:tc>
          <w:tcPr/>
          <w:p>
            <w:pPr>
              <w:pStyle w:val="Compact"/>
            </w:pPr>
            <w:r>
              <w:t xml:space="preserve">+25% from Y1 baseline</w:t>
            </w:r>
          </w:p>
        </w:tc>
      </w:tr>
      <w:tr>
        <w:tc>
          <w:tcPr/>
          <w:p>
            <w:pPr>
              <w:pStyle w:val="Compact"/>
            </w:pPr>
            <w:r>
              <w:t xml:space="preserve">Y3</w:t>
            </w:r>
          </w:p>
        </w:tc>
        <w:tc>
          <w:tcPr/>
          <w:p>
            <w:pPr>
              <w:pStyle w:val="Compact"/>
            </w:pPr>
            <w:r>
              <w:t xml:space="preserve">May 2028 – Apr 2029</w:t>
            </w:r>
          </w:p>
        </w:tc>
        <w:tc>
          <w:tcPr/>
          <w:p>
            <w:pPr>
              <w:pStyle w:val="Compact"/>
            </w:pPr>
            <w:r>
              <w:t xml:space="preserve">$515,625</w:t>
            </w:r>
          </w:p>
        </w:tc>
        <w:tc>
          <w:tcPr/>
          <w:p>
            <w:pPr>
              <w:pStyle w:val="Compact"/>
            </w:pPr>
          </w:p>
        </w:tc>
      </w:tr>
      <w:tr>
        <w:tc>
          <w:tcPr/>
          <w:p>
            <w:pPr>
              <w:pStyle w:val="Compact"/>
            </w:pPr>
            <w:r>
              <w:t xml:space="preserve">Y4</w:t>
            </w:r>
          </w:p>
        </w:tc>
        <w:tc>
          <w:tcPr/>
          <w:p>
            <w:pPr>
              <w:pStyle w:val="Compact"/>
            </w:pPr>
            <w:r>
              <w:t xml:space="preserve">May 2029 – Apr 2030</w:t>
            </w:r>
          </w:p>
        </w:tc>
        <w:tc>
          <w:tcPr/>
          <w:p>
            <w:pPr>
              <w:pStyle w:val="Compact"/>
            </w:pPr>
            <w:r>
              <w:t xml:space="preserve">$644,531</w:t>
            </w:r>
          </w:p>
        </w:tc>
        <w:tc>
          <w:tcPr/>
          <w:p>
            <w:pPr>
              <w:pStyle w:val="Compact"/>
            </w:pPr>
          </w:p>
        </w:tc>
      </w:tr>
      <w:tr>
        <w:tc>
          <w:tcPr/>
          <w:p>
            <w:pPr>
              <w:pStyle w:val="Compact"/>
            </w:pPr>
            <w:r>
              <w:t xml:space="preserve">Y5</w:t>
            </w:r>
          </w:p>
        </w:tc>
        <w:tc>
          <w:tcPr/>
          <w:p>
            <w:pPr>
              <w:pStyle w:val="Compact"/>
            </w:pPr>
            <w:r>
              <w:t xml:space="preserve">May 2030 – Apr 2031</w:t>
            </w:r>
          </w:p>
        </w:tc>
        <w:tc>
          <w:tcPr/>
          <w:p>
            <w:pPr>
              <w:pStyle w:val="Compact"/>
            </w:pPr>
            <w:r>
              <w:t xml:space="preserve">$805,664</w:t>
            </w:r>
          </w:p>
        </w:tc>
        <w:tc>
          <w:tcPr/>
          <w:p>
            <w:pPr>
              <w:pStyle w:val="Compact"/>
            </w:pP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2"/>
    <w:bookmarkStart w:id="23"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w:t>
      </w:r>
      <w:r>
        <w:t xml:space="preserve"> </w:t>
      </w:r>
      <w:r>
        <w:rPr>
          <w:b/>
          <w:bCs/>
        </w:rPr>
        <w:t xml:space="preserve">$191k break-even, $330k baseline.</w:t>
      </w:r>
      <w:r>
        <w:t xml:space="preserve"> </w:t>
      </w:r>
      <w:r>
        <w:t xml:space="preserve">If we hit $330k, we’ve got $139k of real profit; if we hit anywhere between $191k and $330k, the ecosystem is still solvent and we’re still succeeding — just with less margin above the floor.</w:t>
      </w:r>
    </w:p>
    <w:p>
      <w:pPr>
        <w:pStyle w:val="BodyText"/>
      </w:pPr>
      <w:r>
        <w:rPr>
          <w:b/>
          <w:bCs/>
        </w:rPr>
        <w:t xml:space="preserve">Action:</w:t>
      </w:r>
      <w:r>
        <w:t xml:space="preserve"> </w:t>
      </w:r>
      <w:r>
        <w:t xml:space="preserve">the pro forma gets re-cut post-onboarding into a portfolio model anchored to the $185k net floor / $330k baseline,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3"/>
    <w:bookmarkEnd w:id="24"/>
    <w:bookmarkStart w:id="25"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5"/>
    <w:bookmarkStart w:id="26"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2026-04-20T22:59:04Z</dcterms:created>
  <dcterms:modified xsi:type="dcterms:W3CDTF">2026-04-20T22:59:04Z</dcterms:modified>
</cp:coreProperties>
</file>

<file path=docProps/custom.xml><?xml version="1.0" encoding="utf-8"?>
<Properties xmlns="http://schemas.openxmlformats.org/officeDocument/2006/custom-properties" xmlns:vt="http://schemas.openxmlformats.org/officeDocument/2006/docPropsVTypes"/>
</file>