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Summary: Competitive Landscape &amp; SWOT  </w:t>
      </w:r>
    </w:p>
    <w:p w:rsidR="00000000" w:rsidDel="00000000" w:rsidP="00000000" w:rsidRDefault="00000000" w:rsidRPr="00000000" w14:paraId="00000004">
      <w:pPr>
        <w:rPr/>
      </w:pPr>
      <w:r w:rsidDel="00000000" w:rsidR="00000000" w:rsidRPr="00000000">
        <w:rPr>
          <w:rtl w:val="0"/>
        </w:rPr>
        <w:t xml:space="preserve">\*\*Competitive landscape (tl;dr):\*\* Most scan-to-BIM firms market the \*same\* things—accuracy, speed, end-to-end service—via matter-of-fact taglines and conventional channels (websites, light LinkedIn activity). Outcome- or guarantee-driven claims are rare, and few publish standards or deep case stories.    </w:t>
      </w:r>
    </w:p>
    <w:p w:rsidR="00000000" w:rsidDel="00000000" w:rsidP="00000000" w:rsidRDefault="00000000" w:rsidRPr="00000000" w14:paraId="00000005">
      <w:pPr>
        <w:rPr/>
      </w:pPr>
      <w:r w:rsidDel="00000000" w:rsidR="00000000" w:rsidRPr="00000000">
        <w:rPr>
          <w:rtl w:val="0"/>
        </w:rPr>
        <w:t xml:space="preserve">\*\*What this means for S2P:\*\* Lead with outcomes and accountability (guarantees, LoA/LoD transparency), speak to \*client benefits\* (design freedom, risk reduction), and own the education/standards conversation.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\*\*SWOT (compressed):\*\*  </w:t>
      </w:r>
    </w:p>
    <w:p w:rsidR="00000000" w:rsidDel="00000000" w:rsidP="00000000" w:rsidRDefault="00000000" w:rsidRPr="00000000" w14:paraId="00000008">
      <w:pPr>
        <w:rPr/>
      </w:pPr>
      <w:r w:rsidDel="00000000" w:rsidR="00000000" w:rsidRPr="00000000">
        <w:rPr>
          <w:rtl w:val="0"/>
        </w:rPr>
        <w:t xml:space="preserve">\- \*\*Strengths:\*\* Published LoA/LoD standards; accuracy &amp; turnaround guarantees; 1-week mobilization / 2–5-week modeling; client-template delivery; HBIM expertise; transparent TKB; unlimited in-scope revisions.  </w:t>
      </w:r>
    </w:p>
    <w:p w:rsidR="00000000" w:rsidDel="00000000" w:rsidP="00000000" w:rsidRDefault="00000000" w:rsidRPr="00000000" w14:paraId="00000009">
      <w:pPr>
        <w:rPr/>
      </w:pPr>
      <w:r w:rsidDel="00000000" w:rsidR="00000000" w:rsidRPr="00000000">
        <w:rPr>
          <w:rtl w:val="0"/>
        </w:rPr>
        <w:t xml:space="preserve">\- \*\*Weaknesses:\*\* Newer brand; regional hubs; smaller public case library; lean team (key-person dependency).  </w:t>
      </w:r>
    </w:p>
    <w:p w:rsidR="00000000" w:rsidDel="00000000" w:rsidP="00000000" w:rsidRDefault="00000000" w:rsidRPr="00000000" w14:paraId="0000000A">
      <w:pPr>
        <w:rPr/>
      </w:pPr>
      <w:r w:rsidDel="00000000" w:rsidR="00000000" w:rsidRPr="00000000">
        <w:rPr>
          <w:rtl w:val="0"/>
        </w:rPr>
        <w:t xml:space="preserve">\- \*\*Opportunities:\*\* Thought-leadership vacuum (CEUs, guides, webinars); “Design Freedom” narrative for architects; portfolio standardization programs for enterprise; sustainability/adaptive-reuse story; partner co-marketing.  </w:t>
      </w:r>
    </w:p>
    <w:p w:rsidR="00000000" w:rsidDel="00000000" w:rsidP="00000000" w:rsidRDefault="00000000" w:rsidRPr="00000000" w14:paraId="0000000B">
      <w:pPr>
        <w:rPr/>
      </w:pPr>
      <w:r w:rsidDel="00000000" w:rsidR="00000000" w:rsidRPr="00000000">
        <w:rPr>
          <w:rtl w:val="0"/>
        </w:rPr>
        <w:t xml:space="preserve">\- \*\*Threats:\*\* Commoditization/price pressure; in-house capture at AEC/GCs; automation in modeling; big-firm bundling; macro construction cycles.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2\) Brand Essentials (for external use)  </w:t>
      </w:r>
    </w:p>
    <w:p w:rsidR="00000000" w:rsidDel="00000000" w:rsidP="00000000" w:rsidRDefault="00000000" w:rsidRPr="00000000" w14:paraId="00000010">
      <w:pPr>
        <w:rPr/>
      </w:pPr>
      <w:r w:rsidDel="00000000" w:rsidR="00000000" w:rsidRPr="00000000">
        <w:rPr>
          <w:rtl w:val="0"/>
        </w:rPr>
        <w:t xml:space="preserve">\- \*\*Mission:\*\* \*To deliver trust, confidence, and integrity on every project.\*    </w:t>
      </w:r>
    </w:p>
    <w:p w:rsidR="00000000" w:rsidDel="00000000" w:rsidP="00000000" w:rsidRDefault="00000000" w:rsidRPr="00000000" w14:paraId="00000011">
      <w:pPr>
        <w:rPr/>
      </w:pPr>
      <w:r w:rsidDel="00000000" w:rsidR="00000000" w:rsidRPr="00000000">
        <w:rPr>
          <w:rtl w:val="0"/>
        </w:rPr>
        <w:t xml:space="preserve">\- \*\*Vision:\*\* \*Scan2Plan is the measure of excellence for Architects and Engineers.\*    </w:t>
      </w:r>
    </w:p>
    <w:p w:rsidR="00000000" w:rsidDel="00000000" w:rsidP="00000000" w:rsidRDefault="00000000" w:rsidRPr="00000000" w14:paraId="00000012">
      <w:pPr>
        <w:rPr/>
      </w:pPr>
      <w:r w:rsidDel="00000000" w:rsidR="00000000" w:rsidRPr="00000000">
        <w:rPr>
          <w:rtl w:val="0"/>
        </w:rPr>
        <w:t xml:space="preserve">\- \*\*Core Values:\*\* \*\*We Care\*\*, \*\*Can Do\*\*, \*\*Continual Improvement\*\*.    </w:t>
      </w:r>
    </w:p>
    <w:p w:rsidR="00000000" w:rsidDel="00000000" w:rsidP="00000000" w:rsidRDefault="00000000" w:rsidRPr="00000000" w14:paraId="00000013">
      <w:pPr>
        <w:rPr/>
      </w:pPr>
      <w:r w:rsidDel="00000000" w:rsidR="00000000" w:rsidRPr="00000000">
        <w:rPr>
          <w:rtl w:val="0"/>
        </w:rPr>
        <w:t xml:space="preserve">\- \*\*Tagline anchors:\*\* \*\*The Measure of Excellence.\*\* • \*\*Focus on Design.\*\* • \*\*Certainty lies in good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3\) Standards &amp; Service Commitments  </w:t>
      </w:r>
    </w:p>
    <w:p w:rsidR="00000000" w:rsidDel="00000000" w:rsidP="00000000" w:rsidRDefault="00000000" w:rsidRPr="00000000" w14:paraId="00000018">
      <w:pPr>
        <w:rPr/>
      </w:pPr>
      <w:r w:rsidDel="00000000" w:rsidR="00000000" w:rsidRPr="00000000">
        <w:rPr>
          <w:rtl w:val="0"/>
        </w:rPr>
        <w:t xml:space="preserve">\- \*\*Accuracy standards (always declared):\*\*    </w:t>
      </w:r>
    </w:p>
    <w:p w:rsidR="00000000" w:rsidDel="00000000" w:rsidP="00000000" w:rsidRDefault="00000000" w:rsidRPr="00000000" w14:paraId="00000019">
      <w:pPr>
        <w:rPr/>
      </w:pPr>
      <w:r w:rsidDel="00000000" w:rsidR="00000000" w:rsidRPr="00000000">
        <w:rPr>
          <w:rtl w:val="0"/>
        </w:rPr>
        <w:t xml:space="preserve">  \- \*\*Measured (LoA 40):\*\* 0–1/8″    </w:t>
      </w:r>
    </w:p>
    <w:p w:rsidR="00000000" w:rsidDel="00000000" w:rsidP="00000000" w:rsidRDefault="00000000" w:rsidRPr="00000000" w14:paraId="0000001A">
      <w:pPr>
        <w:rPr/>
      </w:pPr>
      <w:r w:rsidDel="00000000" w:rsidR="00000000" w:rsidRPr="00000000">
        <w:rPr>
          <w:rtl w:val="0"/>
        </w:rPr>
        <w:t xml:space="preserve">  \- \*\*Represented/Modeled (LoA 30):\*\* 0–1/2″  </w:t>
      </w:r>
    </w:p>
    <w:p w:rsidR="00000000" w:rsidDel="00000000" w:rsidP="00000000" w:rsidRDefault="00000000" w:rsidRPr="00000000" w14:paraId="0000001B">
      <w:pPr>
        <w:rPr/>
      </w:pPr>
      <w:r w:rsidDel="00000000" w:rsidR="00000000" w:rsidRPr="00000000">
        <w:rPr>
          <w:rtl w:val="0"/>
        </w:rPr>
        <w:t xml:space="preserve">\- \*\*Turnaround standards:\*\* \*\*Mobilization in 1 week\*\*; \*\*model delivery in 2–5 weeks\*\* (scope-dependent).  </w:t>
      </w:r>
    </w:p>
    <w:p w:rsidR="00000000" w:rsidDel="00000000" w:rsidP="00000000" w:rsidRDefault="00000000" w:rsidRPr="00000000" w14:paraId="0000001C">
      <w:pPr>
        <w:rPr/>
      </w:pPr>
      <w:r w:rsidDel="00000000" w:rsidR="00000000" w:rsidRPr="00000000">
        <w:rPr>
          <w:rtl w:val="0"/>
        </w:rPr>
        <w:t xml:space="preserve">\- \*\*Guarantees (written):\*\*    </w:t>
      </w:r>
    </w:p>
    <w:p w:rsidR="00000000" w:rsidDel="00000000" w:rsidP="00000000" w:rsidRDefault="00000000" w:rsidRPr="00000000" w14:paraId="0000001D">
      <w:pPr>
        <w:rPr/>
      </w:pPr>
      <w:r w:rsidDel="00000000" w:rsidR="00000000" w:rsidRPr="00000000">
        <w:rPr>
          <w:rtl w:val="0"/>
        </w:rPr>
        <w:t xml:space="preserve">  \- \*\*Accuracy/Standards:\*\* Deliverables meet stated LoA/LoD—or we fix it.    </w:t>
      </w:r>
    </w:p>
    <w:p w:rsidR="00000000" w:rsidDel="00000000" w:rsidP="00000000" w:rsidRDefault="00000000" w:rsidRPr="00000000" w14:paraId="0000001E">
      <w:pPr>
        <w:rPr/>
      </w:pPr>
      <w:r w:rsidDel="00000000" w:rsidR="00000000" w:rsidRPr="00000000">
        <w:rPr>
          <w:rtl w:val="0"/>
        </w:rPr>
        <w:t xml:space="preserve">  \- \*\*Turnaround:\*\* Committed deadlines with escalation &amp; communication.    </w:t>
      </w:r>
    </w:p>
    <w:p w:rsidR="00000000" w:rsidDel="00000000" w:rsidP="00000000" w:rsidRDefault="00000000" w:rsidRPr="00000000" w14:paraId="0000001F">
      <w:pPr>
        <w:rPr/>
      </w:pPr>
      <w:r w:rsidDel="00000000" w:rsidR="00000000" w:rsidRPr="00000000">
        <w:rPr>
          <w:rtl w:val="0"/>
        </w:rPr>
        <w:t xml:space="preserve">  \- \*\*Price-Match:\*\* \*If the competing scope meets our standards, we’ll match the price.\*  </w:t>
      </w:r>
    </w:p>
    <w:p w:rsidR="00000000" w:rsidDel="00000000" w:rsidP="00000000" w:rsidRDefault="00000000" w:rsidRPr="00000000" w14:paraId="00000020">
      <w:pPr>
        <w:rPr/>
      </w:pPr>
      <w:r w:rsidDel="00000000" w:rsidR="00000000" w:rsidRPr="00000000">
        <w:rPr>
          <w:rtl w:val="0"/>
        </w:rPr>
        <w:t xml:space="preserve">\- \*\*Transparency:\*\* Every job includes a scope/spec declaration and QA/QC packet; TKB access on request.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5\) Differentiated Positioning (how we sound different)  </w:t>
      </w:r>
    </w:p>
    <w:p w:rsidR="00000000" w:rsidDel="00000000" w:rsidP="00000000" w:rsidRDefault="00000000" w:rsidRPr="00000000" w14:paraId="00000025">
      <w:pPr>
        <w:rPr/>
      </w:pPr>
      <w:r w:rsidDel="00000000" w:rsidR="00000000" w:rsidRPr="00000000">
        <w:rPr>
          <w:rtl w:val="0"/>
        </w:rPr>
        <w:t xml:space="preserve">\- \*\*As-Built Assurance™:\*\* We don’t sell scans—we \*\*guarantee certainty\*\* from capture to coordination.    </w:t>
      </w:r>
    </w:p>
    <w:p w:rsidR="00000000" w:rsidDel="00000000" w:rsidP="00000000" w:rsidRDefault="00000000" w:rsidRPr="00000000" w14:paraId="00000026">
      <w:pPr>
        <w:rPr/>
      </w:pPr>
      <w:r w:rsidDel="00000000" w:rsidR="00000000" w:rsidRPr="00000000">
        <w:rPr>
          <w:rtl w:val="0"/>
        </w:rPr>
        <w:t xml:space="preserve">\- \*\*Design Freedom:\*\* We guarantee the canvas so architects can \*design uninterrupted\*.    </w:t>
      </w:r>
    </w:p>
    <w:p w:rsidR="00000000" w:rsidDel="00000000" w:rsidP="00000000" w:rsidRDefault="00000000" w:rsidRPr="00000000" w14:paraId="00000027">
      <w:pPr>
        <w:rPr/>
      </w:pPr>
      <w:r w:rsidDel="00000000" w:rsidR="00000000" w:rsidRPr="00000000">
        <w:rPr>
          <w:rtl w:val="0"/>
        </w:rPr>
        <w:t xml:space="preserve">\- \*\*BIM Without the Blame:\*\* Construction-ready models with clash checks and tolerance reports—\*\*zero RFI fuel\*\*.    </w:t>
      </w:r>
    </w:p>
    <w:p w:rsidR="00000000" w:rsidDel="00000000" w:rsidP="00000000" w:rsidRDefault="00000000" w:rsidRPr="00000000" w14:paraId="00000028">
      <w:pPr>
        <w:rPr/>
      </w:pPr>
      <w:r w:rsidDel="00000000" w:rsidR="00000000" w:rsidRPr="00000000">
        <w:rPr>
          <w:rtl w:val="0"/>
        </w:rPr>
        <w:t xml:space="preserve">\- \*\*Portfolio Standardization:\*\* One vendor, one standard, guaranteed outcomes for multi-site owners.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Boilerplate (30-sec pitch)  </w:t>
      </w:r>
    </w:p>
    <w:p w:rsidR="00000000" w:rsidDel="00000000" w:rsidP="00000000" w:rsidRDefault="00000000" w:rsidRPr="00000000" w14:paraId="0000002D">
      <w:pPr>
        <w:rPr/>
      </w:pPr>
      <w:r w:rsidDel="00000000" w:rsidR="00000000" w:rsidRPr="00000000">
        <w:rPr>
          <w:rtl w:val="0"/>
        </w:rPr>
        <w:t xml:space="preserve">\*We’re not a scan vendor—we’re an \*\*As-Built Assurance\*\* partner. We publish the LoA/LoD we’ll meet, guarantee accuracy and deadlines, and deliver in your standards. Every model ships with defined LoA and LoD. That’s how we remove RFIs for contractors, give architects their time back, and let procurement standardize certainty across portfolios.\*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