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\# Competitive Landscape &amp; SWOT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\#\# Competitive Landscape (at-a-glance)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\- \*\*How others position:\*\* Most lead with nouns (laser scanning, BIM, “nationwide”) vs outcomes; few publish standards, guarantees, or SLAs.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\- \*\*Channels:\*\* Basic websites \+ light LinkedIn; thin blogs; rare webinars/videos; limited case depth.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\- \*\*Core messages:\*\* “Accurate &amp; fast,” end-to-end workflow, tech name-dropping; some experience claims; little on risk removal or sustainability.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\- \*\*Common gaps:\*\* Almost no public LoA/LoD detail, guarantees, strong thought leadership, or sustainability/adaptive-reuse narrative.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\- \*\*Implication:\*\* Market sounds the same → price pressure and vendor sameness. Clear opening for promise-led, proof-backed positioning.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\#\# Scan2Plan SWOT (summary)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\*\*Strengths\*\*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\- \*\*Guaranteed outcomes:\*\* Accuracy, turnaround, and price-match—contractual, not aspirational.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\- \*\*Measured quality:\*\* Published LoA/LoD, 3-stage QC, clash-aware deliverables.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\- \*\*Adaptive delivery:\*\* Client templates, zone-by-zone LoD, multi-discipline (A/S/MEP/HBIM).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\- \*\*Responsive:\*\* 1-week mobilization; 2–5 week modeling windows; dedicated PM.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\- \*\*Mission:\*\* Sustainability/adaptive-reuse story; open TKB for transparency.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\*\*Weaknesses\*\*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\- Newer brand and smaller footprint; fewer public case studies; key-person dependency.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\*\*Opportunities\*\*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\- Own the \*\*education gap\*\* (CEUs, masterclass content, webinars).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\- \*\*Category reframe\*\* to As-Built Assurance™ with public guarantees/standards.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\- \*\*Enterprise programs\*\*: portfolio-wide standardization; partner ecosystems.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\- Lead the \*\*adaptive-reuse/ESG\*\* narrative.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\*\*Threats\*\*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\- Commoditization/low-cost entrants; in-house capture by AEC/GCs; automation; big-firm bundling; macro slowdowns.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\#\# Differentiated Positioning (what we lead with)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\- \*\*As-Built Assurance™:\*\* “Guaranteed certainty, from capture to coordination.”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\- \*\*Design Freedom (Architects):\*\* Design-ready models in your standards → no redraw, no guesswork.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\- \*\*BIM Without the Blame (GC/MEP):\*\* Clash-checked, tolerance-verified models → fewer RFIs/rework.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\- \*\*Enterprise Consistency:\*\* One vendor, one standard, guaranteed outcomes across portfolios.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\*\*Bottom line:\*\* Competitors sell services; Scan2Plan sells \*\*certainty\*\*—measured, guaranteed, and delivered in the client’s workflow.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