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2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基于知识图谱嵌入的阿尔茨海默病药物重定位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TODO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关键词：</w:t>
      </w:r>
      <w:r>
        <w:rPr>
          <w:rFonts w:hint="eastAsia"/>
          <w:lang w:val="en-US" w:eastAsia="zh-CN"/>
        </w:rPr>
        <w:t>药物重定位；阿尔茨海默病；知识图谱；知识图谱嵌入；知识图谱补全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知识图谱（Knowledge Graph，KG）是一种基于图结构存储知识的数据库，主要用于网页搜索、问答系统、推荐任务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_Ref3069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。知识中的具体事物和抽象概念在 KG 中被表示为实体（entity），实体之间的联系被表示为关系（relation），进而知识被表示成格式为（头实体，关系，尾实体）的三元组。KG是一个由大量的三元组组成的有向图结构，KG中的节点（node）代表上面的实体，边（edge）表示实体间的关系。伴随着深度学习的发展，各种类型的KG已经被建立，如 WikiData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_Ref4035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[2]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、Freebase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_Ref4208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[3]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、DBpedia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_Ref4538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[4]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、YAGO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_Ref5021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[5]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及WordNet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_Ref5625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[6]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等经典知识图谱。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然而，许多KG都非常巨大，如药物再利用知识图谱（Drug Repurposing Knowledge Graph，DRKG）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_Ref24516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[7]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包含97238个实体和5874261个三元组。如此巨大的KG，直接像关系数据库一样进行检索和多步推理非常耗时，无法达到现代应用的要求。而且知识图谱具有非常严重的长尾现象，有很多实体与其他实体间仅仅具有很少的关系，对于这些长尾实体，往往很难理解其含义，进而影响对其的推理。因此，如何表示KG并进而将其与深度学习联合是一个近些年热门的领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知识图谱嵌入</w:t>
      </w:r>
      <w:r>
        <w:rPr>
          <w:rFonts w:hint="default"/>
          <w:lang w:val="en-US" w:eastAsia="zh-CN"/>
        </w:rPr>
        <w:t xml:space="preserve">（Knowledge Graph Embedding, </w:t>
      </w:r>
      <w:r>
        <w:rPr>
          <w:rFonts w:hint="eastAsia"/>
          <w:lang w:val="en-US" w:eastAsia="zh-CN"/>
        </w:rPr>
        <w:t>KGE</w:t>
      </w:r>
      <w:r>
        <w:rPr>
          <w:rFonts w:hint="default"/>
          <w:lang w:val="en-US" w:eastAsia="zh-CN"/>
        </w:rPr>
        <w:t>）是一种将实体和关系表示成低维稠密实值向量的技术，在这个向量空间内，语义相似的对象之间的距离很近。在过去几年中，研究人员提出了</w:t>
      </w:r>
      <w:r>
        <w:rPr>
          <w:rFonts w:hint="eastAsia"/>
          <w:lang w:val="en-US" w:eastAsia="zh-CN"/>
        </w:rPr>
        <w:t xml:space="preserve">很多 </w:t>
      </w:r>
      <w:r>
        <w:rPr>
          <w:rFonts w:hint="default"/>
          <w:lang w:val="en-US" w:eastAsia="zh-CN"/>
        </w:rPr>
        <w:t>KGE模型来学习实体和关系嵌入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包括但不限于TransE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_Ref14443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[8]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、TransR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_Ref14910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[9]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、RESCAL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_Ref15197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[10]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DistMult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_Ref15471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[11]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、ComplEx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_Ref15811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[12]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、RotatE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_Ref16043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[13]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阿尔茨海默病（</w:t>
      </w:r>
      <w:r>
        <w:rPr>
          <w:rFonts w:hint="default" w:ascii="Times New Roman" w:hAnsi="Times New Roman" w:cs="Times New Roman"/>
          <w:lang w:val="en-US" w:eastAsia="zh-CN"/>
        </w:rPr>
        <w:t>Alzheimer’s disease</w:t>
      </w:r>
      <w:r>
        <w:rPr>
          <w:rFonts w:hint="eastAsia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AD</w:t>
      </w:r>
      <w:r>
        <w:rPr>
          <w:rFonts w:hint="eastAsia"/>
          <w:lang w:val="en-US" w:eastAsia="zh-CN"/>
        </w:rPr>
        <w:t>）是一种常见的神经退行性疾病，无法治愈且不可逆转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_Ref17137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[14]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，其特征是伴有神经精神症状的渐进性严重痴呆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_Ref22401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[15]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。中国阿尔茨海默病报告2021 显示我国 60 岁及以上人群中有 983 万例 AD 患者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_Ref1053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[16]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。并且另一份研究报告称，我国 AD 患者的 2015 年治疗费用为 1 677.4 亿美元，到2050 年将高达 18871.8 亿美元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_Ref18773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[17]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，这充分说明了 AD给社会带来了巨大的经济负担。因此，AD 的治疗药物开发迫在眉睫。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然而，早在 2015 年，开发一种新药就需要花费26 亿美元和10-12 年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_Ref21163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[18-19]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。药物重定位是指将现有药物的适应症拓宽到其他疾病，从而大大节省成本并缩短新药开发周期。药物重定位利用了同一个分子的代谢途径可以导致不同疾病的事实，因此一些药物可以治疗不同的疾病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_Ref21470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[7]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最近，研究人员提出了很多利用知识图谱进行药物重定位的方法。Zeng等人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_Ref5849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[20]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建立了一个1500万个三元组的综合知识图谱，包括药物、疾病、蛋白质、基因、代谢途径和表达等多种实体以及它们之间的 39 种关系。然后利用 RotatE 模型学习实体和关系的表示，进而确定了 41 种针对 COVID-19 的治疗药物。Zhang</w:t>
      </w:r>
      <w:r>
        <w:rPr>
          <w:rFonts w:hint="eastAsia"/>
          <w:vertAlign w:val="superscript"/>
          <w:lang w:val="en-US" w:eastAsia="zh-CN"/>
        </w:rPr>
        <w:t xml:space="preserve"> 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_Ref10372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[21]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等人提出了一种基于神经网络和文献发现的方法。首先利用 PubMed 和其他以 COVID-19 为重点的研究文献构建了一个生物医学知识图谱，然后利用多种 KGE 模型预测候选药物，并利用发现模式解释了 KGE 预测的合理性。目前也有研究人员利用 KGE 研究帕金森病的药物重定位，并取得了不错的效果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_Ref11952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[22]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Wang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_Ref27849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[23]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等人</w:t>
      </w:r>
      <w:r>
        <w:rPr>
          <w:rFonts w:hint="default"/>
          <w:lang w:val="en-US" w:eastAsia="zh-CN"/>
        </w:rPr>
        <w:t>提出了一种基于知识图谱的深度学习方法用于</w:t>
      </w:r>
      <w:r>
        <w:rPr>
          <w:rFonts w:hint="eastAsia"/>
          <w:lang w:val="en-US" w:eastAsia="zh-CN"/>
        </w:rPr>
        <w:t xml:space="preserve"> AD 药物重定位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 xml:space="preserve">首先，利用 </w:t>
      </w:r>
      <w:r>
        <w:rPr>
          <w:rFonts w:hint="default"/>
          <w:lang w:val="en-US" w:eastAsia="zh-CN"/>
        </w:rPr>
        <w:t>DistMult</w:t>
      </w:r>
      <w:r>
        <w:rPr>
          <w:rFonts w:hint="eastAsia"/>
          <w:lang w:val="en-US" w:eastAsia="zh-CN"/>
        </w:rPr>
        <w:t>学习了</w:t>
      </w:r>
      <w:r>
        <w:rPr>
          <w:rFonts w:hint="default"/>
          <w:lang w:val="en-US" w:eastAsia="zh-CN"/>
        </w:rPr>
        <w:t>构建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阳性药物靶点对知识图谱</w:t>
      </w:r>
      <w:r>
        <w:rPr>
          <w:rFonts w:hint="eastAsia"/>
          <w:lang w:val="en-US" w:eastAsia="zh-CN"/>
        </w:rPr>
        <w:t>，然后利用</w:t>
      </w:r>
      <w:r>
        <w:rPr>
          <w:rFonts w:hint="default"/>
          <w:lang w:val="en-US" w:eastAsia="zh-CN"/>
        </w:rPr>
        <w:t>一个Conv-Conv模块来提取药物-靶点对的特征，</w:t>
      </w:r>
      <w:r>
        <w:rPr>
          <w:rFonts w:hint="eastAsia"/>
          <w:lang w:val="en-US" w:eastAsia="zh-CN"/>
        </w:rPr>
        <w:t>之后</w:t>
      </w:r>
      <w:r>
        <w:rPr>
          <w:rFonts w:hint="default"/>
          <w:lang w:val="en-US" w:eastAsia="zh-CN"/>
        </w:rPr>
        <w:t>通过一个全连接的神经网络进行</w:t>
      </w:r>
      <w:r>
        <w:rPr>
          <w:rFonts w:hint="eastAsia"/>
          <w:lang w:val="en-US" w:eastAsia="zh-CN"/>
        </w:rPr>
        <w:t>药物靶点</w:t>
      </w:r>
      <w:r>
        <w:rPr>
          <w:rFonts w:hint="default"/>
          <w:lang w:val="en-US" w:eastAsia="zh-CN"/>
        </w:rPr>
        <w:t>计算</w:t>
      </w:r>
      <w:r>
        <w:rPr>
          <w:rFonts w:hint="eastAsia"/>
          <w:lang w:val="en-US" w:eastAsia="zh-CN"/>
        </w:rPr>
        <w:t>，最终</w:t>
      </w:r>
      <w:r>
        <w:rPr>
          <w:rFonts w:hint="default"/>
          <w:lang w:val="en-US" w:eastAsia="zh-CN"/>
        </w:rPr>
        <w:t>通过载脂蛋白E</w:t>
      </w:r>
      <w:r>
        <w:rPr>
          <w:rFonts w:hint="eastAsia"/>
          <w:lang w:val="en-US" w:eastAsia="zh-CN"/>
        </w:rPr>
        <w:t>寻找治疗</w:t>
      </w:r>
      <w:r>
        <w:rPr>
          <w:rFonts w:hint="default"/>
          <w:lang w:val="en-US" w:eastAsia="zh-CN"/>
        </w:rPr>
        <w:t>AD</w:t>
      </w:r>
      <w:r>
        <w:rPr>
          <w:rFonts w:hint="eastAsia"/>
          <w:lang w:val="en-US" w:eastAsia="zh-CN"/>
        </w:rPr>
        <w:t xml:space="preserve"> 的药物</w:t>
      </w:r>
      <w:r>
        <w:rPr>
          <w:rFonts w:hint="default"/>
          <w:lang w:val="en-US" w:eastAsia="zh-CN"/>
        </w:rPr>
        <w:t>。Nian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_Ref29256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[24]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等人通过</w:t>
      </w:r>
      <w:r>
        <w:rPr>
          <w:rFonts w:hint="default"/>
          <w:lang w:val="en-US" w:eastAsia="zh-CN"/>
        </w:rPr>
        <w:t>从文献中构建一个知识图谱，</w:t>
      </w:r>
      <w:r>
        <w:rPr>
          <w:rFonts w:hint="eastAsia"/>
          <w:lang w:val="en-US" w:eastAsia="zh-CN"/>
        </w:rPr>
        <w:t xml:space="preserve">利用 </w:t>
      </w:r>
      <w:r>
        <w:rPr>
          <w:rFonts w:hint="default"/>
          <w:lang w:val="en-US" w:eastAsia="zh-CN"/>
        </w:rPr>
        <w:t>TransE，DistMult和ComplEx</w:t>
      </w:r>
      <w:r>
        <w:rPr>
          <w:rFonts w:hint="eastAsia"/>
          <w:lang w:val="en-US" w:eastAsia="zh-CN"/>
        </w:rPr>
        <w:t xml:space="preserve"> 学习并预测有助于AD治疗或预防的候选者，</w:t>
      </w:r>
      <w:r>
        <w:rPr>
          <w:rFonts w:hint="default"/>
          <w:lang w:val="en-US" w:eastAsia="zh-CN"/>
        </w:rPr>
        <w:t>以研究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AD与化学品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药物和膳食补充剂之间的关系，</w:t>
      </w:r>
      <w:r>
        <w:rPr>
          <w:rFonts w:hint="eastAsia"/>
          <w:lang w:val="en-US" w:eastAsia="zh-CN"/>
        </w:rPr>
        <w:t>进而</w:t>
      </w:r>
      <w:r>
        <w:rPr>
          <w:rFonts w:hint="default"/>
          <w:lang w:val="en-US" w:eastAsia="zh-CN"/>
        </w:rPr>
        <w:t>确定预防或延缓神经退行性进展的机会。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我们首先利用多种 KGE 模型（TransE、DistMult、ComplEx和RotatE）在 DRKG 上学习实体和关系的嵌入向量，通过对比 5 种经典的知识图谱嵌入评价指标选择了 RotatE 模型作为我们最终的药物重定位模型；然后，在整个知识图谱上训练 RotatE 模型，并利用多种嵌入向量分析手段评价我们学习到的嵌入的质量；最终，通过链接预测技术找到 10 种候选药物。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DRKG是一个涉及基因、药物、疾病、生物过程、副作用和症状的综合生物知识图谱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它包含属于 13 种实体类型的 97238 个实体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以及属于 107 种关系类型的 5874261 个三元组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在本小节中，我们首先介绍一些 KG 和 KGE 数学符号，这些符号将应用于本研究的其他部分。将使用小写字母表示向量，大写字母表示矩阵，小写斜体表示下表概念。Table 1 显示了文章后续部分的概念和定义。</w:t>
      </w:r>
    </w:p>
    <w:p>
      <w:pPr>
        <w:pStyle w:val="13"/>
        <w:bidi w:val="0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b/>
          <w:bCs/>
          <w:lang w:val="en-US" w:eastAsia="zh-CN"/>
        </w:rPr>
        <w:t xml:space="preserve">Table 1  </w:t>
      </w:r>
      <w:r>
        <w:rPr>
          <w:rStyle w:val="9"/>
          <w:rFonts w:hint="eastAsia"/>
          <w:lang w:val="en-US" w:eastAsia="zh-CN"/>
        </w:rPr>
        <w:t>The Notation and Definition of KG and KGE</w:t>
      </w:r>
    </w:p>
    <w:tbl>
      <w:tblPr>
        <w:tblStyle w:val="8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Notation</w:t>
            </w:r>
          </w:p>
        </w:tc>
        <w:tc>
          <w:tcPr>
            <w:tcW w:w="2841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Definition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</w:tcBorders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Knowledge Graph</w:t>
            </w:r>
          </w:p>
        </w:tc>
        <w:tc>
          <w:tcPr>
            <w:tcW w:w="2841" w:type="dxa"/>
            <w:tcBorders>
              <w:top w:val="single" w:color="auto" w:sz="12" w:space="0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Δ</w:t>
            </w:r>
          </w:p>
        </w:tc>
        <w:tc>
          <w:tcPr>
            <w:tcW w:w="2841" w:type="dxa"/>
            <w:tcBorders>
              <w:top w:val="single" w:color="auto" w:sz="12" w:space="0"/>
            </w:tcBorders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 set of triplets in the form </w:t>
            </w:r>
            <w:r>
              <w:rPr>
                <w:rFonts w:hint="eastAsia"/>
                <w:b/>
                <w:bCs/>
                <w:lang w:val="en-US" w:eastAsia="zh-CN"/>
              </w:rPr>
              <w:t>(h,r,t)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/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Entity Set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set of entities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/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Relation Set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set of relations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/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Entity Vectors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h, t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entity vectors for head entity </w:t>
            </w:r>
            <w:r>
              <w:rPr>
                <w:rFonts w:hint="eastAsia"/>
                <w:b/>
                <w:bCs/>
                <w:lang w:val="en-US" w:eastAsia="zh-CN"/>
              </w:rPr>
              <w:t>h</w:t>
            </w:r>
            <w:r>
              <w:rPr>
                <w:rFonts w:hint="eastAsia"/>
                <w:lang w:val="en-US" w:eastAsia="zh-CN"/>
              </w:rPr>
              <w:t xml:space="preserve"> and tail entity 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/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Relation Vector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vector for relation </w:t>
            </w:r>
            <w:r>
              <w:rPr>
                <w:rFonts w:hint="eastAsia"/>
                <w:b/>
                <w:bCs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/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Scoring Function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f(h, r, t)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scoring function for the triple </w:t>
            </w:r>
            <w:r>
              <w:rPr>
                <w:rFonts w:hint="eastAsia"/>
                <w:b/>
                <w:bCs/>
                <w:lang w:val="en-US" w:eastAsia="zh-CN"/>
              </w:rPr>
              <w:t>(h, r, t)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bottom w:val="single" w:color="auto" w:sz="18" w:space="0"/>
            </w:tcBorders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Loss Function</w:t>
            </w:r>
          </w:p>
        </w:tc>
        <w:tc>
          <w:tcPr>
            <w:tcW w:w="2841" w:type="dxa"/>
            <w:tcBorders>
              <w:bottom w:val="single" w:color="auto" w:sz="18" w:space="0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m:oMathPara>
              <m:oMath>
                <m:r>
                  <m:rPr>
                    <m:sty m:val="p"/>
                    <m:scr m:val="script"/>
                  </m:rPr>
                  <w:rPr>
                    <w:rFonts w:ascii="Cambria Math" w:hAnsi="Cambria Math"/>
                    <w:lang w:val="en-US"/>
                  </w:rPr>
                  <m:t>ℒ</m:t>
                </m:r>
              </m:oMath>
            </m:oMathPara>
          </w:p>
        </w:tc>
        <w:tc>
          <w:tcPr>
            <w:tcW w:w="2841" w:type="dxa"/>
            <w:tcBorders>
              <w:bottom w:val="single" w:color="auto" w:sz="18" w:space="0"/>
            </w:tcBorders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loss function of the model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KG 一般被标记为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Δ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，是一组格式为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(h, r, t)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三元组的集合，其中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∈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∈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是 KG 中的实体集合，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是 KG 中的关系集合。KGE 模型旨在将 KG 建模为低维向量空间。在这个向量空间中，头实体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和尾实体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是一个单独的向量，每个关系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是头实体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和尾实体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间的一个运算操作。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KGE </w:t>
      </w:r>
      <w:r>
        <w:rPr>
          <w:rFonts w:hint="default" w:ascii="微软雅黑" w:hAnsi="微软雅黑" w:eastAsia="微软雅黑" w:cs="微软雅黑"/>
          <w:lang w:val="en-US" w:eastAsia="zh-CN"/>
        </w:rPr>
        <w:t>是通过</w:t>
      </w:r>
      <w:r>
        <w:rPr>
          <w:rFonts w:hint="eastAsia" w:ascii="微软雅黑" w:hAnsi="微软雅黑" w:eastAsia="微软雅黑" w:cs="微软雅黑"/>
          <w:lang w:val="en-US" w:eastAsia="zh-CN"/>
        </w:rPr>
        <w:t>概率推断现有 KG 的缺失的关系补全 KG 的任务</w:t>
      </w:r>
      <w:r>
        <w:rPr>
          <w:rFonts w:hint="default" w:ascii="微软雅黑" w:hAnsi="微软雅黑" w:eastAsia="微软雅黑" w:cs="微软雅黑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近几年研究人员已经提出了多种 KGE 模型，它们都具有评分函数。评分函数度量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(h, r, t)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成立的概率，Table 2 列出了一些 KGE 模型的评分函数。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Table 2</w:t>
      </w:r>
      <w:r>
        <w:rPr>
          <w:rFonts w:hint="eastAsia"/>
          <w:lang w:val="en-US" w:eastAsia="zh-CN"/>
        </w:rPr>
        <w:t xml:space="preserve">  KGE 模型的评分函数</w:t>
      </w:r>
    </w:p>
    <w:tbl>
      <w:tblPr>
        <w:tblStyle w:val="8"/>
        <w:tblW w:w="0" w:type="auto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158"/>
        <w:gridCol w:w="1188"/>
        <w:gridCol w:w="2158"/>
        <w:gridCol w:w="2709"/>
        <w:gridCol w:w="1309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58" w:type="dxa"/>
            <w:tcBorders>
              <w:bottom w:val="single" w:color="auto" w:sz="12" w:space="0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Models</w:t>
            </w:r>
          </w:p>
        </w:tc>
        <w:tc>
          <w:tcPr>
            <w:tcW w:w="1188" w:type="dxa"/>
            <w:tcBorders>
              <w:bottom w:val="single" w:color="auto" w:sz="12" w:space="0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Entity</w:t>
            </w:r>
          </w:p>
        </w:tc>
        <w:tc>
          <w:tcPr>
            <w:tcW w:w="2158" w:type="dxa"/>
            <w:tcBorders>
              <w:bottom w:val="single" w:color="auto" w:sz="12" w:space="0"/>
            </w:tcBorders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Relation</w:t>
            </w:r>
          </w:p>
        </w:tc>
        <w:tc>
          <w:tcPr>
            <w:tcW w:w="2709" w:type="dxa"/>
            <w:tcBorders>
              <w:bottom w:val="single" w:color="auto" w:sz="12" w:space="0"/>
            </w:tcBorders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 Function</w:t>
            </w:r>
          </w:p>
        </w:tc>
        <w:tc>
          <w:tcPr>
            <w:tcW w:w="1309" w:type="dxa"/>
            <w:tcBorders>
              <w:bottom w:val="single" w:color="auto" w:sz="12" w:space="0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Complexity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58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TransE</w:t>
            </w:r>
          </w:p>
        </w:tc>
        <w:tc>
          <w:tcPr>
            <w:tcW w:w="1188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h, t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ℝ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158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r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ℝ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709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−||h + r − t||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1/2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309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 w:eastAsiaTheme="minor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Ο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(d)</m:t>
                </m:r>
              </m:oMath>
            </m:oMathPara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5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TransR</w:t>
            </w:r>
          </w:p>
        </w:tc>
        <w:tc>
          <w:tcPr>
            <w:tcW w:w="118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h, t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ℝ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15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 w:eastAsiaTheme="minorEastAsia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r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ℝ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k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微软雅黑"/>
                    <w:lang w:val="en-US" w:eastAsia="zh-CN"/>
                  </w:rPr>
                  <m:t xml:space="preserve">, </m:t>
                </m:r>
                <m:sSub>
                  <m:sSubPr>
                    <m:ctrlPr>
                      <m:rPr/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M</m:t>
                    </m:r>
                    <m:ctrlPr>
                      <m:rPr/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r</m:t>
                    </m:r>
                    <m:ctrlPr>
                      <m:rPr/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微软雅黑" w:hAnsi="微软雅黑" w:eastAsia="微软雅黑" w:cs="微软雅黑"/>
                    <w:lang w:val="en-US" w:eastAsia="zh-CN"/>
                  </w:rPr>
                  <m:t>∈</m:t>
                </m:r>
                <m:sSup>
                  <m:sSupPr>
                    <m:ctrlPr>
                      <m:rPr/>
                      <w:rPr>
                        <w:rFonts w:hint="eastAsia" w:ascii="微软雅黑" w:hAnsi="微软雅黑" w:eastAsia="微软雅黑" w:cs="微软雅黑"/>
                        <w:b w:val="0"/>
                        <w:i w:val="0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微软雅黑" w:cs="微软雅黑"/>
                        <w:lang w:val="en-US" w:eastAsia="zh-CN"/>
                      </w:rPr>
                      <m:t>R</m:t>
                    </m:r>
                    <m:ctrlPr>
                      <m:rPr/>
                      <w:rPr>
                        <w:rFonts w:hint="eastAsia" w:ascii="微软雅黑" w:hAnsi="微软雅黑" w:eastAsia="微软雅黑" w:cs="微软雅黑"/>
                        <w:b w:val="0"/>
                        <w:i w:val="0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微软雅黑" w:cs="微软雅黑"/>
                        <w:lang w:val="en-US" w:eastAsia="zh-CN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微软雅黑"/>
                        <w:lang w:val="en-US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微软雅黑" w:cs="微软雅黑"/>
                        <w:lang w:val="en-US" w:eastAsia="zh-CN"/>
                      </w:rPr>
                      <m:t>d</m:t>
                    </m:r>
                    <m:ctrlPr>
                      <m:rPr/>
                      <w:rPr>
                        <w:rFonts w:hint="eastAsia" w:ascii="微软雅黑" w:hAnsi="微软雅黑" w:eastAsia="微软雅黑" w:cs="微软雅黑"/>
                        <w:b w:val="0"/>
                        <w:i w:val="0"/>
                        <w:lang w:val="en-US" w:eastAsia="zh-CN"/>
                      </w:rPr>
                    </m:ctrlPr>
                  </m:sup>
                </m:sSup>
              </m:oMath>
            </m:oMathPara>
          </w:p>
        </w:tc>
        <w:tc>
          <w:tcPr>
            <w:tcW w:w="2709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bSup>
                  <m:sSubSupP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−||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 xml:space="preserve">h + r − 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t||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p>
                </m:sSubSup>
              </m:oMath>
            </m:oMathPara>
          </w:p>
        </w:tc>
        <w:tc>
          <w:tcPr>
            <w:tcW w:w="1309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Ο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(</m:t>
                </m:r>
                <m:sSup>
                  <m:sSupPr>
                    <m:ctrlPr>
                      <m:rPr/>
                      <w:rPr>
                        <w:rFonts w:hint="default" w:ascii="Cambria Math" w:hAnsi="Cambria Math"/>
                        <w:b w:val="0"/>
                        <w:i w:val="0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d</m:t>
                    </m:r>
                    <m:ctrlPr>
                      <m:rPr/>
                      <w:rPr>
                        <w:rFonts w:hint="default" w:ascii="Cambria Math" w:hAnsi="Cambria Math"/>
                        <w:b w:val="0"/>
                        <w:i w:val="0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2</m:t>
                    </m:r>
                    <m:ctrlPr>
                      <m:rPr/>
                      <w:rPr>
                        <w:rFonts w:hint="default" w:ascii="Cambria Math" w:hAnsi="Cambria Math"/>
                        <w:b w:val="0"/>
                        <w:i w:val="0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5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RESCAL</w:t>
            </w:r>
          </w:p>
        </w:tc>
        <w:tc>
          <w:tcPr>
            <w:tcW w:w="118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h, t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ℝ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15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M</m:t>
                    </m:r>
                    <m:ctrlPr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r</m:t>
                    </m:r>
                    <m:ctrlPr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微软雅黑" w:hAnsi="微软雅黑" w:eastAsia="微软雅黑" w:cs="微软雅黑"/>
                    <w:lang w:val="en-US" w:eastAsia="zh-CN"/>
                  </w:rPr>
                  <m:t>∈</m:t>
                </m:r>
                <m:sSup>
                  <m:sSupPr>
                    <m:ctrlPr>
                      <w:rPr>
                        <w:rFonts w:hint="eastAsia" w:ascii="微软雅黑" w:hAnsi="微软雅黑" w:eastAsia="微软雅黑" w:cs="微软雅黑"/>
                        <w:b w:val="0"/>
                        <w:i w:val="0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微软雅黑" w:cs="微软雅黑"/>
                        <w:lang w:val="en-US" w:eastAsia="zh-CN"/>
                      </w:rPr>
                      <m:t>R</m:t>
                    </m:r>
                    <m:ctrlPr>
                      <w:rPr>
                        <w:rFonts w:hint="eastAsia" w:ascii="微软雅黑" w:hAnsi="微软雅黑" w:eastAsia="微软雅黑" w:cs="微软雅黑"/>
                        <w:b w:val="0"/>
                        <w:i w:val="0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微软雅黑" w:cs="微软雅黑"/>
                        <w:lang w:val="en-US" w:eastAsia="zh-CN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微软雅黑"/>
                        <w:lang w:val="en-US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微软雅黑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hint="eastAsia" w:ascii="微软雅黑" w:hAnsi="微软雅黑" w:eastAsia="微软雅黑" w:cs="微软雅黑"/>
                        <w:b w:val="0"/>
                        <w:i w:val="0"/>
                        <w:lang w:val="en-US" w:eastAsia="zh-CN"/>
                      </w:rPr>
                    </m:ctrlPr>
                  </m:sup>
                </m:sSup>
              </m:oMath>
            </m:oMathPara>
          </w:p>
        </w:tc>
        <w:tc>
          <w:tcPr>
            <w:tcW w:w="2709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eastAsia" w:eastAsiaTheme="minorEastAsia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t</m:t>
                </m:r>
              </m:oMath>
            </m:oMathPara>
          </w:p>
        </w:tc>
        <w:tc>
          <w:tcPr>
            <w:tcW w:w="1309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Ο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(</m:t>
                </m:r>
                <m:sSup>
                  <m:sSup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d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5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DistMult</w:t>
            </w:r>
          </w:p>
        </w:tc>
        <w:tc>
          <w:tcPr>
            <w:tcW w:w="118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h, t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ℝ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15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r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ℝ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709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diag(r)t</m:t>
                </m:r>
              </m:oMath>
            </m:oMathPara>
          </w:p>
        </w:tc>
        <w:tc>
          <w:tcPr>
            <w:tcW w:w="1309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Ο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(d)</m:t>
                </m:r>
              </m:oMath>
            </m:oMathPara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5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ComplEx</w:t>
            </w:r>
          </w:p>
        </w:tc>
        <w:tc>
          <w:tcPr>
            <w:tcW w:w="118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h, t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ℂ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15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r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ty m:val="p"/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ℂ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709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Real(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h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diag(r)</m:t>
                </m:r>
                <m:acc>
                  <m:accPr>
                    <m:chr m:val="̅"/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)</m:t>
                </m:r>
              </m:oMath>
            </m:oMathPara>
          </w:p>
        </w:tc>
        <w:tc>
          <w:tcPr>
            <w:tcW w:w="1309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Ο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(d)</m:t>
                </m:r>
              </m:oMath>
            </m:oMathPara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5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RotatE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bidi w:val="0"/>
              <w:ind w:firstLine="0" w:firstLineChars="0"/>
              <w:rPr>
                <w:rFonts w:hint="default"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h, t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ℂ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15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 w:eastAsiaTheme="minorEastAsia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r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ty m:val="p"/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ℂ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微软雅黑"/>
                    <w:lang w:val="en-US" w:eastAsia="zh-CN"/>
                  </w:rPr>
                  <m:t>, |</m:t>
                </m:r>
                <m:sSub>
                  <m:sSubPr>
                    <m:ctrlPr>
                      <m:rPr/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r</m:t>
                    </m:r>
                    <m:ctrlPr>
                      <m:rPr/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i</m:t>
                    </m:r>
                    <m:ctrlPr>
                      <m:rPr/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微软雅黑"/>
                    <w:lang w:val="en-US" w:eastAsia="zh-CN"/>
                  </w:rPr>
                  <m:t>| = 1</m:t>
                </m:r>
              </m:oMath>
            </m:oMathPara>
          </w:p>
        </w:tc>
        <w:tc>
          <w:tcPr>
            <w:tcW w:w="2709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 w:eastAsiaTheme="minor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−</m:t>
                </m:r>
                <m:sSup>
                  <m:sSupPr>
                    <m:ctrlP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||h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bidi="ar-SA"/>
                      </w:rPr>
                      <m:t>∘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 xml:space="preserve"> r − t||</m:t>
                    </m:r>
                    <m:ctrlP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2</m:t>
                    </m:r>
                    <m:ctrlP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p>
                </m:sSup>
              </m:oMath>
            </m:oMathPara>
          </w:p>
        </w:tc>
        <w:tc>
          <w:tcPr>
            <w:tcW w:w="1309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Ο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(d)</m:t>
                </m:r>
              </m:oMath>
            </m:oMathPara>
          </w:p>
        </w:tc>
      </w:tr>
    </w:tbl>
    <w:p>
      <w:pPr>
        <m:rPr/>
        <w:rPr>
          <w:rFonts w:hint="eastAsia" w:hAnsi="Cambria Math" w:cs="微软雅黑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TransE 是一个具有代表性的平移模型，它假设实体和关系属于同一向量空间 </w:t>
      </w:r>
      <m:oMath>
        <m:sSup>
          <m:sSupPr>
            <m:ctrlPr>
              <w:rPr>
                <w:rFonts w:ascii="Cambria Math" w:hAnsi="Cambria Math" w:cs="微软雅黑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微软雅黑"/>
                <w:lang w:val="en-US"/>
              </w:rPr>
              <m:t>ℝ</m:t>
            </m:r>
            <m:ctrlPr>
              <w:rPr>
                <w:rFonts w:ascii="Cambria Math" w:hAnsi="Cambria Math" w:cs="微软雅黑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微软雅黑"/>
                <w:lang w:val="en-US" w:eastAsia="zh-CN"/>
              </w:rPr>
              <m:t>d</m:t>
            </m:r>
            <m:ctrlPr>
              <w:rPr>
                <w:rFonts w:ascii="Cambria Math" w:hAnsi="Cambria Math" w:cs="微软雅黑"/>
                <w:i/>
                <w:lang w:val="en-US"/>
              </w:rPr>
            </m:ctrlPr>
          </m:sup>
        </m:sSup>
      </m:oMath>
      <w:r>
        <w:rPr>
          <w:rFonts w:hint="eastAsia" w:hAnsi="Cambria Math" w:cs="微软雅黑"/>
          <w:i w:val="0"/>
          <w:lang w:val="en-US" w:eastAsia="zh-CN"/>
        </w:rPr>
        <w:t>，</w:t>
      </w:r>
      <m:oMath>
        <m:r>
          <m:rPr>
            <m:sty m:val="p"/>
          </m:rPr>
          <w:rPr>
            <w:rFonts w:hint="default" w:ascii="Cambria Math" w:hAnsi="Cambria Math" w:cs="微软雅黑"/>
            <w:kern w:val="2"/>
            <w:sz w:val="24"/>
            <w:szCs w:val="24"/>
            <w:lang w:val="en-US" w:eastAsia="zh-CN" w:bidi="ar-SA"/>
          </w:rPr>
          <m:t>d</m:t>
        </m:r>
      </m:oMath>
      <w:r>
        <m:rPr/>
        <w:rPr>
          <w:rFonts w:hint="eastAsia" w:hAnsi="Cambria Math" w:cs="微软雅黑"/>
          <w:i w:val="0"/>
          <w:kern w:val="2"/>
          <w:sz w:val="24"/>
          <w:szCs w:val="24"/>
          <w:lang w:val="en-US" w:eastAsia="zh-CN" w:bidi="ar-SA"/>
        </w:rPr>
        <w:t xml:space="preserve"> 是向量空间的维度。</w:t>
      </w:r>
      <w:r>
        <w:rPr>
          <w:rFonts w:hint="eastAsia" w:hAnsi="Cambria Math" w:cs="微软雅黑"/>
          <w:i w:val="0"/>
          <w:kern w:val="2"/>
          <w:sz w:val="24"/>
          <w:szCs w:val="24"/>
          <w:lang w:val="en-US" w:eastAsia="zh-CN" w:bidi="ar-SA"/>
        </w:rPr>
        <w:t xml:space="preserve">关系 </w:t>
      </w:r>
      <m:oMath>
        <m:r>
          <m:rPr>
            <m:sty m:val="p"/>
          </m:rPr>
          <w:rPr>
            <w:rFonts w:hint="default" w:ascii="Cambria Math" w:hAnsi="Cambria Math" w:cs="微软雅黑"/>
            <w:kern w:val="2"/>
            <w:sz w:val="24"/>
            <w:szCs w:val="24"/>
            <w:lang w:val="en-US" w:eastAsia="zh-CN" w:bidi="ar-SA"/>
          </w:rPr>
          <m:t>r</m:t>
        </m:r>
      </m:oMath>
      <w:r>
        <w:rPr>
          <w:rFonts w:hint="eastAsia" w:hAnsi="Cambria Math" w:cs="微软雅黑"/>
          <w:i w:val="0"/>
          <w:kern w:val="2"/>
          <w:sz w:val="24"/>
          <w:szCs w:val="24"/>
          <w:lang w:val="en-US" w:eastAsia="zh-CN" w:bidi="ar-SA"/>
        </w:rPr>
        <w:t xml:space="preserve"> 被建模为实体向量的平移，如果</w:t>
      </w:r>
      <w:r>
        <m:rPr/>
        <w:rPr>
          <w:rFonts w:hint="eastAsia" w:hAnsi="Cambria Math" w:cs="微软雅黑"/>
          <w:i w:val="0"/>
          <w:kern w:val="2"/>
          <w:sz w:val="24"/>
          <w:szCs w:val="24"/>
          <w:lang w:val="en-US" w:eastAsia="zh-CN" w:bidi="ar-SA"/>
        </w:rPr>
        <w:t xml:space="preserve">三元组 </w:t>
      </w:r>
      <m:oMath>
        <m:r>
          <m:rPr>
            <m:sty m:val="p"/>
          </m:rPr>
          <w:rPr>
            <w:rFonts w:hint="default" w:ascii="Cambria Math" w:hAnsi="Cambria Math" w:cs="微软雅黑"/>
            <w:kern w:val="2"/>
            <w:sz w:val="24"/>
            <w:szCs w:val="24"/>
            <w:lang w:val="en-US" w:eastAsia="zh-CN" w:bidi="ar-SA"/>
          </w:rPr>
          <m:t>(h, r, t)</m:t>
        </m:r>
      </m:oMath>
      <w:r>
        <m:rPr/>
        <w:rPr>
          <w:rFonts w:hint="eastAsia" w:hAnsi="Cambria Math" w:cs="微软雅黑"/>
          <w:i w:val="0"/>
          <w:kern w:val="2"/>
          <w:sz w:val="24"/>
          <w:szCs w:val="24"/>
          <w:lang w:val="en-US" w:eastAsia="zh-CN" w:bidi="ar-SA"/>
        </w:rPr>
        <w:t xml:space="preserve"> 成立，那么 </w:t>
      </w:r>
      <m:oMath>
        <m:r>
          <m:rPr>
            <m:sty m:val="p"/>
          </m:rPr>
          <w:rPr>
            <w:rFonts w:hint="eastAsia" w:ascii="Cambria Math" w:hAnsi="Cambria Math" w:cs="微软雅黑"/>
            <w:kern w:val="2"/>
            <w:sz w:val="24"/>
            <w:szCs w:val="24"/>
            <w:lang w:val="en-US" w:eastAsia="zh-CN" w:bidi="ar-SA"/>
          </w:rPr>
          <m:t>h</m:t>
        </m:r>
        <m:r>
          <m:rPr>
            <m:sty m:val="p"/>
          </m:rPr>
          <w:rPr>
            <w:rFonts w:hint="default" w:ascii="Cambria Math" w:hAnsi="Cambria Math" w:cs="微软雅黑"/>
            <w:kern w:val="2"/>
            <w:sz w:val="24"/>
            <w:szCs w:val="24"/>
            <w:lang w:val="en-US" w:eastAsia="zh-CN" w:bidi="ar-SA"/>
          </w:rPr>
          <m:t xml:space="preserve"> </m:t>
        </m:r>
        <m:r>
          <m:rPr>
            <m:sty m:val="p"/>
          </m:rPr>
          <w:rPr>
            <w:rFonts w:ascii="Cambria Math" w:hAnsi="Cambria Math" w:cs="微软雅黑"/>
            <w:kern w:val="2"/>
            <w:sz w:val="24"/>
            <w:szCs w:val="24"/>
            <w:lang w:val="en-US" w:bidi="ar-SA"/>
          </w:rPr>
          <m:t>+</m:t>
        </m:r>
        <m:r>
          <m:rPr>
            <m:sty m:val="p"/>
          </m:rPr>
          <w:rPr>
            <w:rFonts w:hint="default" w:ascii="Cambria Math" w:hAnsi="Cambria Math" w:cs="微软雅黑"/>
            <w:kern w:val="2"/>
            <w:sz w:val="24"/>
            <w:szCs w:val="24"/>
            <w:lang w:val="en-US" w:eastAsia="zh-CN" w:bidi="ar-SA"/>
          </w:rPr>
          <m:t xml:space="preserve"> r </m:t>
        </m:r>
        <m:r>
          <m:rPr>
            <m:sty m:val="p"/>
          </m:rPr>
          <w:rPr>
            <w:rFonts w:ascii="Cambria Math" w:hAnsi="Cambria Math" w:cs="微软雅黑"/>
            <w:kern w:val="2"/>
            <w:sz w:val="24"/>
            <w:szCs w:val="24"/>
            <w:lang w:val="en-US" w:bidi="ar-SA"/>
          </w:rPr>
          <m:t>≈</m:t>
        </m:r>
        <m:r>
          <m:rPr>
            <m:sty m:val="p"/>
          </m:rPr>
          <w:rPr>
            <w:rFonts w:hint="default" w:ascii="Cambria Math" w:hAnsi="Cambria Math" w:cs="微软雅黑"/>
            <w:kern w:val="2"/>
            <w:sz w:val="24"/>
            <w:szCs w:val="24"/>
            <w:lang w:val="en-US" w:eastAsia="zh-CN" w:bidi="ar-SA"/>
          </w:rPr>
          <m:t xml:space="preserve"> t</m:t>
        </m:r>
      </m:oMath>
      <w:r>
        <m:rPr/>
        <w:rPr>
          <w:rFonts w:hint="eastAsia" w:hAnsi="Cambria Math" w:cs="微软雅黑"/>
          <w:i w:val="0"/>
          <w:kern w:val="2"/>
          <w:sz w:val="24"/>
          <w:szCs w:val="24"/>
          <w:lang w:val="en-US" w:eastAsia="zh-CN" w:bidi="ar-SA"/>
        </w:rPr>
        <w:t xml:space="preserve"> ，即 </w:t>
      </w:r>
      <m:oMath>
        <m:r>
          <m:rPr>
            <m:sty m:val="p"/>
          </m:rPr>
          <w:rPr>
            <w:rFonts w:hint="default" w:ascii="Cambria Math" w:hAnsi="Cambria Math" w:cs="微软雅黑"/>
            <w:kern w:val="2"/>
            <w:sz w:val="24"/>
            <w:szCs w:val="24"/>
            <w:lang w:val="en-US" w:eastAsia="zh-CN" w:bidi="ar-SA"/>
          </w:rPr>
          <m:t>t</m:t>
        </m:r>
      </m:oMath>
      <w:r>
        <m:rPr/>
        <w:rPr>
          <w:rFonts w:hint="eastAsia" w:hAnsi="Cambria Math" w:cs="微软雅黑"/>
          <w:i w:val="0"/>
          <w:kern w:val="2"/>
          <w:sz w:val="24"/>
          <w:szCs w:val="24"/>
          <w:lang w:val="en-US" w:eastAsia="zh-CN" w:bidi="ar-SA"/>
        </w:rPr>
        <w:t xml:space="preserve"> 应该是 </w:t>
      </w:r>
      <m:oMath>
        <m:r>
          <m:rPr>
            <m:sty m:val="p"/>
          </m:rPr>
          <w:rPr>
            <w:rFonts w:hint="eastAsia" w:ascii="Cambria Math" w:hAnsi="Cambria Math" w:cs="微软雅黑"/>
            <w:kern w:val="2"/>
            <w:sz w:val="24"/>
            <w:szCs w:val="24"/>
            <w:lang w:val="en-US" w:eastAsia="zh-CN" w:bidi="ar-SA"/>
          </w:rPr>
          <m:t>h</m:t>
        </m:r>
        <m:r>
          <m:rPr>
            <m:sty m:val="p"/>
          </m:rPr>
          <w:rPr>
            <w:rFonts w:hint="default" w:ascii="Cambria Math" w:hAnsi="Cambria Math" w:cs="微软雅黑"/>
            <w:kern w:val="2"/>
            <w:sz w:val="24"/>
            <w:szCs w:val="24"/>
            <w:lang w:val="en-US" w:eastAsia="zh-CN" w:bidi="ar-SA"/>
          </w:rPr>
          <m:t xml:space="preserve"> </m:t>
        </m:r>
        <m:r>
          <m:rPr>
            <m:sty m:val="p"/>
          </m:rPr>
          <w:rPr>
            <w:rFonts w:ascii="Cambria Math" w:hAnsi="Cambria Math" w:cs="微软雅黑"/>
            <w:kern w:val="2"/>
            <w:sz w:val="24"/>
            <w:szCs w:val="24"/>
            <w:lang w:val="en-US" w:bidi="ar-SA"/>
          </w:rPr>
          <m:t>+</m:t>
        </m:r>
        <m:r>
          <m:rPr>
            <m:sty m:val="p"/>
          </m:rPr>
          <w:rPr>
            <w:rFonts w:hint="default" w:ascii="Cambria Math" w:hAnsi="Cambria Math" w:cs="微软雅黑"/>
            <w:kern w:val="2"/>
            <w:sz w:val="24"/>
            <w:szCs w:val="24"/>
            <w:lang w:val="en-US" w:eastAsia="zh-CN" w:bidi="ar-SA"/>
          </w:rPr>
          <m:t xml:space="preserve"> r</m:t>
        </m:r>
      </m:oMath>
      <w:r>
        <m:rPr/>
        <w:rPr>
          <w:rFonts w:hint="eastAsia" w:hAnsi="Cambria Math" w:cs="微软雅黑"/>
          <w:i w:val="0"/>
          <w:kern w:val="2"/>
          <w:sz w:val="24"/>
          <w:szCs w:val="24"/>
          <w:lang w:val="en-US" w:eastAsia="zh-CN" w:bidi="ar-SA"/>
        </w:rPr>
        <w:t xml:space="preserve"> 最近的实体向量；如果不成立，</w:t>
      </w:r>
      <m:oMath>
        <m:r>
          <m:rPr>
            <m:sty m:val="p"/>
          </m:rPr>
          <w:rPr>
            <w:rFonts w:hint="eastAsia" w:ascii="Cambria Math" w:hAnsi="Cambria Math" w:cs="微软雅黑"/>
            <w:kern w:val="2"/>
            <w:sz w:val="24"/>
            <w:szCs w:val="24"/>
            <w:lang w:val="en-US" w:eastAsia="zh-CN" w:bidi="ar-SA"/>
          </w:rPr>
          <m:t>h</m:t>
        </m:r>
        <m:r>
          <m:rPr>
            <m:sty m:val="p"/>
          </m:rPr>
          <w:rPr>
            <w:rFonts w:hint="default" w:ascii="Cambria Math" w:hAnsi="Cambria Math" w:cs="微软雅黑"/>
            <w:kern w:val="2"/>
            <w:sz w:val="24"/>
            <w:szCs w:val="24"/>
            <w:lang w:val="en-US" w:eastAsia="zh-CN" w:bidi="ar-SA"/>
          </w:rPr>
          <m:t xml:space="preserve"> </m:t>
        </m:r>
        <m:r>
          <m:rPr>
            <m:sty m:val="p"/>
          </m:rPr>
          <w:rPr>
            <w:rFonts w:ascii="Cambria Math" w:hAnsi="Cambria Math" w:cs="微软雅黑"/>
            <w:kern w:val="2"/>
            <w:sz w:val="24"/>
            <w:szCs w:val="24"/>
            <w:lang w:val="en-US" w:bidi="ar-SA"/>
          </w:rPr>
          <m:t>+</m:t>
        </m:r>
        <m:r>
          <m:rPr>
            <m:sty m:val="p"/>
          </m:rPr>
          <w:rPr>
            <w:rFonts w:hint="default" w:ascii="Cambria Math" w:hAnsi="Cambria Math" w:cs="微软雅黑"/>
            <w:kern w:val="2"/>
            <w:sz w:val="24"/>
            <w:szCs w:val="24"/>
            <w:lang w:val="en-US" w:eastAsia="zh-CN" w:bidi="ar-SA"/>
          </w:rPr>
          <m:t xml:space="preserve"> r</m:t>
        </m:r>
      </m:oMath>
      <w:r>
        <w:rPr>
          <w:rFonts w:hint="eastAsia" w:hAnsi="Cambria Math" w:cs="微软雅黑"/>
          <w:i w:val="0"/>
          <w:kern w:val="2"/>
          <w:sz w:val="24"/>
          <w:szCs w:val="24"/>
          <w:lang w:val="en-US" w:eastAsia="zh-CN" w:bidi="ar-SA"/>
        </w:rPr>
        <w:t xml:space="preserve"> 应该远离 </w:t>
      </w:r>
      <m:oMath>
        <m:r>
          <m:rPr>
            <m:sty m:val="p"/>
          </m:rPr>
          <w:rPr>
            <w:rFonts w:hint="default" w:ascii="Cambria Math" w:hAnsi="Cambria Math" w:cs="微软雅黑"/>
            <w:kern w:val="2"/>
            <w:sz w:val="24"/>
            <w:szCs w:val="24"/>
            <w:lang w:val="en-US" w:eastAsia="zh-CN" w:bidi="ar-SA"/>
          </w:rPr>
          <m:t>t</m:t>
        </m:r>
      </m:oMath>
      <w:r>
        <m:rPr/>
        <w:rPr>
          <w:rFonts w:hint="eastAsia" w:hAnsi="Cambria Math" w:cs="微软雅黑"/>
          <w:i w:val="0"/>
          <w:kern w:val="2"/>
          <w:sz w:val="24"/>
          <w:szCs w:val="24"/>
          <w:lang w:val="en-US" w:eastAsia="zh-CN" w:bidi="ar-SA"/>
        </w:rPr>
        <w:t xml:space="preserve"> 。</w:t>
      </w:r>
    </w:p>
    <w:p>
      <w:pPr>
        <m:rPr/>
        <w:rPr>
          <w:rFonts w:hint="eastAsia" w:hAnsi="Cambria Math"/>
          <w:b w:val="0"/>
          <w:i w:val="0"/>
          <w:lang w:val="en-US" w:eastAsia="zh-CN"/>
        </w:rPr>
      </w:pPr>
      <w:r>
        <m:rPr/>
        <w:rPr>
          <w:rFonts w:hint="eastAsia" w:hAnsi="Cambria Math" w:cs="微软雅黑"/>
          <w:i w:val="0"/>
          <w:kern w:val="2"/>
          <w:sz w:val="24"/>
          <w:szCs w:val="24"/>
          <w:lang w:val="en-US" w:eastAsia="zh-CN" w:bidi="ar-SA"/>
        </w:rPr>
        <w:t xml:space="preserve">TransE 只能建模 1 对 1 的关系类型，TransR 通过从实体向量空间 </w:t>
      </w:r>
      <m:oMath>
        <m:sSup>
          <m:sSupPr>
            <m:ctrlPr>
              <w:rPr>
                <w:rFonts w:ascii="Cambria Math" w:hAnsi="Cambria Math" w:cs="微软雅黑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eastAsia"/>
                <w:lang w:val="en-US" w:eastAsia="zh-CN"/>
              </w:rPr>
              <m:t xml:space="preserve">h, t </m:t>
            </m:r>
            <m:r>
              <m:rPr>
                <m:sty m:val="p"/>
              </m:rPr>
              <w:rPr>
                <w:rFonts w:hint="eastAsia" w:ascii="微软雅黑" w:hAnsi="微软雅黑" w:eastAsia="微软雅黑" w:cs="微软雅黑"/>
                <w:lang w:val="en-US" w:eastAsia="zh-CN"/>
              </w:rPr>
              <m:t>∈</m:t>
            </m:r>
            <m:r>
              <m:rPr>
                <m:scr m:val="double-struck"/>
              </m:rPr>
              <w:rPr>
                <w:rFonts w:ascii="Cambria Math" w:hAnsi="Cambria Math" w:cs="微软雅黑"/>
                <w:lang w:val="en-US"/>
              </w:rPr>
              <m:t>ℝ</m:t>
            </m:r>
            <m:ctrlPr>
              <w:rPr>
                <w:rFonts w:ascii="Cambria Math" w:hAnsi="Cambria Math" w:cs="微软雅黑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微软雅黑"/>
                <w:lang w:val="en-US" w:eastAsia="zh-CN"/>
              </w:rPr>
              <m:t>d</m:t>
            </m:r>
            <m:ctrlPr>
              <w:rPr>
                <w:rFonts w:ascii="Cambria Math" w:hAnsi="Cambria Math" w:cs="微软雅黑"/>
                <w:i/>
                <w:lang w:val="en-US"/>
              </w:rPr>
            </m:ctrlPr>
          </m:sup>
        </m:sSup>
      </m:oMath>
      <w:r>
        <w:rPr>
          <w:rFonts w:hint="eastAsia" w:hAnsi="Cambria Math" w:cs="微软雅黑"/>
          <w:i w:val="0"/>
          <w:lang w:val="en-US" w:eastAsia="zh-CN"/>
        </w:rPr>
        <w:t xml:space="preserve"> </w:t>
      </w:r>
      <w:r>
        <m:rPr/>
        <w:rPr>
          <w:rFonts w:hint="eastAsia" w:hAnsi="Cambria Math" w:cs="微软雅黑"/>
          <w:i w:val="0"/>
          <w:kern w:val="2"/>
          <w:sz w:val="24"/>
          <w:szCs w:val="24"/>
          <w:lang w:val="en-US" w:eastAsia="zh-CN" w:bidi="ar-SA"/>
        </w:rPr>
        <w:t xml:space="preserve">分离出关系的向量空间 </w:t>
      </w:r>
      <m:oMath>
        <m:sSup>
          <m:sSupPr>
            <m:ctrlPr>
              <w:rPr>
                <w:rFonts w:ascii="Cambria Math" w:hAnsi="Cambria Math" w:cs="微软雅黑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eastAsia"/>
                <w:lang w:val="en-US" w:eastAsia="zh-CN"/>
              </w:rPr>
              <m:t xml:space="preserve">r </m:t>
            </m:r>
            <m:r>
              <m:rPr>
                <m:sty m:val="p"/>
              </m:rPr>
              <w:rPr>
                <w:rFonts w:hint="eastAsia" w:ascii="微软雅黑" w:hAnsi="微软雅黑" w:eastAsia="微软雅黑" w:cs="微软雅黑"/>
                <w:lang w:val="en-US" w:eastAsia="zh-CN"/>
              </w:rPr>
              <m:t>∈</m:t>
            </m:r>
            <m:r>
              <m:rPr>
                <m:scr m:val="double-struck"/>
              </m:rPr>
              <w:rPr>
                <w:rFonts w:ascii="Cambria Math" w:hAnsi="Cambria Math" w:cs="微软雅黑"/>
                <w:lang w:val="en-US"/>
              </w:rPr>
              <m:t>ℝ</m:t>
            </m:r>
            <m:ctrlPr>
              <w:rPr>
                <w:rFonts w:ascii="Cambria Math" w:hAnsi="Cambria Math" w:cs="微软雅黑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微软雅黑"/>
                <w:lang w:val="en-US" w:eastAsia="zh-CN"/>
              </w:rPr>
              <m:t>k</m:t>
            </m:r>
            <m:ctrlPr>
              <w:rPr>
                <w:rFonts w:ascii="Cambria Math" w:hAnsi="Cambria Math" w:cs="微软雅黑"/>
                <w:i/>
                <w:lang w:val="en-US"/>
              </w:rPr>
            </m:ctrlPr>
          </m:sup>
        </m:sSup>
      </m:oMath>
      <w:r>
        <w:rPr>
          <w:rFonts w:hint="eastAsia" w:hAnsi="Cambria Math" w:cs="微软雅黑"/>
          <w:i w:val="0"/>
          <w:lang w:val="en-US" w:eastAsia="zh-CN"/>
        </w:rPr>
        <w:t xml:space="preserve"> 来解决这个问题。TransR 通过学习一个关系投影矩阵 </w:t>
      </w:r>
      <m:oMath>
        <m:sSub>
          <m:sSubP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微软雅黑"/>
                <w:lang w:val="en-US" w:eastAsia="zh-CN"/>
              </w:rPr>
              <m:t>M</m:t>
            </m: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微软雅黑"/>
                <w:lang w:val="en-US" w:eastAsia="zh-CN"/>
              </w:rPr>
              <m:t>r</m:t>
            </m: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微软雅黑" w:hAnsi="微软雅黑" w:eastAsia="微软雅黑" w:cs="微软雅黑"/>
            <w:lang w:val="en-US" w:eastAsia="zh-CN"/>
          </w:rPr>
          <m:t>∈</m:t>
        </m:r>
        <m:sSup>
          <m:sSupPr>
            <m:ctrlPr>
              <w:rPr>
                <w:rFonts w:hint="eastAsia" w:ascii="微软雅黑" w:hAnsi="微软雅黑" w:eastAsia="微软雅黑" w:cs="微软雅黑"/>
                <w:b w:val="0"/>
                <w:i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lang w:val="en-US" w:eastAsia="zh-CN"/>
              </w:rPr>
              <m:t>R</m:t>
            </m:r>
            <m:ctrlPr>
              <w:rPr>
                <w:rFonts w:hint="eastAsia" w:ascii="微软雅黑" w:hAnsi="微软雅黑" w:eastAsia="微软雅黑" w:cs="微软雅黑"/>
                <w:b w:val="0"/>
                <w:i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微软雅黑" w:cs="微软雅黑"/>
                <w:lang w:val="en-US" w:eastAsia="zh-CN"/>
              </w:rPr>
              <m:t>k</m:t>
            </m:r>
            <m:r>
              <m:rPr>
                <m:sty m:val="p"/>
              </m:rPr>
              <w:rPr>
                <w:rFonts w:ascii="Cambria Math" w:hAnsi="Cambria Math" w:cs="微软雅黑"/>
                <w:lang w:val="en-US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 w:eastAsia="微软雅黑" w:cs="微软雅黑"/>
                <w:lang w:val="en-US" w:eastAsia="zh-CN"/>
              </w:rPr>
              <m:t>d</m:t>
            </m:r>
            <m:ctrlPr>
              <w:rPr>
                <w:rFonts w:hint="eastAsia" w:ascii="微软雅黑" w:hAnsi="微软雅黑" w:eastAsia="微软雅黑" w:cs="微软雅黑"/>
                <w:b w:val="0"/>
                <w:i w:val="0"/>
                <w:lang w:val="en-US" w:eastAsia="zh-CN"/>
              </w:rPr>
            </m:ctrlPr>
          </m:sup>
        </m:sSup>
      </m:oMath>
      <w:r>
        <w:rPr>
          <w:rFonts w:hint="eastAsia" w:hAnsi="微软雅黑" w:eastAsia="微软雅黑" w:cs="微软雅黑"/>
          <w:b w:val="0"/>
          <w:i w:val="0"/>
          <w:lang w:val="en-US" w:eastAsia="zh-CN"/>
        </w:rPr>
        <w:t xml:space="preserve"> 将实体投影到不同的关系向量空间，进而捕获了不同关系的差异。然而 TransR 为了获得更强的表示能力，也将复杂度从 </w:t>
      </w:r>
      <m:oMath>
        <m:r>
          <m:rPr>
            <m:sty m:val="p"/>
          </m:rPr>
          <w:rPr>
            <w:rFonts w:ascii="Cambria Math" w:hAnsi="Cambria Math"/>
            <w:lang w:val="en-US"/>
          </w:rPr>
          <m:t>Ο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(d)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提升为 </w:t>
      </w:r>
      <m:oMath>
        <m:r>
          <m:rPr>
            <m:sty m:val="p"/>
          </m:rPr>
          <w:rPr>
            <w:rFonts w:ascii="Cambria Math" w:hAnsi="Cambria Math"/>
            <w:lang w:val="en-US"/>
          </w:rPr>
          <m:t>Ο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(</m:t>
        </m:r>
        <m:sSup>
          <m:sSupPr>
            <m:ctrlPr>
              <w:rPr>
                <w:rFonts w:hint="default" w:ascii="Cambria Math" w:hAnsi="Cambria Math"/>
                <w:b w:val="0"/>
                <w:i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d</m:t>
            </m:r>
            <m:ctrlPr>
              <w:rPr>
                <w:rFonts w:hint="default" w:ascii="Cambria Math" w:hAnsi="Cambria Math"/>
                <w:b w:val="0"/>
                <w:i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b w:val="0"/>
                <w:i w:val="0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>)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，导致训练时间急剧增加，因此我们并没有采取 TransR 作为我们的药物重定位的候选模型。</w:t>
      </w:r>
    </w:p>
    <w:p>
      <w:pPr>
        <m:rPr/>
        <w:rPr>
          <w:rFonts w:hint="eastAsia" w:hAnsi="Cambria Math"/>
          <w:b w:val="0"/>
          <w:i w:val="0"/>
          <w:lang w:val="en-US" w:eastAsia="zh-CN"/>
        </w:rPr>
      </w:pPr>
      <w:r>
        <m:rPr/>
        <w:rPr>
          <w:rFonts w:hint="default" w:hAnsi="Cambria Math"/>
          <w:b w:val="0"/>
          <w:i w:val="0"/>
          <w:lang w:val="en-US" w:eastAsia="zh-CN"/>
        </w:rPr>
        <w:t>RESCAL是一个双线性模型，它通过将实体向量</w:t>
      </w:r>
      <w:r>
        <m:rPr/>
        <w:rPr>
          <w:rFonts w:hint="eastAsia" w:hAnsi="Cambria Math"/>
          <w:b w:val="0"/>
          <w:i w:val="0"/>
          <w:lang w:val="en-US" w:eastAsia="zh-CN"/>
        </w:rPr>
        <w:t>的交互</w:t>
      </w:r>
      <w:r>
        <m:rPr/>
        <w:rPr>
          <w:rFonts w:hint="default" w:hAnsi="Cambria Math"/>
          <w:b w:val="0"/>
          <w:i w:val="0"/>
          <w:lang w:val="en-US" w:eastAsia="zh-CN"/>
        </w:rPr>
        <w:t>来捕获</w:t>
      </w:r>
      <w:r>
        <m:rPr/>
        <w:rPr>
          <w:rFonts w:hint="eastAsia" w:hAnsi="Cambria Math"/>
          <w:b w:val="0"/>
          <w:i w:val="0"/>
          <w:lang w:val="en-US" w:eastAsia="zh-CN"/>
        </w:rPr>
        <w:t xml:space="preserve"> KG </w:t>
      </w:r>
      <w:r>
        <m:rPr/>
        <w:rPr>
          <w:rFonts w:hint="default" w:hAnsi="Cambria Math"/>
          <w:b w:val="0"/>
          <w:i w:val="0"/>
          <w:lang w:val="en-US" w:eastAsia="zh-CN"/>
        </w:rPr>
        <w:t>的潜在语义，并将每个关系表示为一个矩阵，该矩阵对实体之间的交互进行建模。</w:t>
      </w:r>
      <w:r>
        <m:rPr/>
        <w:rPr>
          <w:rFonts w:hint="eastAsia" w:hAnsi="Cambria Math"/>
          <w:b w:val="0"/>
          <w:i w:val="0"/>
          <w:lang w:val="en-US" w:eastAsia="zh-CN"/>
        </w:rPr>
        <w:t xml:space="preserve">该模型也像 TransR 一样，复杂度为 </w:t>
      </w:r>
      <m:oMath>
        <m:r>
          <m:rPr>
            <m:sty m:val="p"/>
          </m:rPr>
          <w:rPr>
            <w:rFonts w:ascii="Cambria Math" w:hAnsi="Cambria Math"/>
            <w:lang w:val="en-US"/>
          </w:rPr>
          <m:t>Ο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(</m:t>
        </m:r>
        <m:sSup>
          <m:sSupPr>
            <m:ctrlPr>
              <w:rPr>
                <w:rFonts w:hint="default" w:ascii="Cambria Math" w:hAnsi="Cambria Math"/>
                <w:b w:val="0"/>
                <w:i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d</m:t>
            </m:r>
            <m:ctrlPr>
              <w:rPr>
                <w:rFonts w:hint="default" w:ascii="Cambria Math" w:hAnsi="Cambria Math"/>
                <w:b w:val="0"/>
                <w:i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b w:val="0"/>
                <w:i w:val="0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>)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，这也为它的扩展模型主要改进的方向，我们也没有使用它作为药物重定位的候选模型。</w:t>
      </w:r>
    </w:p>
    <w:p>
      <w:pPr>
        <m:rPr/>
        <w:rPr>
          <w:rFonts w:hint="eastAsia" w:hAnsi="Cambria Math"/>
          <w:b w:val="0"/>
          <w:i w:val="0"/>
          <w:lang w:val="en-US" w:eastAsia="zh-CN"/>
        </w:rPr>
      </w:pPr>
      <w:r>
        <m:rPr/>
        <w:rPr>
          <w:rFonts w:hint="eastAsia" w:hAnsi="Cambria Math"/>
          <w:b w:val="0"/>
          <w:i w:val="0"/>
          <w:lang w:val="en-US" w:eastAsia="zh-CN"/>
        </w:rPr>
        <w:t xml:space="preserve">DistMult 通过将 </w:t>
      </w:r>
      <m:oMath>
        <m:sSub>
          <m:sSubP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微软雅黑"/>
                <w:lang w:val="en-US" w:eastAsia="zh-CN"/>
              </w:rPr>
              <m:t>M</m:t>
            </m: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微软雅黑"/>
                <w:lang w:val="en-US" w:eastAsia="zh-CN"/>
              </w:rPr>
              <m:t>r</m:t>
            </m: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sub>
        </m:sSub>
      </m:oMath>
      <w:r>
        <w:rPr>
          <w:rFonts w:hint="eastAsia" w:hAnsi="Cambria Math" w:cs="微软雅黑"/>
          <w:i w:val="0"/>
          <w:lang w:val="en-US" w:eastAsia="zh-CN"/>
        </w:rPr>
        <w:t xml:space="preserve"> 换成对角方阵简化了 RESCAL 模型，使得复杂度变成了 </w:t>
      </w:r>
      <m:oMath>
        <m:r>
          <m:rPr>
            <m:sty m:val="p"/>
          </m:rPr>
          <w:rPr>
            <w:rFonts w:ascii="Cambria Math" w:hAnsi="Cambria Math"/>
            <w:lang w:val="en-US"/>
          </w:rPr>
          <m:t>Ο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(d)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，但是该模型的表现能力相较于 RESCAL 模型也大大减弱。</w:t>
      </w:r>
    </w:p>
    <w:p>
      <w:pPr>
        <m:rPr/>
        <w:rPr>
          <w:rFonts w:hint="eastAsia" w:hAnsi="Cambria Math"/>
          <w:b w:val="0"/>
          <w:i w:val="0"/>
          <w:lang w:val="en-US" w:eastAsia="zh-CN"/>
        </w:rPr>
      </w:pPr>
      <w:r>
        <m:rPr/>
        <w:rPr>
          <w:rFonts w:hint="eastAsia" w:hAnsi="Cambria Math"/>
          <w:b w:val="0"/>
          <w:i w:val="0"/>
          <w:lang w:val="en-US" w:eastAsia="zh-CN"/>
        </w:rPr>
        <w:t>由于 DistMult 使用的是对角方阵，因此仅仅能捕获对称关系。为了捕获反对称关系，ComplEx 将向量空间从实数域扩展到复数域。</w:t>
      </w:r>
    </w:p>
    <w:p>
      <w:pPr>
        <w:rPr>
          <w:rFonts w:hint="eastAsia" w:hAnsi="Cambria Math" w:cs="微软雅黑"/>
          <w:i w:val="0"/>
          <w:lang w:val="en-US" w:eastAsia="zh-CN"/>
        </w:rPr>
      </w:pPr>
      <w:r>
        <m:rPr/>
        <w:rPr>
          <w:rFonts w:hint="eastAsia" w:hAnsi="Cambria Math"/>
          <w:b w:val="0"/>
          <w:i w:val="0"/>
          <w:lang w:val="en-US" w:eastAsia="zh-CN"/>
        </w:rPr>
        <w:t xml:space="preserve">受到 TransE 和欧拉恒等式的启发，RotatE 将头实体和尾实体映射到复数向量空间，即 </w:t>
      </w:r>
      <m:oMath>
        <m:sSup>
          <m:sSupPr>
            <m:ctrlPr>
              <w:rPr>
                <w:rFonts w:ascii="Cambria Math" w:hAnsi="Cambria Math" w:cs="微软雅黑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eastAsia"/>
                <w:lang w:val="en-US" w:eastAsia="zh-CN"/>
              </w:rPr>
              <m:t xml:space="preserve">h, t </m:t>
            </m:r>
            <m:r>
              <m:rPr>
                <m:sty m:val="p"/>
              </m:rPr>
              <w:rPr>
                <w:rFonts w:hint="eastAsia" w:ascii="微软雅黑" w:hAnsi="微软雅黑" w:eastAsia="微软雅黑" w:cs="微软雅黑"/>
                <w:lang w:val="en-US" w:eastAsia="zh-CN"/>
              </w:rPr>
              <m:t>∈</m:t>
            </m:r>
            <m:r>
              <m:rPr>
                <m:scr m:val="double-struck"/>
              </m:rPr>
              <w:rPr>
                <w:rFonts w:ascii="Cambria Math" w:hAnsi="Cambria Math" w:cs="微软雅黑"/>
                <w:lang w:val="en-US"/>
              </w:rPr>
              <m:t>ℂ</m:t>
            </m:r>
            <m:ctrlPr>
              <w:rPr>
                <w:rFonts w:ascii="Cambria Math" w:hAnsi="Cambria Math" w:cs="微软雅黑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微软雅黑"/>
                <w:lang w:val="en-US" w:eastAsia="zh-CN"/>
              </w:rPr>
              <m:t>d</m:t>
            </m:r>
            <m:ctrlPr>
              <w:rPr>
                <w:rFonts w:ascii="Cambria Math" w:hAnsi="Cambria Math" w:cs="微软雅黑"/>
                <w:i/>
                <w:lang w:val="en-US"/>
              </w:rPr>
            </m:ctrlPr>
          </m:sup>
        </m:sSup>
      </m:oMath>
      <w:r>
        <w:rPr>
          <w:rFonts w:hint="eastAsia" w:hAnsi="Cambria Math" w:cs="微软雅黑"/>
          <w:i w:val="0"/>
          <w:lang w:val="en-US" w:eastAsia="zh-CN"/>
        </w:rPr>
        <w:t xml:space="preserve">，将关系建模为从头部实体 </w:t>
      </w:r>
      <m:oMath>
        <m:r>
          <m:rPr>
            <m:sty m:val="p"/>
          </m:rPr>
          <w:rPr>
            <w:rFonts w:hint="eastAsia"/>
            <w:lang w:val="en-US" w:eastAsia="zh-CN"/>
          </w:rPr>
          <m:t>h</m:t>
        </m:r>
      </m:oMath>
      <w:r>
        <w:rPr>
          <w:rFonts w:hint="eastAsia" w:hAnsi="Cambria Math" w:cs="微软雅黑"/>
          <w:i w:val="0"/>
          <w:lang w:val="en-US" w:eastAsia="zh-CN"/>
        </w:rPr>
        <w:t xml:space="preserve"> 到尾部实体 </w:t>
      </w:r>
      <m:oMath>
        <m:r>
          <m:rPr>
            <m:sty m:val="p"/>
          </m:rPr>
          <w:rPr>
            <w:rFonts w:hint="eastAsia"/>
            <w:lang w:val="en-US" w:eastAsia="zh-CN"/>
          </w:rPr>
          <m:t xml:space="preserve"> t</m:t>
        </m:r>
      </m:oMath>
      <w:r>
        <w:rPr>
          <w:rFonts w:hint="eastAsia" w:hAnsi="Cambria Math" w:cs="微软雅黑"/>
          <w:i w:val="0"/>
          <w:lang w:val="en-US" w:eastAsia="zh-CN"/>
        </w:rPr>
        <w:t xml:space="preserve"> 的旋转。RotatE 模型能够捕获对称、反对称、反转和组成四种类型关系。</w:t>
      </w:r>
    </w:p>
    <w:p>
      <w:pPr>
        <m:rPr/>
        <w:rPr>
          <w:rFonts w:hint="eastAsia" w:hAnsi="Cambria Math" w:cs="微软雅黑"/>
          <w:i w:val="0"/>
          <w:lang w:val="en-US" w:eastAsia="zh-CN"/>
        </w:rPr>
      </w:pPr>
      <w:r>
        <m:rPr/>
        <w:rPr>
          <w:rFonts w:hint="eastAsia" w:hAnsi="Cambria Math" w:cs="微软雅黑"/>
          <w:i w:val="0"/>
          <w:lang w:val="en-US" w:eastAsia="zh-CN"/>
        </w:rPr>
        <w:t>在后续的实验中，我们都是使用最大间隔方法训练模型，这将最小化正确三元组的排名，损失函数如下：</w:t>
      </w:r>
    </w:p>
    <w:p>
      <w:pPr>
        <m:rPr/>
        <w:rPr>
          <w:rFonts w:hint="default" w:hAnsi="Cambria Math" w:cs="微软雅黑"/>
          <w:i w:val="0"/>
          <w:lang w:val="en-US" w:eastAsia="zh-CN"/>
        </w:rPr>
      </w:pPr>
      <m:oMathPara>
        <m:oMath>
          <m:r>
            <m:rPr>
              <m:sty m:val="p"/>
              <m:scr m:val="script"/>
            </m:rPr>
            <w:rPr>
              <w:rFonts w:ascii="Cambria Math" w:hAnsi="Cambria Math" w:cs="微软雅黑"/>
              <w:lang w:val="en-US"/>
            </w:rPr>
            <m:t>ℒ</m:t>
          </m:r>
          <m:r>
            <m:rPr>
              <m:sty m:val="p"/>
            </m:rPr>
            <w:rPr>
              <w:rFonts w:hint="default" w:ascii="Cambria Math" w:hAnsi="Cambria Math" w:cs="微软雅黑"/>
              <w:lang w:val="en-US" w:eastAsia="zh-CN"/>
            </w:rPr>
            <m:t xml:space="preserve">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微软雅黑"/>
                  <w:i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cs="微软雅黑"/>
                  <w:lang w:val="en-US" w:eastAsia="zh-CN"/>
                </w:rPr>
                <m:t xml:space="preserve">(ℎ, r, t) </m:t>
              </m:r>
              <m:r>
                <m:rPr/>
                <w:rPr>
                  <w:rFonts w:ascii="Cambria Math" w:hAnsi="Cambria Math" w:cs="微软雅黑"/>
                  <w:lang w:val="en-US"/>
                </w:rPr>
                <m:t>∈</m:t>
              </m:r>
              <m:r>
                <m:rPr/>
                <w:rPr>
                  <w:rFonts w:hint="default" w:ascii="Cambria Math" w:hAnsi="Cambria Math" w:cs="微软雅黑"/>
                  <w:lang w:val="en-US" w:eastAsia="zh-CN"/>
                </w:rPr>
                <m:t xml:space="preserve"> </m:t>
              </m:r>
              <m:sSup>
                <m:sSupPr>
                  <m:ctrlPr>
                    <m:rPr/>
                    <w:rPr>
                      <w:rFonts w:hint="default" w:ascii="Cambria Math" w:hAnsi="Cambria Math" w:cs="微软雅黑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>D</m:t>
                  </m:r>
                  <m:ctrlPr>
                    <m:rPr/>
                    <w:rPr>
                      <w:rFonts w:hint="default" w:ascii="Cambria Math" w:hAnsi="Cambria Math" w:cs="微软雅黑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>+</m:t>
                  </m:r>
                  <m:ctrlPr>
                    <m:rPr/>
                    <w:rPr>
                      <w:rFonts w:hint="default" w:ascii="Cambria Math" w:hAnsi="Cambria Math" w:cs="微软雅黑"/>
                      <w:i/>
                      <w:lang w:val="en-US" w:eastAsia="zh-CN"/>
                    </w:rPr>
                  </m:ctrlPr>
                </m:sup>
              </m:sSup>
              <m:ctrlPr>
                <w:rPr>
                  <w:rFonts w:ascii="Cambria Math" w:hAnsi="Cambria Math" w:cs="微软雅黑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 w:cs="微软雅黑"/>
                  <w:i/>
                  <w:lang w:val="en-US"/>
                </w:rPr>
              </m:ctrlP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微软雅黑"/>
                      <w:i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>(</m:t>
                  </m:r>
                  <m:sSup>
                    <m:sSupP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ℎ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 xml:space="preserve">, r, </m:t>
                  </m:r>
                  <m:sSup>
                    <m:sSupP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 xml:space="preserve">) </m:t>
                  </m:r>
                  <m:r>
                    <m:rPr/>
                    <w:rPr>
                      <w:rFonts w:ascii="Cambria Math" w:hAnsi="Cambria Math" w:cs="微软雅黑"/>
                      <w:lang w:val="en-US"/>
                    </w:rPr>
                    <m:t>∈</m:t>
                  </m:r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 xml:space="preserve"> </m:t>
                  </m:r>
                  <m:sSup>
                    <m:sSupPr>
                      <m:ctrlPr>
                        <m:rPr/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D</m:t>
                      </m:r>
                      <m:ctrlPr>
                        <m:rPr/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−</m:t>
                      </m:r>
                      <m:ctrlPr>
                        <m:rPr/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ascii="Cambria Math" w:hAnsi="Cambria Math" w:cs="微软雅黑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微软雅黑"/>
                      <w:i/>
                      <w:lang w:val="en-US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 xml:space="preserve">max(0, </m:t>
                  </m:r>
                  <m:r>
                    <m:rPr/>
                    <w:rPr>
                      <w:rFonts w:ascii="Cambria Math" w:hAnsi="Cambria Math" w:cs="微软雅黑"/>
                      <w:lang w:val="en-US"/>
                    </w:rPr>
                    <m:t>γ</m:t>
                  </m:r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 xml:space="preserve"> − f(ℎ, r, t) + f(</m:t>
                  </m:r>
                  <m:sSup>
                    <m:sSupPr>
                      <m:ctrlPr>
                        <m:rPr/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ℎ</m:t>
                      </m:r>
                      <m:ctrlPr>
                        <m:rPr/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'</m:t>
                      </m:r>
                      <m:ctrlPr>
                        <m:rPr/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 xml:space="preserve">, r, </m:t>
                  </m:r>
                  <m:sSup>
                    <m:sSupPr>
                      <m:ctrlPr>
                        <m:rPr/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t</m:t>
                      </m:r>
                      <m:ctrlPr>
                        <m:rPr/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'</m:t>
                      </m:r>
                      <m:ctrlPr>
                        <m:rPr/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>))</m:t>
                  </m:r>
                  <m:ctrlPr>
                    <w:rPr>
                      <w:rFonts w:ascii="Cambria Math" w:hAnsi="Cambria Math" w:cs="微软雅黑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微软雅黑"/>
                  <w:i/>
                  <w:lang w:val="en-US"/>
                </w:rPr>
              </m:ctrlPr>
            </m:e>
          </m:nary>
        </m:oMath>
      </m:oMathPara>
    </w:p>
    <w:p>
      <w:pPr>
        <w:bidi w:val="0"/>
        <m:rPr/>
        <w:rPr>
          <w:rFonts w:hint="eastAsia" w:hAnsi="Cambria Math" w:cs="微软雅黑"/>
          <w:i w:val="0"/>
          <w:lang w:val="en-US" w:eastAsia="zh-CN"/>
        </w:rPr>
      </w:pPr>
      <w:r>
        <w:rPr>
          <w:rFonts w:hint="eastAsia"/>
          <w:lang w:val="en-US" w:eastAsia="zh-CN"/>
        </w:rPr>
        <w:t>其中，</w:t>
      </w:r>
      <m:oMath>
        <m:r>
          <m:rPr/>
          <w:rPr>
            <w:rFonts w:hint="default" w:ascii="Cambria Math" w:hAnsi="Cambria Math" w:cs="微软雅黑"/>
            <w:lang w:val="en-US" w:eastAsia="zh-CN"/>
          </w:rPr>
          <m:t xml:space="preserve"> </m:t>
        </m:r>
        <m:sSup>
          <m:sSupP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微软雅黑"/>
                <w:lang w:val="en-US" w:eastAsia="zh-CN"/>
              </w:rPr>
              <m:t>D</m:t>
            </m: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微软雅黑"/>
                <w:lang w:val="en-US" w:eastAsia="zh-CN"/>
              </w:rPr>
              <m:t>+</m:t>
            </m: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sup>
        </m:sSup>
      </m:oMath>
      <w:r>
        <w:rPr>
          <w:rFonts w:hint="eastAsia" w:hAnsi="Cambria Math" w:cs="微软雅黑"/>
          <w:i w:val="0"/>
          <w:lang w:val="en-US" w:eastAsia="zh-CN"/>
        </w:rPr>
        <w:t xml:space="preserve"> 和 </w:t>
      </w:r>
      <m:oMath>
        <m:sSup>
          <m:sSupP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微软雅黑"/>
                <w:lang w:val="en-US" w:eastAsia="zh-CN"/>
              </w:rPr>
              <m:t>D</m:t>
            </m: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微软雅黑"/>
                <w:lang w:val="en-US" w:eastAsia="zh-CN"/>
              </w:rPr>
              <m:t>−</m:t>
            </m: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sup>
        </m:sSup>
      </m:oMath>
      <w:r>
        <w:rPr>
          <w:rFonts w:hint="eastAsia" w:hAnsi="Cambria Math" w:cs="微软雅黑"/>
          <w:i w:val="0"/>
          <w:lang w:val="en-US" w:eastAsia="zh-CN"/>
        </w:rPr>
        <w:t xml:space="preserve"> 分别是正例三元组与负三元组的集合；</w:t>
      </w:r>
      <m:oMath>
        <m:r>
          <m:rPr/>
          <w:rPr>
            <w:rFonts w:ascii="Cambria Math" w:hAnsi="Cambria Math" w:cs="微软雅黑"/>
            <w:lang w:val="en-US"/>
          </w:rPr>
          <m:t>γ</m:t>
        </m:r>
      </m:oMath>
      <w:r>
        <m:rPr/>
        <w:rPr>
          <w:rFonts w:hint="eastAsia" w:hAnsi="Cambria Math" w:cs="微软雅黑"/>
          <w:i w:val="0"/>
          <w:lang w:val="en-US" w:eastAsia="zh-CN"/>
        </w:rPr>
        <w:t xml:space="preserve"> 是正负例三元组得分的间隔距离。</w:t>
      </w:r>
    </w:p>
    <w:p>
      <w:pPr>
        <w:pStyle w:val="5"/>
        <w:bidi w:val="0"/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评估指标</w:t>
      </w:r>
    </w:p>
    <w:p>
      <w:pPr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/>
          <w:lang w:val="en-US" w:eastAsia="zh-CN"/>
        </w:rPr>
        <w:t xml:space="preserve">KGE 模型可以通过链接预测技术预测 KG 中缺失的三元组，即给定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(h, r, ?)</m:t>
        </m:r>
      </m:oMath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 xml:space="preserve"> 预测缺失的尾实体 t，或者给定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(?, r, t)</m:t>
        </m:r>
      </m:oMath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 xml:space="preserve"> 预测缺失的头实体 h。我们可以通过链接预测给出测试集中三元组的排名。为了评估 KGE 模型的性能，我们使用三种经典指标：平均倒数排名（mean reciprocal rank，MRR），平均排名（mean rank，MR）和 Hits@N（N = 1，3，10）。MRR和Hits@N 都是越高越好，MR越低越好。</w:t>
      </w:r>
    </w:p>
    <w:p>
      <w:pP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如果我们用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rank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ℎ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和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rank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分别表示预测缺失头实体和尾实体的排名，D表示需要评估的三元组集合，那么 MR 被表示为</w:t>
      </w:r>
    </w:p>
    <w:p>
      <w:pPr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MR = 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2|D|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nary>
            <m:naryPr>
              <m:chr m:val="∑"/>
              <m:limLoc m:val="undOvr"/>
              <m:supHide m:val="1"/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(h, r, t)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∈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rank</m:t>
                  </m:r>
                  <m:ctrlPr>
                    <m:rPr/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h</m:t>
                  </m:r>
                  <m:ctrlPr>
                    <m:rPr/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 xml:space="preserve"> + </m:t>
              </m:r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rank</m:t>
                  </m:r>
                  <m:ctrlPr>
                    <m:rPr/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t</m:t>
                  </m:r>
                  <m:ctrlPr>
                    <m:rPr/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MRR 被计算为</w:t>
      </w:r>
    </w:p>
    <w:p>
      <w:pPr>
        <w:bidi w:val="0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MRR = </m:t>
          </m:r>
          <m:f>
            <m:fP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2|D|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nary>
            <m:naryPr>
              <m:chr m:val="∑"/>
              <m:limLoc m:val="subSup"/>
              <m:supHide m:val="1"/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(h, r, t)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∈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f>
                <m:fP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sSub>
                    <m:sSubPr>
                      <m:ctrlP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rank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h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 xml:space="preserve"> + </m:t>
              </m:r>
              <m:f>
                <m:fP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sSub>
                    <m:sSubPr>
                      <m:ctrlP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rank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t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bidi w:val="0"/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Hits@N 被计算为</w:t>
      </w:r>
    </w:p>
    <w:p>
      <w:pPr>
        <w:bidi w:val="0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H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i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ts@N = 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2|D|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nary>
            <m:naryPr>
              <m:chr m:val="∑"/>
              <m:limLoc m:val="undOvr"/>
              <m:supHide m:val="1"/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(h, r, t)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∈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I[</m:t>
              </m:r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rank</m:t>
                  </m:r>
                  <m:ctrlPr>
                    <m:rPr/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h</m:t>
                  </m: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] + I[</m:t>
              </m:r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rank</m:t>
                  </m:r>
                  <m:ctrlPr>
                    <m:rPr/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t</m:t>
                  </m: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]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bidi w:val="0"/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其中如果条件为真，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I[∗]</m:t>
        </m:r>
      </m:oMath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 xml:space="preserve"> 等于 1，否则等于0。</w:t>
      </w:r>
    </w:p>
    <w:p>
      <w:pPr>
        <w:pStyle w:val="5"/>
        <w:bidi w:val="0"/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实验设置</w:t>
      </w:r>
    </w:p>
    <w:p>
      <w:pPr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我们将 DRKG 的三元组按照 90%、5%、5% 的比例划分为训练集、验证机和测试集，分别为5286834个，293713个和293714个。</w:t>
      </w:r>
    </w:p>
    <w:p>
      <w:pPr>
        <w:rPr>
          <w:rFonts w:hint="eastAsia" w:hAnsi="Cambria Math" w:cs="微软雅黑"/>
          <w:i w:val="0"/>
          <w:lang w:val="en-US" w:eastAsia="zh-CN"/>
        </w:rPr>
      </w:pPr>
      <w:r>
        <m:rPr/>
        <w:rPr>
          <w:rFonts w:hint="eastAsia"/>
          <w:lang w:val="en-US" w:eastAsia="zh-CN"/>
        </w:rPr>
        <w:t xml:space="preserve">我们综合上面5个指标在验证集上利用网格搜索所有模型的超参数（TransE_l1、TransE_l2、DistMult、ComplEx和RotatE），所有模型的训练批次大小（batch_size）和负采样大小（neg_sample_size）分别固定为4096和256，学习率lr从{0.01, 0.05, 0.1}中选择；由于RotatE 模型实体维度是超参数嵌入维度（hidden_dim）的2倍，因此将其嵌入维度固定为200，其他模型从{200,400}中选择；TransE_l1、TransE_l2和RotatE的 </w:t>
      </w:r>
      <m:oMath>
        <m:r>
          <m:rPr/>
          <w:rPr>
            <w:rFonts w:ascii="Cambria Math" w:hAnsi="Cambria Math" w:cs="微软雅黑"/>
            <w:lang w:val="en-US"/>
          </w:rPr>
          <m:t>γ</m:t>
        </m:r>
      </m:oMath>
      <w:r>
        <m:rPr/>
        <w:rPr>
          <w:rFonts w:hint="eastAsia" w:hAnsi="Cambria Math" w:cs="微软雅黑"/>
          <w:i w:val="0"/>
          <w:lang w:val="en-US" w:eastAsia="zh-CN"/>
        </w:rPr>
        <w:t xml:space="preserve"> 从{6,12,18}中选择，DistMult、ComplEx的</w:t>
      </w:r>
      <w:r>
        <w:rPr>
          <w:rFonts w:hint="eastAsia"/>
          <w:lang w:val="en-US" w:eastAsia="zh-CN"/>
        </w:rPr>
        <w:t xml:space="preserve"> </w:t>
      </w:r>
      <m:oMath>
        <m:r>
          <m:rPr/>
          <w:rPr>
            <w:rFonts w:ascii="Cambria Math" w:hAnsi="Cambria Math" w:cs="微软雅黑"/>
            <w:lang w:val="en-US"/>
          </w:rPr>
          <m:t>γ</m:t>
        </m:r>
      </m:oMath>
      <w:r>
        <w:rPr>
          <w:rFonts w:hint="eastAsia" w:hAnsi="Cambria Math" w:cs="微软雅黑"/>
          <w:i w:val="0"/>
          <w:lang w:val="en-US" w:eastAsia="zh-CN"/>
        </w:rPr>
        <w:t xml:space="preserve"> 从{50,125,200}中选择。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药物重定位任务中，为预测AD的治疗药物，选择全部DRKG中的AD实体作为头实体（Disease::DOID:10652，Disease::MESH:C536599，Disease::MESH:D000544），选择DRKG中的治疗作为链接预测的关系（DRUGBANK::treats::Compound:Disease，GNBR::T::Compound:Disease，Hetionet::CtD::Compound:Disease），将所有的Drugbank中FDA批准的药物作为候选药物（分子量&gt;250），通过链接预测缺失尾实体的方法选择评分前50的药物。</w:t>
      </w:r>
    </w:p>
    <w:p>
      <w:pPr>
        <w:pStyle w:val="4"/>
        <w:bidi w:val="0"/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结果</w:t>
      </w:r>
    </w:p>
    <w:p>
      <w:pPr>
        <w:pStyle w:val="5"/>
        <w:bidi w:val="0"/>
        <m:rPr/>
        <w:rPr>
          <w:rFonts w:hint="default"/>
          <w:lang w:val="en-US" w:eastAsia="zh-CN"/>
        </w:rPr>
      </w:pPr>
      <w:r>
        <m:rPr/>
        <w:rPr>
          <w:rFonts w:hint="eastAsia"/>
          <w:lang w:val="en-US" w:eastAsia="zh-CN"/>
        </w:rPr>
        <w:t>KGE 模型的对比</w:t>
      </w:r>
    </w:p>
    <w:p>
      <w:pPr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Table 3 和Table 4 显示KGE模型的最优超参数和对应测试集的结果。</w:t>
      </w:r>
    </w:p>
    <w:p>
      <w:pPr>
        <w:pStyle w:val="13"/>
        <w:bidi w:val="0"/>
        <m:rPr/>
        <w:rPr>
          <w:rFonts w:hint="eastAsia"/>
          <w:lang w:val="en-US" w:eastAsia="zh-CN"/>
        </w:rPr>
      </w:pPr>
      <w:r>
        <m:rPr/>
        <w:rPr>
          <w:rFonts w:hint="eastAsia"/>
          <w:b/>
          <w:bCs/>
          <w:lang w:val="en-US" w:eastAsia="zh-CN"/>
        </w:rPr>
        <w:t>Table 3</w:t>
      </w:r>
      <w:r>
        <m:rPr/>
        <w:rPr>
          <w:rFonts w:hint="eastAsia"/>
          <w:lang w:val="en-US" w:eastAsia="zh-CN"/>
        </w:rPr>
        <w:t xml:space="preserve">  KGE 模型的最优超参数</w:t>
      </w:r>
    </w:p>
    <w:tbl>
      <w:tblPr>
        <w:tblStyle w:val="8"/>
        <w:tblW w:w="0" w:type="auto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364"/>
        <w:gridCol w:w="1383"/>
        <w:gridCol w:w="1873"/>
        <w:gridCol w:w="1413"/>
        <w:gridCol w:w="1226"/>
        <w:gridCol w:w="1263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bottom w:val="single" w:color="auto" w:sz="12" w:space="0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420" w:type="dxa"/>
            <w:tcBorders>
              <w:bottom w:val="single" w:color="auto" w:sz="12" w:space="0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batch_size</w:t>
            </w:r>
          </w:p>
        </w:tc>
        <w:tc>
          <w:tcPr>
            <w:tcW w:w="1420" w:type="dxa"/>
            <w:tcBorders>
              <w:bottom w:val="single" w:color="auto" w:sz="12" w:space="0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neg_sample_size</w:t>
            </w:r>
          </w:p>
        </w:tc>
        <w:tc>
          <w:tcPr>
            <w:tcW w:w="1420" w:type="dxa"/>
            <w:tcBorders>
              <w:bottom w:val="single" w:color="auto" w:sz="12" w:space="0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hidden_dim</w:t>
            </w:r>
          </w:p>
        </w:tc>
        <w:tc>
          <w:tcPr>
            <w:tcW w:w="1421" w:type="dxa"/>
            <w:tcBorders>
              <w:bottom w:val="single" w:color="auto" w:sz="12" w:space="0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γ</m:t>
                </m:r>
              </m:oMath>
            </m:oMathPara>
          </w:p>
        </w:tc>
        <w:tc>
          <w:tcPr>
            <w:tcW w:w="1421" w:type="dxa"/>
            <w:tcBorders>
              <w:bottom w:val="single" w:color="auto" w:sz="12" w:space="0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lr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TransE_l1</w:t>
            </w:r>
          </w:p>
        </w:tc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4096</w:t>
            </w:r>
          </w:p>
        </w:tc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21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421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TransE_l2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4096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DistMult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4096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ComplEx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4096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RotatE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4096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m:rPr/>
              <w:rPr>
                <w:rFonts w:hint="default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0.05</w:t>
            </w:r>
          </w:p>
        </w:tc>
      </w:tr>
    </w:tbl>
    <w:p>
      <w:pPr>
        <w:pStyle w:val="13"/>
        <w:bidi w:val="0"/>
        <m:rPr/>
        <w:rPr>
          <w:rFonts w:hint="eastAsia"/>
          <w:lang w:val="en-US" w:eastAsia="zh-CN"/>
        </w:rPr>
      </w:pPr>
      <w:r>
        <m:rPr/>
        <w:rPr>
          <w:rFonts w:hint="eastAsia"/>
          <w:b/>
          <w:bCs/>
          <w:lang w:val="en-US" w:eastAsia="zh-CN"/>
        </w:rPr>
        <w:t>Table 4</w:t>
      </w:r>
      <w:r>
        <m:rPr/>
        <w:rPr>
          <w:rFonts w:hint="eastAsia"/>
          <w:lang w:val="en-US" w:eastAsia="zh-CN"/>
        </w:rPr>
        <w:t xml:space="preserve">  KGE 模型测试集结果</w:t>
      </w:r>
    </w:p>
    <w:tbl>
      <w:tblPr>
        <w:tblStyle w:val="8"/>
        <w:tblW w:w="0" w:type="auto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420" w:type="dxa"/>
            <w:tcBorders>
              <w:bottom w:val="single" w:color="auto" w:sz="12" w:space="0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eastAsia"/>
                <w:vertAlign w:val="baseline"/>
                <w:lang w:val="en-US" w:eastAsia="zh-CN"/>
              </w:rPr>
              <w:t>Model</w:t>
            </w:r>
          </w:p>
        </w:tc>
        <w:tc>
          <w:tcPr>
            <w:tcW w:w="1420" w:type="dxa"/>
            <w:tcBorders>
              <w:bottom w:val="single" w:color="auto" w:sz="12" w:space="0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eastAsia"/>
                <w:vertAlign w:val="baseline"/>
                <w:lang w:val="en-US" w:eastAsia="zh-CN"/>
              </w:rPr>
              <w:t>MRR</w:t>
            </w:r>
          </w:p>
        </w:tc>
        <w:tc>
          <w:tcPr>
            <w:tcW w:w="1420" w:type="dxa"/>
            <w:tcBorders>
              <w:bottom w:val="single" w:color="auto" w:sz="12" w:space="0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eastAsia"/>
                <w:vertAlign w:val="baseline"/>
                <w:lang w:val="en-US" w:eastAsia="zh-CN"/>
              </w:rPr>
              <w:t>MR</w:t>
            </w:r>
          </w:p>
        </w:tc>
        <w:tc>
          <w:tcPr>
            <w:tcW w:w="1420" w:type="dxa"/>
            <w:tcBorders>
              <w:bottom w:val="single" w:color="auto" w:sz="12" w:space="0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eastAsia"/>
                <w:vertAlign w:val="baseline"/>
                <w:lang w:val="en-US" w:eastAsia="zh-CN"/>
              </w:rPr>
              <w:t>HITS@1</w:t>
            </w:r>
          </w:p>
        </w:tc>
        <w:tc>
          <w:tcPr>
            <w:tcW w:w="1421" w:type="dxa"/>
            <w:tcBorders>
              <w:bottom w:val="single" w:color="auto" w:sz="12" w:space="0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eastAsia"/>
                <w:vertAlign w:val="baseline"/>
                <w:lang w:val="en-US" w:eastAsia="zh-CN"/>
              </w:rPr>
              <w:t>HITS@3</w:t>
            </w:r>
          </w:p>
        </w:tc>
        <w:tc>
          <w:tcPr>
            <w:tcW w:w="1421" w:type="dxa"/>
            <w:tcBorders>
              <w:bottom w:val="single" w:color="auto" w:sz="12" w:space="0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eastAsia"/>
                <w:vertAlign w:val="baseline"/>
                <w:lang w:val="en-US" w:eastAsia="zh-CN"/>
              </w:rPr>
              <w:t>HITS@10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eastAsia"/>
                <w:vertAlign w:val="baseline"/>
                <w:lang w:val="en-US" w:eastAsia="zh-CN"/>
              </w:rPr>
              <w:t>TransE_l1</w:t>
            </w:r>
          </w:p>
        </w:tc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0.530</w:t>
            </w:r>
          </w:p>
        </w:tc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u w:val="single"/>
                <w:vertAlign w:val="baseline"/>
                <w:lang w:val="en-US" w:eastAsia="zh-CN"/>
              </w:rPr>
              <w:t>62.64</w:t>
            </w:r>
          </w:p>
        </w:tc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0.412</w:t>
            </w:r>
          </w:p>
        </w:tc>
        <w:tc>
          <w:tcPr>
            <w:tcW w:w="1421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0.606</w:t>
            </w:r>
          </w:p>
        </w:tc>
        <w:tc>
          <w:tcPr>
            <w:tcW w:w="1421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0.740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eastAsia"/>
                <w:vertAlign w:val="baseline"/>
                <w:lang w:val="en-US" w:eastAsia="zh-CN"/>
              </w:rPr>
              <w:t>TransE_l2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0.437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b/>
                <w:bCs/>
                <w:vertAlign w:val="baseline"/>
                <w:lang w:val="en-US" w:eastAsia="zh-CN"/>
              </w:rPr>
              <w:t>60.83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0.302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0.515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0.693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eastAsia"/>
                <w:vertAlign w:val="baseline"/>
                <w:lang w:val="en-US" w:eastAsia="zh-CN"/>
              </w:rPr>
              <w:t>DistMult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0.484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105.55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0.401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0.515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0.643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eastAsia"/>
                <w:vertAlign w:val="baseline"/>
                <w:lang w:val="en-US" w:eastAsia="zh-CN"/>
              </w:rPr>
              <w:t>ComplEx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b/>
                <w:bCs/>
                <w:vertAlign w:val="baseline"/>
                <w:lang w:val="en-US" w:eastAsia="zh-CN"/>
              </w:rPr>
              <w:t>0.621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112.74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b/>
                <w:bCs/>
                <w:vertAlign w:val="baseline"/>
                <w:lang w:val="en-US" w:eastAsia="zh-CN"/>
              </w:rPr>
              <w:t>0.537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u w:val="single"/>
                <w:vertAlign w:val="baseline"/>
                <w:lang w:val="en-US" w:eastAsia="zh-CN"/>
              </w:rPr>
              <w:t>0.673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u w:val="single"/>
                <w:vertAlign w:val="baseline"/>
                <w:lang w:val="en-US" w:eastAsia="zh-CN"/>
              </w:rPr>
              <w:t>0.768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eastAsia"/>
                <w:vertAlign w:val="baseline"/>
                <w:lang w:val="en-US" w:eastAsia="zh-CN"/>
              </w:rPr>
              <w:t>RotatE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u w:val="single"/>
                <w:vertAlign w:val="baseline"/>
                <w:lang w:val="en-US" w:eastAsia="zh-CN"/>
              </w:rPr>
              <w:t>0.614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63.51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u w:val="single"/>
                <w:vertAlign w:val="baseline"/>
                <w:lang w:val="en-US" w:eastAsia="zh-CN"/>
              </w:rPr>
              <w:t>0.515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b/>
                <w:bCs/>
                <w:vertAlign w:val="baseline"/>
                <w:lang w:val="en-US" w:eastAsia="zh-CN"/>
              </w:rPr>
              <w:t>0.681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b/>
                <w:bCs/>
                <w:vertAlign w:val="baseline"/>
                <w:lang w:val="en-US" w:eastAsia="zh-CN"/>
              </w:rPr>
              <w:t>0.780</w:t>
            </w:r>
          </w:p>
        </w:tc>
      </w:tr>
    </w:tbl>
    <w:p>
      <w:pPr>
        <w:bidi w:val="0"/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其中粗体表示最优得分，下划线表示次优得分。</w:t>
      </w:r>
    </w:p>
    <w:p>
      <w:pPr>
        <w:bidi w:val="0"/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DistMult 模型受限于只能建模对称关系，因此各项指标都没有最优和次优结果。TransE 模型的 MR 指标达到了最优结果，但是受限于只能建模一对一的关系，无法在其他指标上达到理想的水平。但是对于MR 指标RotatE 模型和ComplEx呈现出截然不同的结果，RotaE 模型接近于TransE模型取得的最优结果，但是ComplEx模型取得了最差结果，这可能是因为RotaE相较于ComplEx多捕获了</w:t>
      </w:r>
      <w:r>
        <w:rPr>
          <w:rFonts w:hint="eastAsia" w:hAnsi="Cambria Math" w:cs="微软雅黑"/>
          <w:i w:val="0"/>
          <w:lang w:val="en-US" w:eastAsia="zh-CN"/>
        </w:rPr>
        <w:t>反转和组成两类关系</w:t>
      </w:r>
      <w:r>
        <m:rPr/>
        <w:rPr>
          <w:rFonts w:hint="eastAsia"/>
          <w:lang w:val="en-US" w:eastAsia="zh-CN"/>
        </w:rPr>
        <w:t>。对于MRR和Hits@N，RotatE和ComplEx 模型各取得了2次最优和次优结果，且最优和次优结果也非常接近，充分说明将嵌入向量空间由实数域转换到复数域的必要性。考虑到MR结果，我们最终选择RotatE作为我们最终的药物重定位模型。</w:t>
      </w:r>
    </w:p>
    <w:p>
      <w:pPr>
        <w:bidi w:val="0"/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我们重新在整个DRKG上训练了RotatE模型，超参数是Table 4中的超参数。</w:t>
      </w:r>
    </w:p>
    <w:p>
      <w:pPr>
        <w:pStyle w:val="5"/>
        <w:bidi w:val="0"/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RotatE 模型的嵌入分析</w:t>
      </w:r>
    </w:p>
    <w:p>
      <w:pPr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我们采用t-SNE 将关系嵌入向量降维和可视化处理。由于实体的数量众多，且RotatE实体维度是400，直接利用t-SNE降维和可视化处理会引入很多噪声，因此我们首先使用PCA将其降维到30，然后再利用t-SNE将其将降维到2D空间并可视化处理。我们还使用余弦距离计算关系嵌入向量间的相似度，并输出了最相似的10对和相似度得分分布的直方图。</w:t>
      </w:r>
    </w:p>
    <w:p>
      <w:pPr>
        <m:rPr/>
        <w:rPr>
          <w:rFonts w:hint="default"/>
          <w:lang w:val="en-US" w:eastAsia="zh-CN"/>
        </w:rPr>
      </w:pPr>
      <w:r>
        <m:rPr/>
        <w:rPr>
          <w:rFonts w:hint="eastAsia"/>
          <w:lang w:val="en-US" w:eastAsia="zh-CN"/>
        </w:rPr>
        <w:t>图1是关系的2维可视化图，可以发现关系广泛的分布在2D的空间中，即便来自相同数据集的关系都没有聚集，可以返现RotatE模型学习到了各个关系间的差异，这对于我们后面的药物重定位是很有意义的。</w:t>
      </w:r>
    </w:p>
    <w:p>
      <w:pPr>
        <m:rPr/>
        <w:rPr>
          <w:rFonts w:hint="default"/>
          <w:lang w:val="en-US" w:eastAsia="zh-CN"/>
        </w:rPr>
      </w:pPr>
      <w:r>
        <m:rPr/>
        <w:rPr>
          <w:rFonts w:hint="default"/>
          <w:lang w:val="en-US" w:eastAsia="zh-CN"/>
        </w:rPr>
        <w:drawing>
          <wp:inline distT="0" distB="0" distL="114300" distR="114300">
            <wp:extent cx="4676775" cy="2828925"/>
            <wp:effectExtent l="0" t="0" r="9525" b="9525"/>
            <wp:docPr id="1" name="图片 1" descr="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lation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关系嵌入的2维空间图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图2是关系间余弦相似度得分的分布图，可以发现绝大多数关系都有很小的相似度。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81500" cy="3286125"/>
            <wp:effectExtent l="0" t="0" r="0" b="9525"/>
            <wp:docPr id="2" name="图片 2" descr="relation-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lation-sim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关系间余弦相似度得分的分布图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 5 展示关系间相似度最高的10对关系，可以发现相似得分非常的低，而且我们选择的三种治疗关系并不在其中，即RotatE模型能够很好的将治疗关系和其他类型的关系区分开，这对于我们的药物重定位非常重要。</w:t>
      </w:r>
      <w:bookmarkStart w:id="27" w:name="_GoBack"/>
      <w:bookmarkEnd w:id="27"/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 5 关系间余弦相似度得分最高的10组</w:t>
      </w:r>
    </w:p>
    <w:tbl>
      <w:tblPr>
        <w:tblStyle w:val="8"/>
        <w:tblW w:w="0" w:type="auto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3457"/>
        <w:gridCol w:w="3539"/>
        <w:gridCol w:w="1526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bottom w:val="single" w:color="auto" w:sz="12" w:space="0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Relation type 1</w:t>
            </w:r>
          </w:p>
        </w:tc>
        <w:tc>
          <w:tcPr>
            <w:tcW w:w="2841" w:type="dxa"/>
            <w:tcBorders>
              <w:bottom w:val="single" w:color="auto" w:sz="12" w:space="0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Relation type 2</w:t>
            </w:r>
          </w:p>
        </w:tc>
        <w:tc>
          <w:tcPr>
            <w:tcW w:w="2841" w:type="dxa"/>
            <w:tcBorders>
              <w:bottom w:val="single" w:color="auto" w:sz="12" w:space="0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Cosine score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Hetionet::DaG::Disease:Gene</w:t>
            </w:r>
          </w:p>
        </w:tc>
        <w:tc>
          <w:tcPr>
            <w:tcW w:w="2841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INTACT::ASSOCIATION::Compound:Gene</w:t>
            </w:r>
          </w:p>
        </w:tc>
        <w:tc>
          <w:tcPr>
            <w:tcW w:w="2841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0.23346853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DRUGBANK::x-atc::Compound:Atc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GNBR::in_tax::Gene:Tax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0.23311995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GNBR::L::Gene:Disease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Hetionet::DpS::Disease:Symptom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0.22690767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DGIDB::BLOCKER::Gene:Compound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GNBR::J::Gene:Disease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0.2268842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DGIDB::AGONIST::Gene:Compound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INTACT::ASSOCIATION::Compound:Gene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0.22258793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DRUGBANK::enzyme::Compound:Gene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GNBR::Ud::Gene:Disease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0.21916792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Hetionet::DpS::Disease:Symptom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Hetionet::CbG::Compound:Gene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0.21718228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GNBR::N::Compound:Gene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Hetionet::GcG::Gene:Gene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0.21505778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GNBR::W::Gene:Gene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Hetionet::CdG::Compound:Gene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0.21384156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GNBR::Z::Compound:Gene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GNBR::in_tax::Gene:Tax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0.21150547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pStyle w:val="12"/>
        <w:bidi w:val="0"/>
        <w:rPr>
          <w:rFonts w:hint="default"/>
          <w:lang w:val="en-US" w:eastAsia="zh-CN"/>
        </w:rPr>
      </w:pPr>
      <w:bookmarkStart w:id="0" w:name="_Ref3069"/>
      <w:bookmarkStart w:id="1" w:name="_Ref17215"/>
      <w:r>
        <w:rPr>
          <w:rFonts w:hint="default"/>
          <w:lang w:val="en-US" w:eastAsia="zh-CN"/>
        </w:rPr>
        <w:t>Lin Y K, Shen S Q, Liu Z Y, et al. Neural relation extraction with selective attention over instances[C]. Proceedings of ACL, 2124–2133, 2016.</w:t>
      </w:r>
      <w:bookmarkEnd w:id="0"/>
    </w:p>
    <w:p>
      <w:pPr>
        <w:pStyle w:val="12"/>
        <w:bidi w:val="0"/>
        <w:rPr>
          <w:rFonts w:hint="default"/>
          <w:lang w:val="en-US" w:eastAsia="zh-CN"/>
        </w:rPr>
      </w:pPr>
      <w:bookmarkStart w:id="2" w:name="_Ref4035"/>
      <w:r>
        <w:rPr>
          <w:rFonts w:hint="default"/>
          <w:lang w:val="en-US" w:eastAsia="zh-CN"/>
        </w:rPr>
        <w:t>Vrandecicd D, Krotzsch M. WikiData: a free collaborative knowledgebase[C]. Communications of the ACM, 2014, 57(10): 78-85.</w:t>
      </w:r>
      <w:bookmarkEnd w:id="2"/>
    </w:p>
    <w:p>
      <w:pPr>
        <w:pStyle w:val="12"/>
        <w:bidi w:val="0"/>
        <w:rPr>
          <w:rFonts w:hint="default"/>
          <w:lang w:val="en-US" w:eastAsia="zh-CN"/>
        </w:rPr>
      </w:pPr>
      <w:bookmarkStart w:id="3" w:name="_Ref4208"/>
      <w:r>
        <w:rPr>
          <w:rFonts w:hint="default"/>
          <w:lang w:val="en-US" w:eastAsia="zh-CN"/>
        </w:rPr>
        <w:t>Bollacker K, Evans C, Paritosh P, et al. Freebase: a collaboratively created graph database for structuring human knowledge[C]. Proceedings of KDD, 1247-1250, 2008.</w:t>
      </w:r>
      <w:bookmarkEnd w:id="3"/>
    </w:p>
    <w:p>
      <w:pPr>
        <w:pStyle w:val="12"/>
        <w:bidi w:val="0"/>
        <w:rPr>
          <w:rFonts w:hint="default"/>
          <w:lang w:val="en-US" w:eastAsia="zh-CN"/>
        </w:rPr>
      </w:pPr>
      <w:bookmarkStart w:id="4" w:name="_Ref4538"/>
      <w:r>
        <w:rPr>
          <w:rFonts w:hint="default"/>
          <w:lang w:val="en-US" w:eastAsia="zh-CN"/>
        </w:rPr>
        <w:t>Auer S, Bizer C, Kobilarov G, et al. DBpedia: A nucleus for a Web of open data[C]. Proceedings of ISWC, 722-735, 2007.</w:t>
      </w:r>
      <w:bookmarkEnd w:id="4"/>
    </w:p>
    <w:p>
      <w:pPr>
        <w:pStyle w:val="12"/>
        <w:bidi w:val="0"/>
        <w:rPr>
          <w:rFonts w:hint="default"/>
          <w:lang w:val="en-US" w:eastAsia="zh-CN"/>
        </w:rPr>
      </w:pPr>
      <w:bookmarkStart w:id="5" w:name="_Ref5021"/>
      <w:r>
        <w:rPr>
          <w:rFonts w:hint="default"/>
          <w:lang w:val="en-US" w:eastAsia="zh-CN"/>
        </w:rPr>
        <w:t>Hoffart J, Suchanek F M, Berberich K, et al. YAGO2: A spatially and temporally enhanced knowledge base from wikipedia[J]. Artificial Intelligence, 2013, 194: 28-61.</w:t>
      </w:r>
      <w:bookmarkEnd w:id="5"/>
    </w:p>
    <w:p>
      <w:pPr>
        <w:pStyle w:val="12"/>
        <w:bidi w:val="0"/>
        <w:rPr>
          <w:rFonts w:hint="default"/>
          <w:lang w:val="en-US" w:eastAsia="zh-CN"/>
        </w:rPr>
      </w:pPr>
      <w:bookmarkStart w:id="6" w:name="_Ref5625"/>
      <w:r>
        <w:rPr>
          <w:rFonts w:hint="default"/>
          <w:lang w:val="en-US" w:eastAsia="zh-CN"/>
        </w:rPr>
        <w:t>Miller G A. WordNet: a lexical database for English[J]. Communications of the ACM, 1995, 38(11): 39-41.</w:t>
      </w:r>
      <w:bookmarkEnd w:id="6"/>
    </w:p>
    <w:p>
      <w:pPr>
        <w:pStyle w:val="12"/>
        <w:bidi w:val="0"/>
        <w:rPr>
          <w:rFonts w:hint="default"/>
          <w:lang w:val="en-US" w:eastAsia="zh-CN"/>
        </w:rPr>
      </w:pPr>
      <w:bookmarkStart w:id="7" w:name="_Ref21470"/>
      <w:r>
        <w:rPr>
          <w:rFonts w:hint="default"/>
          <w:lang w:val="en-US" w:eastAsia="zh-CN"/>
        </w:rPr>
        <w:t>Ioannidis VN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Song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Manchanda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et al. DRKG - Drug Repurposing Knowledge Graph for Covid-19</w:t>
      </w:r>
      <w:r>
        <w:rPr>
          <w:rFonts w:hint="eastAsia"/>
          <w:lang w:val="en-US" w:eastAsia="zh-CN"/>
        </w:rPr>
        <w:t>[J]</w:t>
      </w:r>
      <w:r>
        <w:rPr>
          <w:rFonts w:hint="default"/>
          <w:lang w:val="en-US" w:eastAsia="zh-CN"/>
        </w:rPr>
        <w:t xml:space="preserve">.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"https://github.com/gnn4dr/DRKG/,"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https://github.com/gnn4dr/DRKG/</w:t>
      </w:r>
      <w:r>
        <w:rPr>
          <w:rStyle w:val="10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2020.</w:t>
      </w:r>
      <w:bookmarkEnd w:id="7"/>
    </w:p>
    <w:p>
      <w:pPr>
        <w:pStyle w:val="12"/>
        <w:bidi w:val="0"/>
        <w:rPr>
          <w:rFonts w:hint="default"/>
          <w:lang w:val="en-US" w:eastAsia="zh-CN"/>
        </w:rPr>
      </w:pPr>
      <w:bookmarkStart w:id="8" w:name="_Ref14443"/>
      <w:r>
        <w:rPr>
          <w:rFonts w:hint="default"/>
          <w:lang w:val="en-US" w:eastAsia="zh-CN"/>
        </w:rPr>
        <w:t>Bordes A, Usunier N, Garcia Duran A, et al. Translating embeddings for modeling multi-relational data[C]. Proceedings of NIPS, 2787-2795, 2013.</w:t>
      </w:r>
      <w:bookmarkEnd w:id="8"/>
    </w:p>
    <w:p>
      <w:pPr>
        <w:pStyle w:val="12"/>
        <w:bidi w:val="0"/>
        <w:rPr>
          <w:rFonts w:hint="default"/>
          <w:lang w:val="en-US" w:eastAsia="zh-CN"/>
        </w:rPr>
      </w:pPr>
      <w:bookmarkStart w:id="9" w:name="_Ref14910"/>
      <w:r>
        <w:rPr>
          <w:rFonts w:hint="default"/>
          <w:lang w:val="en-US" w:eastAsia="zh-CN"/>
        </w:rPr>
        <w:t>Lin Y K, Liu Z Y, Sun M S, et al. Learning entity and relation embeddings for knowledge graph completion[C]. Proceedings of AAAI, 2181-2187, 2015.</w:t>
      </w:r>
      <w:bookmarkEnd w:id="9"/>
    </w:p>
    <w:p>
      <w:pPr>
        <w:pStyle w:val="12"/>
        <w:bidi w:val="0"/>
        <w:rPr>
          <w:rFonts w:hint="default"/>
          <w:lang w:val="en-US" w:eastAsia="zh-CN"/>
        </w:rPr>
      </w:pPr>
      <w:bookmarkStart w:id="10" w:name="_Ref15197"/>
      <w:r>
        <w:rPr>
          <w:rFonts w:hint="default"/>
          <w:lang w:val="en-US" w:eastAsia="zh-CN"/>
        </w:rPr>
        <w:t>Nickel M, Tresp V, Kriegel H P. A Three-way model for collective learning on multi-relational data[C]. Proceedings of ICML, 809-816, 2011.</w:t>
      </w:r>
      <w:bookmarkEnd w:id="10"/>
    </w:p>
    <w:p>
      <w:pPr>
        <w:pStyle w:val="12"/>
        <w:bidi w:val="0"/>
        <w:rPr>
          <w:rFonts w:hint="default"/>
          <w:lang w:val="en-US" w:eastAsia="zh-CN"/>
        </w:rPr>
      </w:pPr>
      <w:bookmarkStart w:id="11" w:name="_Ref15471"/>
      <w:r>
        <w:rPr>
          <w:rFonts w:hint="default"/>
          <w:lang w:val="en-US" w:eastAsia="zh-CN"/>
        </w:rPr>
        <w:t>Yang B S, Yih W T, He X D, et al. Embedding entities and relations for learning and inference in knowledge bases[C]. Proceedings of ICLR,1-13, 2015.</w:t>
      </w:r>
      <w:bookmarkEnd w:id="11"/>
    </w:p>
    <w:p>
      <w:pPr>
        <w:pStyle w:val="12"/>
        <w:bidi w:val="0"/>
        <w:rPr>
          <w:rFonts w:hint="default"/>
          <w:lang w:val="en-US" w:eastAsia="zh-CN"/>
        </w:rPr>
      </w:pPr>
      <w:bookmarkStart w:id="12" w:name="_Ref15811"/>
      <w:r>
        <w:rPr>
          <w:rFonts w:hint="default"/>
          <w:lang w:val="en-US" w:eastAsia="zh-CN"/>
        </w:rPr>
        <w:t>Trouillon T, Welbl J, Riedel S, et al. Complex embeddings for simple link prediction[C]. Proceedings of ICML, 2071-2080, 2016.</w:t>
      </w:r>
      <w:bookmarkEnd w:id="12"/>
    </w:p>
    <w:p>
      <w:pPr>
        <w:pStyle w:val="12"/>
        <w:bidi w:val="0"/>
        <w:rPr>
          <w:rFonts w:hint="default"/>
          <w:lang w:val="en-US" w:eastAsia="zh-CN"/>
        </w:rPr>
      </w:pPr>
      <w:bookmarkStart w:id="13" w:name="_Ref16043"/>
      <w:r>
        <w:rPr>
          <w:rFonts w:hint="default"/>
          <w:lang w:val="en-US" w:eastAsia="zh-CN"/>
        </w:rPr>
        <w:t>Sun Z Q, Deng Z H, Nie J Y, et al. RotatE: Knowledge graph embedding by relational rotation in complex space[C]. Proceedings of ICLR, 2019.</w:t>
      </w:r>
      <w:bookmarkEnd w:id="13"/>
    </w:p>
    <w:p>
      <w:pPr>
        <w:pStyle w:val="12"/>
        <w:bidi w:val="0"/>
        <w:rPr>
          <w:rFonts w:hint="default"/>
          <w:lang w:val="en-US" w:eastAsia="zh-CN"/>
        </w:rPr>
      </w:pPr>
      <w:bookmarkStart w:id="14" w:name="_Ref17137"/>
      <w:r>
        <w:rPr>
          <w:rFonts w:hint="eastAsia"/>
          <w:lang w:val="en-US" w:eastAsia="zh-CN"/>
        </w:rPr>
        <w:t>Nian Y, Hu X, Zhang R, et al. Mining on Alzheimer's diseases related knowledge graph to identity potential AD-related semantic triples for drug repurposing[J]. BMC Bioinformatics. 2022 Sep 30;23(Suppl 6):407.</w:t>
      </w:r>
      <w:bookmarkEnd w:id="1"/>
      <w:bookmarkEnd w:id="14"/>
    </w:p>
    <w:p>
      <w:pPr>
        <w:pStyle w:val="12"/>
        <w:bidi w:val="0"/>
        <w:rPr>
          <w:rFonts w:hint="default"/>
          <w:lang w:val="en-US" w:eastAsia="zh-CN"/>
        </w:rPr>
      </w:pPr>
      <w:bookmarkStart w:id="15" w:name="_Ref22401"/>
      <w:r>
        <w:rPr>
          <w:rFonts w:hint="default"/>
          <w:lang w:val="en-US" w:eastAsia="zh-CN"/>
        </w:rPr>
        <w:t xml:space="preserve">Moya-Alvarado G, Gershoni-Emek N, Perlson E, </w:t>
      </w:r>
      <w:r>
        <w:rPr>
          <w:rFonts w:hint="eastAsia"/>
          <w:lang w:val="en-US" w:eastAsia="zh-CN"/>
        </w:rPr>
        <w:t>et al</w:t>
      </w:r>
      <w:r>
        <w:rPr>
          <w:rFonts w:hint="default"/>
          <w:lang w:val="en-US" w:eastAsia="zh-CN"/>
        </w:rPr>
        <w:t xml:space="preserve">. Neurodegeneration and Alzheimer's disease (AD). What Can Proteomics Tell Us About the Alzheimer's Brain? </w:t>
      </w:r>
      <w:r>
        <w:rPr>
          <w:rFonts w:hint="eastAsia"/>
          <w:lang w:val="en-US" w:eastAsia="zh-CN"/>
        </w:rPr>
        <w:t xml:space="preserve">[J]. </w:t>
      </w:r>
      <w:r>
        <w:rPr>
          <w:rFonts w:hint="default"/>
          <w:lang w:val="en-US" w:eastAsia="zh-CN"/>
        </w:rPr>
        <w:t>Mol Cell Proteomics. 2016 Feb;15(2):409-25.</w:t>
      </w:r>
      <w:bookmarkEnd w:id="15"/>
    </w:p>
    <w:p>
      <w:pPr>
        <w:pStyle w:val="12"/>
        <w:bidi w:val="0"/>
        <w:rPr>
          <w:rFonts w:hint="default"/>
          <w:lang w:val="en-US" w:eastAsia="zh-CN"/>
        </w:rPr>
      </w:pPr>
      <w:bookmarkStart w:id="16" w:name="_Ref1053"/>
      <w:r>
        <w:rPr>
          <w:rFonts w:hint="default"/>
          <w:lang w:val="en-US" w:eastAsia="zh-CN"/>
        </w:rPr>
        <w:t>任汝静,殷鹏,王志会,</w:t>
      </w:r>
      <w:r>
        <w:rPr>
          <w:rFonts w:hint="eastAsia"/>
          <w:lang w:val="en-US" w:eastAsia="zh-CN"/>
        </w:rPr>
        <w:t xml:space="preserve"> et al</w:t>
      </w:r>
      <w:r>
        <w:rPr>
          <w:rFonts w:hint="default"/>
          <w:lang w:val="en-US" w:eastAsia="zh-CN"/>
        </w:rPr>
        <w:t>.中国阿尔茨海默病报告2021[J].诊断学理论与实践,2021,20(04):317-337.</w:t>
      </w:r>
      <w:bookmarkEnd w:id="16"/>
    </w:p>
    <w:p>
      <w:pPr>
        <w:pStyle w:val="12"/>
        <w:bidi w:val="0"/>
        <w:rPr>
          <w:rFonts w:hint="default"/>
          <w:lang w:val="en-US" w:eastAsia="zh-CN"/>
        </w:rPr>
      </w:pPr>
      <w:bookmarkStart w:id="17" w:name="_Ref1161"/>
      <w:bookmarkStart w:id="18" w:name="_Ref18773"/>
      <w:r>
        <w:rPr>
          <w:rFonts w:hint="default"/>
          <w:lang w:val="en-US" w:eastAsia="zh-CN"/>
        </w:rPr>
        <w:t>Jia, J., Wei, C., Chen, S.</w:t>
      </w:r>
      <w:r>
        <w:rPr>
          <w:rFonts w:hint="eastAsia"/>
          <w:lang w:val="en-US" w:eastAsia="zh-CN"/>
        </w:rPr>
        <w:t>, et al</w:t>
      </w:r>
      <w:r>
        <w:rPr>
          <w:rFonts w:hint="default"/>
          <w:lang w:val="en-US" w:eastAsia="zh-CN"/>
        </w:rPr>
        <w:t>. The cost of Alzheimer's disease in China and re-estimation of costs worldwide</w:t>
      </w:r>
      <w:r>
        <w:rPr>
          <w:rFonts w:hint="eastAsia"/>
          <w:lang w:val="en-US" w:eastAsia="zh-CN"/>
        </w:rPr>
        <w:t>[J]</w:t>
      </w:r>
      <w:r>
        <w:rPr>
          <w:rFonts w:hint="default"/>
          <w:lang w:val="en-US" w:eastAsia="zh-CN"/>
        </w:rPr>
        <w:t>. Alzheimer's &amp; Dementia, 2018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 xml:space="preserve">14: 483-491.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"https://doi.org/10.1016/j.jalz.2017.12.006"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https://doi.org/10.1016/j.jalz.2017.12.006</w:t>
      </w:r>
      <w:bookmarkEnd w:id="17"/>
      <w:r>
        <w:rPr>
          <w:rFonts w:hint="default"/>
          <w:lang w:val="en-US" w:eastAsia="zh-CN"/>
        </w:rPr>
        <w:fldChar w:fldCharType="end"/>
      </w:r>
      <w:bookmarkEnd w:id="18"/>
    </w:p>
    <w:p>
      <w:pPr>
        <w:pStyle w:val="12"/>
        <w:bidi w:val="0"/>
        <w:rPr>
          <w:rFonts w:hint="default"/>
          <w:lang w:val="en-US" w:eastAsia="zh-CN"/>
        </w:rPr>
      </w:pPr>
      <w:bookmarkStart w:id="19" w:name="_Ref6490"/>
      <w:bookmarkStart w:id="20" w:name="_Ref21163"/>
      <w:r>
        <w:rPr>
          <w:rFonts w:hint="default"/>
          <w:lang w:val="en-US" w:eastAsia="zh-CN"/>
        </w:rPr>
        <w:t>Avorn J</w:t>
      </w:r>
      <w:r>
        <w:rPr>
          <w:rFonts w:hint="eastAsia"/>
          <w:lang w:val="en-US" w:eastAsia="zh-CN"/>
        </w:rPr>
        <w:t xml:space="preserve">. </w:t>
      </w:r>
      <w:r>
        <w:rPr>
          <w:rFonts w:hint="default"/>
          <w:lang w:val="en-US" w:eastAsia="zh-CN"/>
        </w:rPr>
        <w:t>The $2.6 billion pill–Methodologic and policy considerations</w:t>
      </w:r>
      <w:r>
        <w:rPr>
          <w:rFonts w:hint="eastAsia"/>
          <w:lang w:val="en-US" w:eastAsia="zh-CN"/>
        </w:rPr>
        <w:t xml:space="preserve">[J]. New England Journal of Medicine, </w:t>
      </w:r>
      <w:bookmarkEnd w:id="19"/>
      <w:r>
        <w:rPr>
          <w:rFonts w:hint="eastAsia"/>
          <w:lang w:val="en-US" w:eastAsia="zh-CN"/>
        </w:rPr>
        <w:t>2015, 372(20): 1877-1879.</w:t>
      </w:r>
      <w:bookmarkEnd w:id="20"/>
    </w:p>
    <w:p>
      <w:pPr>
        <w:pStyle w:val="12"/>
        <w:bidi w:val="0"/>
        <w:rPr>
          <w:rFonts w:hint="default"/>
          <w:lang w:val="en-US" w:eastAsia="zh-CN"/>
        </w:rPr>
      </w:pPr>
      <w:bookmarkStart w:id="21" w:name="_Ref6506"/>
      <w:r>
        <w:rPr>
          <w:rFonts w:hint="default"/>
          <w:lang w:val="en-US" w:eastAsia="zh-CN"/>
        </w:rPr>
        <w:t>Wang, S., Du, Z., Ding, M. et al. KG-DTI: a knowledge graph based deep learning method for drug-target interaction predictions and Alzheimer’s disease drug repositions</w:t>
      </w:r>
      <w:r>
        <w:rPr>
          <w:rFonts w:hint="eastAsia"/>
          <w:lang w:val="en-US" w:eastAsia="zh-CN"/>
        </w:rPr>
        <w:t>[J]</w:t>
      </w:r>
      <w:r>
        <w:rPr>
          <w:rFonts w:hint="default"/>
          <w:lang w:val="en-US" w:eastAsia="zh-CN"/>
        </w:rPr>
        <w:t xml:space="preserve">. Appl Intell </w:t>
      </w:r>
      <w:r>
        <w:rPr>
          <w:rFonts w:hint="eastAsia"/>
          <w:lang w:val="en-US" w:eastAsia="zh-CN"/>
        </w:rPr>
        <w:t xml:space="preserve">2022, </w:t>
      </w:r>
      <w:r>
        <w:rPr>
          <w:rFonts w:hint="default"/>
          <w:lang w:val="en-US" w:eastAsia="zh-CN"/>
        </w:rPr>
        <w:t>52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 xml:space="preserve">846–857. </w:t>
      </w:r>
      <w:bookmarkEnd w:id="21"/>
    </w:p>
    <w:p>
      <w:pPr>
        <w:pStyle w:val="12"/>
        <w:bidi w:val="0"/>
        <w:rPr>
          <w:rFonts w:hint="default"/>
          <w:lang w:val="en-US" w:eastAsia="zh-CN"/>
        </w:rPr>
      </w:pPr>
      <w:bookmarkStart w:id="22" w:name="_Ref5849"/>
      <w:r>
        <w:rPr>
          <w:rFonts w:hint="default"/>
          <w:lang w:val="en-US" w:eastAsia="zh-CN"/>
        </w:rPr>
        <w:t xml:space="preserve">Zeng X, Song X, Ma T, </w:t>
      </w:r>
      <w:r>
        <w:rPr>
          <w:rFonts w:hint="eastAsia"/>
          <w:lang w:val="en-US" w:eastAsia="zh-CN"/>
        </w:rPr>
        <w:t xml:space="preserve"> et al</w:t>
      </w:r>
      <w:r>
        <w:rPr>
          <w:rFonts w:hint="default"/>
          <w:lang w:val="en-US" w:eastAsia="zh-CN"/>
        </w:rPr>
        <w:t>. Repurpose Open Data to Discover Therapeutics for COVID-19 Using Deep Learning</w:t>
      </w:r>
      <w:r>
        <w:rPr>
          <w:rFonts w:hint="eastAsia"/>
          <w:lang w:val="en-US" w:eastAsia="zh-CN"/>
        </w:rPr>
        <w:t>[J]</w:t>
      </w:r>
      <w:r>
        <w:rPr>
          <w:rFonts w:hint="default"/>
          <w:lang w:val="en-US" w:eastAsia="zh-CN"/>
        </w:rPr>
        <w:t>. J Proteome Res. 2020 Nov 6;19(11):4624-4636 .</w:t>
      </w:r>
      <w:bookmarkEnd w:id="22"/>
    </w:p>
    <w:p>
      <w:pPr>
        <w:pStyle w:val="12"/>
        <w:bidi w:val="0"/>
        <w:rPr>
          <w:rFonts w:hint="default"/>
          <w:lang w:val="en-US" w:eastAsia="zh-CN"/>
        </w:rPr>
      </w:pPr>
      <w:bookmarkStart w:id="23" w:name="_Ref10372"/>
      <w:r>
        <w:rPr>
          <w:rFonts w:hint="default"/>
          <w:lang w:val="en-US" w:eastAsia="zh-CN"/>
        </w:rPr>
        <w:t>Rui Zhang and Dimitar Hristovski and Dalton Schutte and Andrej Kastrin and Marcelo Fiszman and Halil Kilicoglu</w:t>
      </w:r>
      <w:r>
        <w:rPr>
          <w:rFonts w:hint="eastAsia"/>
          <w:lang w:val="en-US" w:eastAsia="zh-CN"/>
        </w:rPr>
        <w:t>. Drug repurposing for COVID-19 via knowledge graph completion[J]. Journal of Biomedical Informatics. 2021</w:t>
      </w:r>
      <w:bookmarkEnd w:id="23"/>
    </w:p>
    <w:p>
      <w:pPr>
        <w:pStyle w:val="12"/>
        <w:bidi w:val="0"/>
        <w:rPr>
          <w:rFonts w:hint="default"/>
          <w:lang w:val="en-US" w:eastAsia="zh-CN"/>
        </w:rPr>
      </w:pPr>
      <w:bookmarkStart w:id="24" w:name="_Ref11952"/>
      <w:r>
        <w:rPr>
          <w:rFonts w:hint="default"/>
          <w:lang w:val="en-US" w:eastAsia="zh-CN"/>
        </w:rPr>
        <w:t>李宗贤.基于知识图谱的帕金森病药物重定位[J].信息技术与信息化,2022(07):28-32.</w:t>
      </w:r>
      <w:bookmarkEnd w:id="24"/>
    </w:p>
    <w:p>
      <w:pPr>
        <w:pStyle w:val="12"/>
        <w:bidi w:val="0"/>
        <w:rPr>
          <w:rFonts w:hint="default"/>
          <w:lang w:val="en-US" w:eastAsia="zh-CN"/>
        </w:rPr>
      </w:pPr>
      <w:bookmarkStart w:id="25" w:name="_Ref27849"/>
      <w:r>
        <w:rPr>
          <w:rFonts w:hint="default"/>
          <w:lang w:val="en-US" w:eastAsia="zh-CN"/>
        </w:rPr>
        <w:t>Wang, S., Du, Z., Ding, M. et al. KG-DTI: a knowledge graph based deep learning method for drug-target interaction predictions and Alzheimer’s disease drug repositions</w:t>
      </w:r>
      <w:r>
        <w:rPr>
          <w:rFonts w:hint="eastAsia"/>
          <w:lang w:val="en-US" w:eastAsia="zh-CN"/>
        </w:rPr>
        <w:t>[J]</w:t>
      </w:r>
      <w:r>
        <w:rPr>
          <w:rFonts w:hint="default"/>
          <w:lang w:val="en-US" w:eastAsia="zh-CN"/>
        </w:rPr>
        <w:t>. Appl Intell</w:t>
      </w:r>
      <w:r>
        <w:rPr>
          <w:rFonts w:hint="eastAsia"/>
          <w:lang w:val="en-US" w:eastAsia="zh-CN"/>
        </w:rPr>
        <w:t xml:space="preserve"> 2022,</w:t>
      </w:r>
      <w:r>
        <w:rPr>
          <w:rFonts w:hint="default"/>
          <w:lang w:val="en-US" w:eastAsia="zh-CN"/>
        </w:rPr>
        <w:t xml:space="preserve"> 52, 846–857.</w:t>
      </w:r>
      <w:bookmarkEnd w:id="25"/>
    </w:p>
    <w:p>
      <w:pPr>
        <w:pStyle w:val="12"/>
        <w:bidi w:val="0"/>
        <w:rPr>
          <w:rFonts w:hint="default"/>
          <w:lang w:val="en-US" w:eastAsia="zh-CN"/>
        </w:rPr>
      </w:pPr>
      <w:bookmarkStart w:id="26" w:name="_Ref29256"/>
      <w:r>
        <w:rPr>
          <w:rFonts w:hint="default"/>
          <w:lang w:val="en-US" w:eastAsia="zh-CN"/>
        </w:rPr>
        <w:t xml:space="preserve">Nian Y, Hu X, Zhang R, </w:t>
      </w:r>
      <w:r>
        <w:rPr>
          <w:rFonts w:hint="eastAsia"/>
          <w:lang w:val="en-US" w:eastAsia="zh-CN"/>
        </w:rPr>
        <w:t>et al</w:t>
      </w:r>
      <w:r>
        <w:rPr>
          <w:rFonts w:hint="default"/>
          <w:lang w:val="en-US" w:eastAsia="zh-CN"/>
        </w:rPr>
        <w:t>. Mining on Alzheimer's diseases related knowledge graph to identity potential AD-related semantic triples for drug repurposing</w:t>
      </w:r>
      <w:r>
        <w:rPr>
          <w:rFonts w:hint="eastAsia"/>
          <w:lang w:val="en-US" w:eastAsia="zh-CN"/>
        </w:rPr>
        <w:t>[J]</w:t>
      </w:r>
      <w:r>
        <w:rPr>
          <w:rFonts w:hint="default"/>
          <w:lang w:val="en-US" w:eastAsia="zh-CN"/>
        </w:rPr>
        <w:t>. BMC Bioinformatics. 2022 Sep 30;23(Suppl 6):407.</w:t>
      </w:r>
      <w:bookmarkEnd w:id="26"/>
    </w:p>
    <w:sectPr>
      <w:footnotePr>
        <w:numFmt w:val="decimal"/>
      </w:footnote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</w:p>
  </w:endnote>
  <w:endnote w:type="continuationSeparator" w:id="1">
    <w:p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</w:p>
  </w:footnote>
  <w:footnote w:type="continuationSeparator" w:id="1">
    <w:p>
      <w:pPr>
        <w:spacing w:line="360" w:lineRule="auto"/>
        <w:ind w:firstLine="48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28EB70"/>
    <w:multiLevelType w:val="singleLevel"/>
    <w:tmpl w:val="1D28EB70"/>
    <w:lvl w:ilvl="0" w:tentative="0">
      <w:start w:val="1"/>
      <w:numFmt w:val="decimal"/>
      <w:pStyle w:val="12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5OGZjNGUwZGZmNDE1YjcyMDgzNDk0ZjcyYjllZTUifQ=="/>
  </w:docVars>
  <w:rsids>
    <w:rsidRoot w:val="49040193"/>
    <w:rsid w:val="001F3ADA"/>
    <w:rsid w:val="0046375D"/>
    <w:rsid w:val="00641E35"/>
    <w:rsid w:val="007A6F63"/>
    <w:rsid w:val="00902C2A"/>
    <w:rsid w:val="00CF5500"/>
    <w:rsid w:val="011A24F4"/>
    <w:rsid w:val="01417758"/>
    <w:rsid w:val="014A2DD9"/>
    <w:rsid w:val="0151055B"/>
    <w:rsid w:val="01A06E9D"/>
    <w:rsid w:val="01A324E9"/>
    <w:rsid w:val="01D134FA"/>
    <w:rsid w:val="01DA1DA1"/>
    <w:rsid w:val="01FB0577"/>
    <w:rsid w:val="02281A05"/>
    <w:rsid w:val="028D5673"/>
    <w:rsid w:val="02CB1CF7"/>
    <w:rsid w:val="02E36583"/>
    <w:rsid w:val="03082F4B"/>
    <w:rsid w:val="03192A63"/>
    <w:rsid w:val="0341020B"/>
    <w:rsid w:val="03906A9D"/>
    <w:rsid w:val="03C84489"/>
    <w:rsid w:val="03DB240E"/>
    <w:rsid w:val="04581CB1"/>
    <w:rsid w:val="04B74C29"/>
    <w:rsid w:val="05076650"/>
    <w:rsid w:val="052676B9"/>
    <w:rsid w:val="05685F23"/>
    <w:rsid w:val="056B77C2"/>
    <w:rsid w:val="058D14E6"/>
    <w:rsid w:val="05D35E60"/>
    <w:rsid w:val="05F73E89"/>
    <w:rsid w:val="05F81055"/>
    <w:rsid w:val="06113EC5"/>
    <w:rsid w:val="066761DB"/>
    <w:rsid w:val="06D53145"/>
    <w:rsid w:val="072916E2"/>
    <w:rsid w:val="073562D9"/>
    <w:rsid w:val="074107DA"/>
    <w:rsid w:val="07506C6F"/>
    <w:rsid w:val="078801B7"/>
    <w:rsid w:val="07950B26"/>
    <w:rsid w:val="07E560A1"/>
    <w:rsid w:val="081F264A"/>
    <w:rsid w:val="0825634E"/>
    <w:rsid w:val="08732C15"/>
    <w:rsid w:val="08872B64"/>
    <w:rsid w:val="09E35B78"/>
    <w:rsid w:val="0A2148F3"/>
    <w:rsid w:val="0B161F7E"/>
    <w:rsid w:val="0B8E420A"/>
    <w:rsid w:val="0BA92339"/>
    <w:rsid w:val="0C2F3263"/>
    <w:rsid w:val="0C4A1EDF"/>
    <w:rsid w:val="0CC25F19"/>
    <w:rsid w:val="0D9A50E8"/>
    <w:rsid w:val="0DC419D8"/>
    <w:rsid w:val="0E1053AA"/>
    <w:rsid w:val="0E245572"/>
    <w:rsid w:val="0E303356"/>
    <w:rsid w:val="0E8B4B54"/>
    <w:rsid w:val="0EED1247"/>
    <w:rsid w:val="0F2C6214"/>
    <w:rsid w:val="0F420B30"/>
    <w:rsid w:val="0FE8038D"/>
    <w:rsid w:val="1034712E"/>
    <w:rsid w:val="108F25B6"/>
    <w:rsid w:val="109E0A4B"/>
    <w:rsid w:val="115D0906"/>
    <w:rsid w:val="11906397"/>
    <w:rsid w:val="11C269BB"/>
    <w:rsid w:val="11CC15E8"/>
    <w:rsid w:val="11F254F3"/>
    <w:rsid w:val="12AF3725"/>
    <w:rsid w:val="12B431C4"/>
    <w:rsid w:val="132F62D2"/>
    <w:rsid w:val="13494CDD"/>
    <w:rsid w:val="13516249"/>
    <w:rsid w:val="13521EB6"/>
    <w:rsid w:val="13824654"/>
    <w:rsid w:val="138E51C3"/>
    <w:rsid w:val="13C95DDF"/>
    <w:rsid w:val="14357DB9"/>
    <w:rsid w:val="146C6853"/>
    <w:rsid w:val="14BC1DE8"/>
    <w:rsid w:val="15311E8E"/>
    <w:rsid w:val="1537146E"/>
    <w:rsid w:val="15415E49"/>
    <w:rsid w:val="154F02E9"/>
    <w:rsid w:val="155B50A2"/>
    <w:rsid w:val="15B50D11"/>
    <w:rsid w:val="160A26DF"/>
    <w:rsid w:val="163360DA"/>
    <w:rsid w:val="16922E00"/>
    <w:rsid w:val="16F413C5"/>
    <w:rsid w:val="17852965"/>
    <w:rsid w:val="17E23FEB"/>
    <w:rsid w:val="17E56F60"/>
    <w:rsid w:val="182774AF"/>
    <w:rsid w:val="18397C4D"/>
    <w:rsid w:val="18736C61"/>
    <w:rsid w:val="188A2F7E"/>
    <w:rsid w:val="18CB25F9"/>
    <w:rsid w:val="18D55226"/>
    <w:rsid w:val="18E45469"/>
    <w:rsid w:val="19362169"/>
    <w:rsid w:val="19874772"/>
    <w:rsid w:val="1A07140F"/>
    <w:rsid w:val="1A18361C"/>
    <w:rsid w:val="1B502705"/>
    <w:rsid w:val="1C992AC9"/>
    <w:rsid w:val="1CEB14BC"/>
    <w:rsid w:val="1CF66774"/>
    <w:rsid w:val="1D0E353D"/>
    <w:rsid w:val="1D24052A"/>
    <w:rsid w:val="1D62418B"/>
    <w:rsid w:val="1DB7314C"/>
    <w:rsid w:val="1EA062D6"/>
    <w:rsid w:val="1EB77FDE"/>
    <w:rsid w:val="1EC2624D"/>
    <w:rsid w:val="1EE12B77"/>
    <w:rsid w:val="1F06438B"/>
    <w:rsid w:val="1F176BD8"/>
    <w:rsid w:val="1F5E41C7"/>
    <w:rsid w:val="1FC72A32"/>
    <w:rsid w:val="1FCC16BC"/>
    <w:rsid w:val="1FE50445"/>
    <w:rsid w:val="209239FD"/>
    <w:rsid w:val="21442F49"/>
    <w:rsid w:val="214E5B76"/>
    <w:rsid w:val="219204A8"/>
    <w:rsid w:val="21B75E11"/>
    <w:rsid w:val="21BA145D"/>
    <w:rsid w:val="21BC537D"/>
    <w:rsid w:val="21C10A3D"/>
    <w:rsid w:val="21C916A0"/>
    <w:rsid w:val="22183A83"/>
    <w:rsid w:val="227427BA"/>
    <w:rsid w:val="22CE3412"/>
    <w:rsid w:val="23241284"/>
    <w:rsid w:val="235002CB"/>
    <w:rsid w:val="237076FE"/>
    <w:rsid w:val="237862B5"/>
    <w:rsid w:val="23C245F9"/>
    <w:rsid w:val="24264B88"/>
    <w:rsid w:val="24A86222"/>
    <w:rsid w:val="256A2BF5"/>
    <w:rsid w:val="2584425C"/>
    <w:rsid w:val="25A26067"/>
    <w:rsid w:val="26543C2E"/>
    <w:rsid w:val="2663549E"/>
    <w:rsid w:val="278D4784"/>
    <w:rsid w:val="27CC7C71"/>
    <w:rsid w:val="27CE5769"/>
    <w:rsid w:val="28053236"/>
    <w:rsid w:val="283D6944"/>
    <w:rsid w:val="28A80261"/>
    <w:rsid w:val="28AD1D1C"/>
    <w:rsid w:val="29114058"/>
    <w:rsid w:val="298727C9"/>
    <w:rsid w:val="29BF1D06"/>
    <w:rsid w:val="2A263B34"/>
    <w:rsid w:val="2A612DBE"/>
    <w:rsid w:val="2AAD26AE"/>
    <w:rsid w:val="2AF34750"/>
    <w:rsid w:val="2B2D0EF2"/>
    <w:rsid w:val="2B540015"/>
    <w:rsid w:val="2B69017C"/>
    <w:rsid w:val="2B915868"/>
    <w:rsid w:val="2BFF288E"/>
    <w:rsid w:val="2C293467"/>
    <w:rsid w:val="2C5658DF"/>
    <w:rsid w:val="2C7D37B3"/>
    <w:rsid w:val="2CBE62A5"/>
    <w:rsid w:val="2CE71B53"/>
    <w:rsid w:val="2CF41CC7"/>
    <w:rsid w:val="2DA35475"/>
    <w:rsid w:val="2E24482E"/>
    <w:rsid w:val="2E262354"/>
    <w:rsid w:val="2E67296D"/>
    <w:rsid w:val="2EB45BB2"/>
    <w:rsid w:val="2ED3590C"/>
    <w:rsid w:val="2EE1627B"/>
    <w:rsid w:val="2EEB534C"/>
    <w:rsid w:val="2F176141"/>
    <w:rsid w:val="2F4A2072"/>
    <w:rsid w:val="2F4B1946"/>
    <w:rsid w:val="2FED0C50"/>
    <w:rsid w:val="30000983"/>
    <w:rsid w:val="301829BD"/>
    <w:rsid w:val="301A5EE8"/>
    <w:rsid w:val="303341BC"/>
    <w:rsid w:val="303A20E7"/>
    <w:rsid w:val="303D1BD7"/>
    <w:rsid w:val="309A4933"/>
    <w:rsid w:val="3185546C"/>
    <w:rsid w:val="31B71515"/>
    <w:rsid w:val="31CD0D39"/>
    <w:rsid w:val="31E3230A"/>
    <w:rsid w:val="320C360F"/>
    <w:rsid w:val="32D82BC2"/>
    <w:rsid w:val="33042538"/>
    <w:rsid w:val="33AB50A9"/>
    <w:rsid w:val="33E07163"/>
    <w:rsid w:val="33E25C38"/>
    <w:rsid w:val="33E660E2"/>
    <w:rsid w:val="34117602"/>
    <w:rsid w:val="343B467F"/>
    <w:rsid w:val="356D6BB3"/>
    <w:rsid w:val="35747E49"/>
    <w:rsid w:val="35BC534C"/>
    <w:rsid w:val="35F25212"/>
    <w:rsid w:val="36050AA1"/>
    <w:rsid w:val="36054F45"/>
    <w:rsid w:val="361361A2"/>
    <w:rsid w:val="36BD75CE"/>
    <w:rsid w:val="370D7608"/>
    <w:rsid w:val="37321D6A"/>
    <w:rsid w:val="37533A8E"/>
    <w:rsid w:val="37737C8C"/>
    <w:rsid w:val="37906A90"/>
    <w:rsid w:val="37B409D1"/>
    <w:rsid w:val="37D2524A"/>
    <w:rsid w:val="37FE39FA"/>
    <w:rsid w:val="38397128"/>
    <w:rsid w:val="38AA5930"/>
    <w:rsid w:val="38BD1B07"/>
    <w:rsid w:val="39C649EB"/>
    <w:rsid w:val="39C80763"/>
    <w:rsid w:val="39FF372A"/>
    <w:rsid w:val="3A6164C2"/>
    <w:rsid w:val="3A987C2E"/>
    <w:rsid w:val="3AB962FE"/>
    <w:rsid w:val="3B0E03F8"/>
    <w:rsid w:val="3B187F55"/>
    <w:rsid w:val="3B9A612F"/>
    <w:rsid w:val="3B9B5A04"/>
    <w:rsid w:val="3BB05953"/>
    <w:rsid w:val="3C3253AD"/>
    <w:rsid w:val="3C744382"/>
    <w:rsid w:val="3C756255"/>
    <w:rsid w:val="3CD1792F"/>
    <w:rsid w:val="3D402D06"/>
    <w:rsid w:val="3D5B544A"/>
    <w:rsid w:val="3DDD0555"/>
    <w:rsid w:val="3E7E7642"/>
    <w:rsid w:val="3E8D3D29"/>
    <w:rsid w:val="3F0062A9"/>
    <w:rsid w:val="3F4C7741"/>
    <w:rsid w:val="3FA05CDE"/>
    <w:rsid w:val="3FC221B7"/>
    <w:rsid w:val="3FC27A03"/>
    <w:rsid w:val="404623E2"/>
    <w:rsid w:val="405745EF"/>
    <w:rsid w:val="405B3CA7"/>
    <w:rsid w:val="40A2448B"/>
    <w:rsid w:val="4113345B"/>
    <w:rsid w:val="41232723"/>
    <w:rsid w:val="41962EF5"/>
    <w:rsid w:val="420662CD"/>
    <w:rsid w:val="43354818"/>
    <w:rsid w:val="439873F8"/>
    <w:rsid w:val="43F81C45"/>
    <w:rsid w:val="44022AC4"/>
    <w:rsid w:val="440B5E1C"/>
    <w:rsid w:val="441B5933"/>
    <w:rsid w:val="44453DDE"/>
    <w:rsid w:val="447A4D50"/>
    <w:rsid w:val="457235DD"/>
    <w:rsid w:val="45B7168C"/>
    <w:rsid w:val="45BB1D3B"/>
    <w:rsid w:val="45F4468E"/>
    <w:rsid w:val="46B34549"/>
    <w:rsid w:val="479D0583"/>
    <w:rsid w:val="47D06A35"/>
    <w:rsid w:val="48B15FD5"/>
    <w:rsid w:val="48CA1A5F"/>
    <w:rsid w:val="49040193"/>
    <w:rsid w:val="493C6A78"/>
    <w:rsid w:val="4A8F2BD7"/>
    <w:rsid w:val="4AC72371"/>
    <w:rsid w:val="4AE81078"/>
    <w:rsid w:val="4B6D2F19"/>
    <w:rsid w:val="4B810772"/>
    <w:rsid w:val="4B840262"/>
    <w:rsid w:val="4B901993"/>
    <w:rsid w:val="4C3457E4"/>
    <w:rsid w:val="4C370E7A"/>
    <w:rsid w:val="4C891FD4"/>
    <w:rsid w:val="4ECD1F20"/>
    <w:rsid w:val="4F4F5912"/>
    <w:rsid w:val="4F5543EF"/>
    <w:rsid w:val="4F622668"/>
    <w:rsid w:val="5006393C"/>
    <w:rsid w:val="500A342C"/>
    <w:rsid w:val="50342257"/>
    <w:rsid w:val="50610B72"/>
    <w:rsid w:val="51383FC9"/>
    <w:rsid w:val="517843C5"/>
    <w:rsid w:val="51E97071"/>
    <w:rsid w:val="52377DDC"/>
    <w:rsid w:val="52412A09"/>
    <w:rsid w:val="52500E9E"/>
    <w:rsid w:val="528079D5"/>
    <w:rsid w:val="5294522F"/>
    <w:rsid w:val="52E2243E"/>
    <w:rsid w:val="530D444F"/>
    <w:rsid w:val="531E132F"/>
    <w:rsid w:val="53346A12"/>
    <w:rsid w:val="538C4158"/>
    <w:rsid w:val="53B37937"/>
    <w:rsid w:val="53FC752F"/>
    <w:rsid w:val="55110DB9"/>
    <w:rsid w:val="555B64D8"/>
    <w:rsid w:val="556F5ADF"/>
    <w:rsid w:val="55713605"/>
    <w:rsid w:val="558F3421"/>
    <w:rsid w:val="559455FC"/>
    <w:rsid w:val="55BB0D24"/>
    <w:rsid w:val="55F36710"/>
    <w:rsid w:val="55F601F2"/>
    <w:rsid w:val="560B1CAC"/>
    <w:rsid w:val="561F7505"/>
    <w:rsid w:val="567315FF"/>
    <w:rsid w:val="56C34335"/>
    <w:rsid w:val="571921A6"/>
    <w:rsid w:val="573F1F55"/>
    <w:rsid w:val="574E2D7B"/>
    <w:rsid w:val="5853793A"/>
    <w:rsid w:val="586E207E"/>
    <w:rsid w:val="587F428B"/>
    <w:rsid w:val="59597EA9"/>
    <w:rsid w:val="59ED4EE0"/>
    <w:rsid w:val="5A494B51"/>
    <w:rsid w:val="5A5D1DF7"/>
    <w:rsid w:val="5A6C4CE3"/>
    <w:rsid w:val="5AF80325"/>
    <w:rsid w:val="5B4517BC"/>
    <w:rsid w:val="5BC30933"/>
    <w:rsid w:val="5C9A545C"/>
    <w:rsid w:val="5CBF559E"/>
    <w:rsid w:val="5D26561D"/>
    <w:rsid w:val="5D5C2DED"/>
    <w:rsid w:val="5D9A2CAA"/>
    <w:rsid w:val="5E23390B"/>
    <w:rsid w:val="5E4E6BDA"/>
    <w:rsid w:val="5E7E5033"/>
    <w:rsid w:val="5E850121"/>
    <w:rsid w:val="5EC450EE"/>
    <w:rsid w:val="5FF53085"/>
    <w:rsid w:val="60274719"/>
    <w:rsid w:val="603D5158"/>
    <w:rsid w:val="609E22A7"/>
    <w:rsid w:val="60F5158E"/>
    <w:rsid w:val="6110461A"/>
    <w:rsid w:val="615C33BC"/>
    <w:rsid w:val="61AB4343"/>
    <w:rsid w:val="61AD00BB"/>
    <w:rsid w:val="61F53810"/>
    <w:rsid w:val="6200468F"/>
    <w:rsid w:val="622F287E"/>
    <w:rsid w:val="624B51DE"/>
    <w:rsid w:val="62586279"/>
    <w:rsid w:val="62DE42A4"/>
    <w:rsid w:val="63AF6516"/>
    <w:rsid w:val="63B079EF"/>
    <w:rsid w:val="640D4E41"/>
    <w:rsid w:val="64414AEB"/>
    <w:rsid w:val="64917820"/>
    <w:rsid w:val="65757142"/>
    <w:rsid w:val="65AD68DC"/>
    <w:rsid w:val="65D976D1"/>
    <w:rsid w:val="66C0619B"/>
    <w:rsid w:val="66F44096"/>
    <w:rsid w:val="67073DC9"/>
    <w:rsid w:val="67346B89"/>
    <w:rsid w:val="675114E9"/>
    <w:rsid w:val="6759039D"/>
    <w:rsid w:val="67A96C2F"/>
    <w:rsid w:val="67D77C40"/>
    <w:rsid w:val="67EC2AFF"/>
    <w:rsid w:val="687B4116"/>
    <w:rsid w:val="688B27D8"/>
    <w:rsid w:val="690A194F"/>
    <w:rsid w:val="698739FF"/>
    <w:rsid w:val="69B1626F"/>
    <w:rsid w:val="6A7F14DA"/>
    <w:rsid w:val="6B8D78C6"/>
    <w:rsid w:val="6C2814C5"/>
    <w:rsid w:val="6C2D549A"/>
    <w:rsid w:val="6C3F1D6B"/>
    <w:rsid w:val="6C8B0FF9"/>
    <w:rsid w:val="6C922387"/>
    <w:rsid w:val="6CE8644B"/>
    <w:rsid w:val="6D592EA5"/>
    <w:rsid w:val="6DC26C9C"/>
    <w:rsid w:val="6DE53D4A"/>
    <w:rsid w:val="6E867CCA"/>
    <w:rsid w:val="6EA44B79"/>
    <w:rsid w:val="6FB24AEE"/>
    <w:rsid w:val="6FBB1BF5"/>
    <w:rsid w:val="6FDD600F"/>
    <w:rsid w:val="6FF234A6"/>
    <w:rsid w:val="6FFD045F"/>
    <w:rsid w:val="702E23C7"/>
    <w:rsid w:val="705838E8"/>
    <w:rsid w:val="70B14DA6"/>
    <w:rsid w:val="715E0A8A"/>
    <w:rsid w:val="717E737E"/>
    <w:rsid w:val="718C1A9B"/>
    <w:rsid w:val="719B7F30"/>
    <w:rsid w:val="71B52674"/>
    <w:rsid w:val="71CD79BE"/>
    <w:rsid w:val="721970A7"/>
    <w:rsid w:val="729624A5"/>
    <w:rsid w:val="72FE6518"/>
    <w:rsid w:val="73505624"/>
    <w:rsid w:val="73972979"/>
    <w:rsid w:val="7447614D"/>
    <w:rsid w:val="749E3893"/>
    <w:rsid w:val="74C23A26"/>
    <w:rsid w:val="75E02E70"/>
    <w:rsid w:val="75F220E9"/>
    <w:rsid w:val="76460D1E"/>
    <w:rsid w:val="764C70B2"/>
    <w:rsid w:val="76766876"/>
    <w:rsid w:val="76B850E0"/>
    <w:rsid w:val="76B86E8E"/>
    <w:rsid w:val="76E539FB"/>
    <w:rsid w:val="7718792D"/>
    <w:rsid w:val="77690189"/>
    <w:rsid w:val="782E5248"/>
    <w:rsid w:val="783E3BE0"/>
    <w:rsid w:val="78815082"/>
    <w:rsid w:val="788B1B55"/>
    <w:rsid w:val="78AA049C"/>
    <w:rsid w:val="78DE0702"/>
    <w:rsid w:val="7A1031EC"/>
    <w:rsid w:val="7AAD65DE"/>
    <w:rsid w:val="7AD41DBD"/>
    <w:rsid w:val="7AD46261"/>
    <w:rsid w:val="7B2D4C8F"/>
    <w:rsid w:val="7B364826"/>
    <w:rsid w:val="7B3B008E"/>
    <w:rsid w:val="7B735A7A"/>
    <w:rsid w:val="7BAB0D70"/>
    <w:rsid w:val="7BF5023D"/>
    <w:rsid w:val="7BFA3AA5"/>
    <w:rsid w:val="7C1A7CA3"/>
    <w:rsid w:val="7C29438A"/>
    <w:rsid w:val="7C6E0D01"/>
    <w:rsid w:val="7CCD3369"/>
    <w:rsid w:val="7DA57A41"/>
    <w:rsid w:val="7DC9372F"/>
    <w:rsid w:val="7DD81BC4"/>
    <w:rsid w:val="7E192908"/>
    <w:rsid w:val="7E543940"/>
    <w:rsid w:val="7E7E09BD"/>
    <w:rsid w:val="7F2A644F"/>
    <w:rsid w:val="7F3379FA"/>
    <w:rsid w:val="7FE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 w:val="0"/>
      <w:kern w:val="44"/>
      <w:sz w:val="44"/>
    </w:rPr>
  </w:style>
  <w:style w:type="paragraph" w:styleId="4">
    <w:name w:val="heading 2"/>
    <w:basedOn w:val="2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jc w:val="left"/>
      <w:outlineLvl w:val="1"/>
    </w:pPr>
    <w:rPr>
      <w:rFonts w:ascii="Arial" w:hAnsi="Arial"/>
      <w:b/>
      <w:sz w:val="32"/>
    </w:rPr>
  </w:style>
  <w:style w:type="paragraph" w:styleId="5">
    <w:name w:val="heading 3"/>
    <w:basedOn w:val="4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  <w:sz w:val="30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1">
    <w:name w:val="关键词"/>
    <w:basedOn w:val="1"/>
    <w:qFormat/>
    <w:uiPriority w:val="0"/>
    <w:pPr>
      <w:ind w:firstLine="0" w:firstLineChars="0"/>
    </w:pPr>
    <w:rPr>
      <w:rFonts w:eastAsia="宋体"/>
      <w:bCs/>
    </w:rPr>
  </w:style>
  <w:style w:type="paragraph" w:customStyle="1" w:styleId="12">
    <w:name w:val="参考文献"/>
    <w:basedOn w:val="1"/>
    <w:uiPriority w:val="0"/>
    <w:pPr>
      <w:numPr>
        <w:ilvl w:val="0"/>
        <w:numId w:val="1"/>
      </w:numPr>
      <w:ind w:firstLine="0" w:firstLineChars="0"/>
      <w:jc w:val="left"/>
    </w:pPr>
    <w:rPr>
      <w:rFonts w:ascii="Times New Roman" w:hAnsi="Times New Roman"/>
    </w:rPr>
  </w:style>
  <w:style w:type="paragraph" w:customStyle="1" w:styleId="13">
    <w:name w:val="表格"/>
    <w:basedOn w:val="1"/>
    <w:uiPriority w:val="0"/>
    <w:pPr>
      <w:ind w:firstLine="0" w:firstLineChars="0"/>
      <w:jc w:val="left"/>
    </w:pPr>
  </w:style>
  <w:style w:type="paragraph" w:customStyle="1" w:styleId="14">
    <w:name w:val="表格文字"/>
    <w:basedOn w:val="1"/>
    <w:uiPriority w:val="0"/>
    <w:pPr>
      <w:ind w:firstLine="0" w:firstLineChars="0"/>
      <w:jc w:val="left"/>
    </w:pPr>
    <w:rPr>
      <w:rFonts w:hint="default"/>
    </w:rPr>
  </w:style>
  <w:style w:type="paragraph" w:customStyle="1" w:styleId="15">
    <w:name w:val="图片文字"/>
    <w:basedOn w:val="1"/>
    <w:uiPriority w:val="0"/>
    <w:pPr>
      <w:ind w:firstLine="0" w:firstLineChars="0"/>
      <w:jc w:val="center"/>
    </w:pPr>
    <w:rPr>
      <w:rFonts w:hint="defaul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4695</Words>
  <Characters>9213</Characters>
  <Lines>0</Lines>
  <Paragraphs>0</Paragraphs>
  <TotalTime>45</TotalTime>
  <ScaleCrop>false</ScaleCrop>
  <LinksUpToDate>false</LinksUpToDate>
  <CharactersWithSpaces>10138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2023-03-06T04:39:00Z</dcterms:created>
  <dc:creator>lyf</dc:creator>
  <cp:lastModifiedBy>LuYF-Lemon-love</cp:lastModifiedBy>
  <dcterms:modified xsi:type="dcterms:W3CDTF">2023-03-07T15:31:13Z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3E8242A5F97540B59D1474C32DD73ECA</vt:lpwstr>
  </property>
</Properties>
</file>