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的进行性发展的神经退行性疾病，痴呆表现为主要特征，给社会带来巨大医疗负担，因此迫切需要有效的治疗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评估了知识图谱嵌入模型在测试集的性能，选择RotatE模型作为药物重定位模型；最后，利用知识图谱嵌入模型进行链接预测得出10种治疗阿尔茨海默病的候选药物。除此之外，我们通过对实体和关系进行多种嵌入分析和查阅文献的方法证明了本文的研究方法能够有效的预测治疗阿尔茨海默病的药物，为研究人员提供了全新的思路。本文的源代码可以从https://github.com/LuYF-Lemon-love/AD-KGE处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Graph，KG）是一种基于图结构存储知识的数据库，主要用于网页搜索、问答系统、推荐任务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KG中被表示为实体（entity），实体之间的联系被表示为关系（relation），进而知识被表示成格式为（头实体，关系，尾实体）的三元组。KG是一个由大量的三元组组成的有向图结构，KG中的节点（node）代表上面的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显示我国60岁及以上人群中有983万例AD患者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，并且另一份研究报告称，我国AD患者的2015年治疗费用为1 677.4亿美元，到2050年将高达18871.8亿美元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，这充分说明了AD给社会带来了巨大的经济负担。因此，AD的治疗药物开发迫在眉睫。然而，早在2015年，开发一种新药就需要花费26亿美元和10-12 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建立了一个1500万个三元组的综合知识图谱，包括药物、基因、疾病、蛋白质、基因4种实体以及它们之间的 39 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候选药物，并利用发现模式解释了KGE预测的合理性。目前也有研究人员利用KGE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 AD 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训练RotatE模型，并利用多种嵌入向量分析手段评估模型学习到的嵌入向量的质量；最终，通过链接预测技术找到10种治疗AD的候选药物。</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KG一般被标记为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 KG 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的旋转。RotatE模型能够捕获对称、反对称、反转和组成四种类型关系，因此它能最大限度的表示出KG的语义和结构信息。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预测缺失的头实体h。可以通过链接预测给出需要评估三元组的排名。为了评估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分别表示预测缺失头实体和尾实体三元组的排名，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 0.05, 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0.621，RotatE模型次之0.614。对于Hits@1指标，ComplEx模型取得了最优结果0.537，RotatE模型次之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bidi w:val="0"/>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 模型的 MR 指标达到了最优结果，但是受限于只能建模一对一的关系，无法在其他指标上达到理想的水平。对于MR 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 模型各取得了2次最优和次优结果，且最优和次优结果也非常接近，充分说明将嵌入向量空间由实数域转换到复数域的必要性。考虑到MR结果，我们最终选择RotatE作为我们最终的药物重定位模型。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 DRKG 结合了来自不同数据源的信息，我们希望验证使用知识图嵌入技术可以生成有意义的实体和关系嵌入。我们采用t-SNE将关系嵌入向量降维和可视化处理。由于实体的数量众多，且RotatE实体维度是400，直接利用t-SNE降维和可视化处理会引入很多噪声，因此我们首先使用PCA将其降维到30，然后再利用t-SNE将其将降维到2D空间并进行可视化处理。我们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 &lt; 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的前10尾实体集合的 Jaccard相似系数（Jaccard similarity coefficient）。我们选择了100个随机头实体种子，然后报告了所有关系对的平均相似度，表6列出了基于链接预测相似度的前10关系对。Jaccard相似系数计算方法如下：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通过上面对RotatE模型学习到的实体和关系嵌入向量的分析结果，我们认为DRKG不同数据源的信息被药物重定位模型很好的整合到了一起，并且生成了有意义的实体和关系嵌入向量，能够有效的进行AD药物重定位。</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作为初步的候选药物。初步的候选药物列表中，评分前10中只有第9名的药物不是DRKG已经存在的治疗AD的药物，初步证明了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集合求交集，最终获得10种</w:t>
      </w:r>
      <w:bookmarkStart w:id="42" w:name="_GoBack"/>
      <w:bookmarkEnd w:id="42"/>
      <w:r>
        <w:rPr>
          <w:rFonts w:hint="eastAsia"/>
          <w:lang w:val="en-US" w:eastAsia="zh-CN"/>
        </w:rPr>
        <w:t>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[18]</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et al.DRKG - Drug Repurposing Knowledge Graph for Covid-19</w:t>
      </w:r>
      <w:r>
        <w:rPr>
          <w:rFonts w:hint="eastAsia"/>
          <w:lang w:val="en-US" w:eastAsia="zh-CN"/>
        </w:rPr>
        <w:t>[J]</w:t>
      </w:r>
      <w:r>
        <w:rPr>
          <w:rFonts w:hint="default"/>
          <w:lang w:val="en-US" w:eastAsia="zh-CN"/>
        </w:rPr>
        <w:t>.</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.Repurpose Open Data to Discover Therapeutics for COVID-19 Using Deep Learning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https://doi.org/10.3969/j.issn.1672-9528.2022.07.006.</w:t>
      </w:r>
      <w:bookmarkEnd w:id="33"/>
    </w:p>
    <w:p>
      <w:pPr>
        <w:pStyle w:val="16"/>
        <w:bidi w:val="0"/>
        <w:rPr>
          <w:rFonts w:hint="default"/>
          <w:lang w:val="en-US" w:eastAsia="zh-CN"/>
        </w:rPr>
      </w:pPr>
      <w:bookmarkStart w:id="34"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72(1):29-39.https://doi.org/10.32394/rpzh.2021.0154.</w:t>
      </w:r>
      <w:bookmarkEnd w:id="34"/>
    </w:p>
    <w:p>
      <w:pPr>
        <w:pStyle w:val="16"/>
        <w:bidi w:val="0"/>
        <w:rPr>
          <w:rFonts w:hint="default"/>
          <w:lang w:val="en-US" w:eastAsia="zh-CN"/>
        </w:rPr>
      </w:pPr>
      <w:bookmarkStart w:id="35"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dementia,2016,2(2):121-130.https://doi.org/10.1016/j.trci.2016.05.003.</w:t>
      </w:r>
      <w:bookmarkEnd w:id="35"/>
    </w:p>
    <w:p>
      <w:pPr>
        <w:pStyle w:val="16"/>
        <w:bidi w:val="0"/>
        <w:rPr>
          <w:rFonts w:hint="default"/>
          <w:lang w:val="en-US" w:eastAsia="zh-CN"/>
        </w:rPr>
      </w:pPr>
      <w:bookmarkStart w:id="36"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https://doi.org/</w:t>
      </w:r>
      <w:r>
        <w:rPr>
          <w:rFonts w:hint="default"/>
          <w:lang w:val="en-US" w:eastAsia="zh-CN"/>
        </w:rPr>
        <w:t>10.3390/molecules27082484.</w:t>
      </w:r>
      <w:bookmarkEnd w:id="36"/>
    </w:p>
    <w:p>
      <w:pPr>
        <w:pStyle w:val="16"/>
        <w:bidi w:val="0"/>
        <w:rPr>
          <w:rFonts w:hint="default"/>
          <w:lang w:val="en-US" w:eastAsia="zh-CN"/>
        </w:rPr>
      </w:pPr>
      <w:bookmarkStart w:id="37"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https://doi.org/</w:t>
      </w:r>
      <w:r>
        <w:rPr>
          <w:rFonts w:hint="default"/>
          <w:lang w:val="en-US" w:eastAsia="zh-CN"/>
        </w:rPr>
        <w:t>10.1038/s41598-021-02248-5.</w:t>
      </w:r>
      <w:bookmarkEnd w:id="37"/>
    </w:p>
    <w:p>
      <w:pPr>
        <w:pStyle w:val="16"/>
        <w:bidi w:val="0"/>
        <w:rPr>
          <w:rFonts w:hint="default"/>
          <w:lang w:val="en-US" w:eastAsia="zh-CN"/>
        </w:rPr>
      </w:pPr>
      <w:bookmarkStart w:id="38"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https://</w:t>
      </w:r>
      <w:r>
        <w:rPr>
          <w:rFonts w:hint="default"/>
          <w:lang w:val="en-US" w:eastAsia="zh-CN"/>
        </w:rPr>
        <w:t>doi</w:t>
      </w:r>
      <w:r>
        <w:rPr>
          <w:rFonts w:hint="eastAsia"/>
          <w:lang w:val="en-US" w:eastAsia="zh-CN"/>
        </w:rPr>
        <w:t>.org/</w:t>
      </w:r>
      <w:r>
        <w:rPr>
          <w:rFonts w:hint="default"/>
          <w:lang w:val="en-US" w:eastAsia="zh-CN"/>
        </w:rPr>
        <w:t>10.1007/s10571-019-00733-0.</w:t>
      </w:r>
      <w:bookmarkEnd w:id="38"/>
    </w:p>
    <w:p>
      <w:pPr>
        <w:pStyle w:val="16"/>
        <w:bidi w:val="0"/>
        <w:rPr>
          <w:rFonts w:hint="default"/>
          <w:lang w:val="en-US" w:eastAsia="zh-CN"/>
        </w:rPr>
      </w:pPr>
      <w:bookmarkStart w:id="39"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https://doi.org/</w:t>
      </w:r>
      <w:r>
        <w:rPr>
          <w:rFonts w:hint="default"/>
          <w:lang w:val="en-US" w:eastAsia="zh-CN"/>
        </w:rPr>
        <w:t>10.4103/1673-5374.354515.</w:t>
      </w:r>
      <w:bookmarkEnd w:id="39"/>
    </w:p>
    <w:p>
      <w:pPr>
        <w:pStyle w:val="16"/>
        <w:bidi w:val="0"/>
        <w:rPr>
          <w:rFonts w:hint="default"/>
          <w:lang w:val="en-US" w:eastAsia="zh-CN"/>
        </w:rPr>
      </w:pPr>
      <w:bookmarkStart w:id="40"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https://</w:t>
      </w:r>
      <w:r>
        <w:rPr>
          <w:rFonts w:hint="default"/>
          <w:lang w:val="en-US" w:eastAsia="zh-CN"/>
        </w:rPr>
        <w:t>doi</w:t>
      </w:r>
      <w:r>
        <w:rPr>
          <w:rFonts w:hint="eastAsia"/>
          <w:lang w:val="en-US" w:eastAsia="zh-CN"/>
        </w:rPr>
        <w:t>.org/</w:t>
      </w:r>
      <w:r>
        <w:rPr>
          <w:rFonts w:hint="default"/>
          <w:lang w:val="en-US" w:eastAsia="zh-CN"/>
        </w:rPr>
        <w:t>10.1007/s11302-022-09883-1.</w:t>
      </w:r>
      <w:bookmarkEnd w:id="40"/>
    </w:p>
    <w:p>
      <w:pPr>
        <w:pStyle w:val="16"/>
        <w:bidi w:val="0"/>
        <w:rPr>
          <w:rFonts w:hint="default"/>
          <w:lang w:val="en-US" w:eastAsia="zh-CN"/>
        </w:rPr>
      </w:pPr>
      <w:bookmarkStart w:id="41"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1"/>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4B2B21"/>
    <w:rsid w:val="005539A0"/>
    <w:rsid w:val="005574FC"/>
    <w:rsid w:val="005D2854"/>
    <w:rsid w:val="00641E35"/>
    <w:rsid w:val="0075485B"/>
    <w:rsid w:val="007A6F63"/>
    <w:rsid w:val="00835244"/>
    <w:rsid w:val="0089189B"/>
    <w:rsid w:val="00902C2A"/>
    <w:rsid w:val="009269A2"/>
    <w:rsid w:val="009A5857"/>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001AC"/>
    <w:rsid w:val="01417758"/>
    <w:rsid w:val="014A2DD9"/>
    <w:rsid w:val="0151055B"/>
    <w:rsid w:val="015B2302"/>
    <w:rsid w:val="015B6D94"/>
    <w:rsid w:val="016140C6"/>
    <w:rsid w:val="0173585E"/>
    <w:rsid w:val="019462D8"/>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A65AD"/>
    <w:rsid w:val="01FB0577"/>
    <w:rsid w:val="020C008E"/>
    <w:rsid w:val="02281A05"/>
    <w:rsid w:val="024F36AF"/>
    <w:rsid w:val="02581525"/>
    <w:rsid w:val="027F4D04"/>
    <w:rsid w:val="028D5673"/>
    <w:rsid w:val="02B5248F"/>
    <w:rsid w:val="02B7449E"/>
    <w:rsid w:val="02B7624C"/>
    <w:rsid w:val="02C170CB"/>
    <w:rsid w:val="02C24BF1"/>
    <w:rsid w:val="02CB1CF7"/>
    <w:rsid w:val="02D92666"/>
    <w:rsid w:val="02DF179D"/>
    <w:rsid w:val="02DF57A3"/>
    <w:rsid w:val="02E36583"/>
    <w:rsid w:val="02F367E1"/>
    <w:rsid w:val="03082F4B"/>
    <w:rsid w:val="03084CFA"/>
    <w:rsid w:val="030D2310"/>
    <w:rsid w:val="031226B5"/>
    <w:rsid w:val="03192A63"/>
    <w:rsid w:val="03345AEF"/>
    <w:rsid w:val="033B6E7D"/>
    <w:rsid w:val="0341020B"/>
    <w:rsid w:val="03433852"/>
    <w:rsid w:val="034420A6"/>
    <w:rsid w:val="03561F09"/>
    <w:rsid w:val="03575C81"/>
    <w:rsid w:val="03661A20"/>
    <w:rsid w:val="0371289F"/>
    <w:rsid w:val="037B371D"/>
    <w:rsid w:val="03806F4C"/>
    <w:rsid w:val="03824AAC"/>
    <w:rsid w:val="038509C9"/>
    <w:rsid w:val="03885E3A"/>
    <w:rsid w:val="03906A9D"/>
    <w:rsid w:val="03A74512"/>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702B56"/>
    <w:rsid w:val="04A10F62"/>
    <w:rsid w:val="04B50AF8"/>
    <w:rsid w:val="04B74C29"/>
    <w:rsid w:val="04BC3FEE"/>
    <w:rsid w:val="04C5780A"/>
    <w:rsid w:val="04C82992"/>
    <w:rsid w:val="04C86418"/>
    <w:rsid w:val="04DC4690"/>
    <w:rsid w:val="04FC263C"/>
    <w:rsid w:val="05031C1C"/>
    <w:rsid w:val="05076650"/>
    <w:rsid w:val="050B287F"/>
    <w:rsid w:val="0517491F"/>
    <w:rsid w:val="052676B9"/>
    <w:rsid w:val="0539563E"/>
    <w:rsid w:val="05452235"/>
    <w:rsid w:val="054871A2"/>
    <w:rsid w:val="0560706F"/>
    <w:rsid w:val="056401E1"/>
    <w:rsid w:val="05681A7F"/>
    <w:rsid w:val="05685F23"/>
    <w:rsid w:val="056B77C2"/>
    <w:rsid w:val="05776166"/>
    <w:rsid w:val="05777F14"/>
    <w:rsid w:val="058D14E6"/>
    <w:rsid w:val="058D7738"/>
    <w:rsid w:val="059464DB"/>
    <w:rsid w:val="05A52CD4"/>
    <w:rsid w:val="05A76A4C"/>
    <w:rsid w:val="05B2463F"/>
    <w:rsid w:val="05BD626F"/>
    <w:rsid w:val="05BE5B43"/>
    <w:rsid w:val="05C66BB1"/>
    <w:rsid w:val="05D35E60"/>
    <w:rsid w:val="05D9297D"/>
    <w:rsid w:val="05DC421B"/>
    <w:rsid w:val="05ED6429"/>
    <w:rsid w:val="05EF3F4F"/>
    <w:rsid w:val="05F652DD"/>
    <w:rsid w:val="05F73E89"/>
    <w:rsid w:val="05F81055"/>
    <w:rsid w:val="05FE23E4"/>
    <w:rsid w:val="060F2843"/>
    <w:rsid w:val="06113EC5"/>
    <w:rsid w:val="062005AC"/>
    <w:rsid w:val="06222576"/>
    <w:rsid w:val="06224324"/>
    <w:rsid w:val="062F6A41"/>
    <w:rsid w:val="06336531"/>
    <w:rsid w:val="0639166E"/>
    <w:rsid w:val="066761DB"/>
    <w:rsid w:val="06691F53"/>
    <w:rsid w:val="06695AAF"/>
    <w:rsid w:val="0676641E"/>
    <w:rsid w:val="06783F44"/>
    <w:rsid w:val="068648B3"/>
    <w:rsid w:val="069114AA"/>
    <w:rsid w:val="069A210C"/>
    <w:rsid w:val="069A3EBB"/>
    <w:rsid w:val="06B036DE"/>
    <w:rsid w:val="06B55198"/>
    <w:rsid w:val="06CC1E75"/>
    <w:rsid w:val="06D05B2E"/>
    <w:rsid w:val="06D53145"/>
    <w:rsid w:val="06D80E87"/>
    <w:rsid w:val="06DF2215"/>
    <w:rsid w:val="06E11AE9"/>
    <w:rsid w:val="06F2019A"/>
    <w:rsid w:val="06F85085"/>
    <w:rsid w:val="06FC6923"/>
    <w:rsid w:val="070A169F"/>
    <w:rsid w:val="070B6B66"/>
    <w:rsid w:val="070E2AFA"/>
    <w:rsid w:val="070E62E0"/>
    <w:rsid w:val="07117DA5"/>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931509"/>
    <w:rsid w:val="089A2898"/>
    <w:rsid w:val="089B216C"/>
    <w:rsid w:val="08AC25CB"/>
    <w:rsid w:val="08B66FA6"/>
    <w:rsid w:val="08CB2A51"/>
    <w:rsid w:val="08CE609D"/>
    <w:rsid w:val="08DB4C49"/>
    <w:rsid w:val="08E27D9B"/>
    <w:rsid w:val="08E73603"/>
    <w:rsid w:val="08F31FA8"/>
    <w:rsid w:val="08FA6E92"/>
    <w:rsid w:val="09045F63"/>
    <w:rsid w:val="090D12BC"/>
    <w:rsid w:val="09120680"/>
    <w:rsid w:val="09151F1E"/>
    <w:rsid w:val="09242161"/>
    <w:rsid w:val="092D54BA"/>
    <w:rsid w:val="0946657C"/>
    <w:rsid w:val="095F13EB"/>
    <w:rsid w:val="09782267"/>
    <w:rsid w:val="098D7D07"/>
    <w:rsid w:val="099472E7"/>
    <w:rsid w:val="09A03EDE"/>
    <w:rsid w:val="09B110B8"/>
    <w:rsid w:val="09B434E5"/>
    <w:rsid w:val="09BA4874"/>
    <w:rsid w:val="09BB6E1E"/>
    <w:rsid w:val="09CA0F5B"/>
    <w:rsid w:val="09D65B51"/>
    <w:rsid w:val="09D9119E"/>
    <w:rsid w:val="09E33DCA"/>
    <w:rsid w:val="09E35B78"/>
    <w:rsid w:val="09EF09C1"/>
    <w:rsid w:val="09FE29B2"/>
    <w:rsid w:val="0A1E3055"/>
    <w:rsid w:val="0A2148F3"/>
    <w:rsid w:val="0A36214C"/>
    <w:rsid w:val="0A440A5C"/>
    <w:rsid w:val="0A466107"/>
    <w:rsid w:val="0A570314"/>
    <w:rsid w:val="0A5E16A3"/>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E0655C"/>
    <w:rsid w:val="0AE95411"/>
    <w:rsid w:val="0AF049F1"/>
    <w:rsid w:val="0AFF4C34"/>
    <w:rsid w:val="0B022976"/>
    <w:rsid w:val="0B073AE9"/>
    <w:rsid w:val="0B095AB3"/>
    <w:rsid w:val="0B161F7E"/>
    <w:rsid w:val="0B221CE0"/>
    <w:rsid w:val="0B266665"/>
    <w:rsid w:val="0B424B21"/>
    <w:rsid w:val="0B460AB5"/>
    <w:rsid w:val="0B4B60CB"/>
    <w:rsid w:val="0B6823E3"/>
    <w:rsid w:val="0B8E420A"/>
    <w:rsid w:val="0B9335CE"/>
    <w:rsid w:val="0B9510F4"/>
    <w:rsid w:val="0BA648D7"/>
    <w:rsid w:val="0BA92339"/>
    <w:rsid w:val="0BBE064B"/>
    <w:rsid w:val="0BC67500"/>
    <w:rsid w:val="0BCA5242"/>
    <w:rsid w:val="0BDC4F75"/>
    <w:rsid w:val="0BE36304"/>
    <w:rsid w:val="0BF26547"/>
    <w:rsid w:val="0BFA53FB"/>
    <w:rsid w:val="0C061FF2"/>
    <w:rsid w:val="0C0F70F9"/>
    <w:rsid w:val="0C2F3263"/>
    <w:rsid w:val="0C3A1135"/>
    <w:rsid w:val="0C452B1A"/>
    <w:rsid w:val="0C476893"/>
    <w:rsid w:val="0C4A1EDF"/>
    <w:rsid w:val="0C5C7E64"/>
    <w:rsid w:val="0C606CCC"/>
    <w:rsid w:val="0C6236CC"/>
    <w:rsid w:val="0C654F6B"/>
    <w:rsid w:val="0C9A095A"/>
    <w:rsid w:val="0CAC2B9A"/>
    <w:rsid w:val="0CBE467B"/>
    <w:rsid w:val="0CC25F19"/>
    <w:rsid w:val="0CD8398F"/>
    <w:rsid w:val="0CE9794A"/>
    <w:rsid w:val="0CEA36C2"/>
    <w:rsid w:val="0CF4009D"/>
    <w:rsid w:val="0D181FDD"/>
    <w:rsid w:val="0D1B1ACD"/>
    <w:rsid w:val="0D295F98"/>
    <w:rsid w:val="0D3112F1"/>
    <w:rsid w:val="0D35493D"/>
    <w:rsid w:val="0D490AEC"/>
    <w:rsid w:val="0D501777"/>
    <w:rsid w:val="0D643474"/>
    <w:rsid w:val="0D67082F"/>
    <w:rsid w:val="0D6B4803"/>
    <w:rsid w:val="0D6E60A1"/>
    <w:rsid w:val="0D726DE4"/>
    <w:rsid w:val="0D7C256C"/>
    <w:rsid w:val="0D9A50E8"/>
    <w:rsid w:val="0DB22432"/>
    <w:rsid w:val="0DC419D8"/>
    <w:rsid w:val="0DC43F13"/>
    <w:rsid w:val="0DD00B0A"/>
    <w:rsid w:val="0DDF2AFB"/>
    <w:rsid w:val="0DE00415"/>
    <w:rsid w:val="0DF06AB6"/>
    <w:rsid w:val="0E1053AA"/>
    <w:rsid w:val="0E172295"/>
    <w:rsid w:val="0E245572"/>
    <w:rsid w:val="0E26072A"/>
    <w:rsid w:val="0E303356"/>
    <w:rsid w:val="0E4F1A2E"/>
    <w:rsid w:val="0E545297"/>
    <w:rsid w:val="0E547045"/>
    <w:rsid w:val="0E586BB4"/>
    <w:rsid w:val="0E61656B"/>
    <w:rsid w:val="0E6B0652"/>
    <w:rsid w:val="0E6F20D1"/>
    <w:rsid w:val="0E7D2A40"/>
    <w:rsid w:val="0E811E04"/>
    <w:rsid w:val="0E8B4B54"/>
    <w:rsid w:val="0E941B37"/>
    <w:rsid w:val="0E9B4C74"/>
    <w:rsid w:val="0EA855E3"/>
    <w:rsid w:val="0EBB5316"/>
    <w:rsid w:val="0EBD2E3C"/>
    <w:rsid w:val="0EBE4E06"/>
    <w:rsid w:val="0ECD6DF7"/>
    <w:rsid w:val="0EDB32C2"/>
    <w:rsid w:val="0EE228A3"/>
    <w:rsid w:val="0EED1247"/>
    <w:rsid w:val="0EF10B9E"/>
    <w:rsid w:val="0F114F36"/>
    <w:rsid w:val="0F1F58A5"/>
    <w:rsid w:val="0F274759"/>
    <w:rsid w:val="0F2C1655"/>
    <w:rsid w:val="0F2C6214"/>
    <w:rsid w:val="0F2D5820"/>
    <w:rsid w:val="0F386966"/>
    <w:rsid w:val="0F420B30"/>
    <w:rsid w:val="0F474DFC"/>
    <w:rsid w:val="0F5117D6"/>
    <w:rsid w:val="0F515D25"/>
    <w:rsid w:val="0F5C08A7"/>
    <w:rsid w:val="0F5D63CD"/>
    <w:rsid w:val="0F625791"/>
    <w:rsid w:val="0F73799F"/>
    <w:rsid w:val="0F784FB5"/>
    <w:rsid w:val="0F8676D2"/>
    <w:rsid w:val="0F8B118C"/>
    <w:rsid w:val="0F9C5147"/>
    <w:rsid w:val="0F9C6EF5"/>
    <w:rsid w:val="0FAE09D7"/>
    <w:rsid w:val="0FBD50BE"/>
    <w:rsid w:val="0FDD12BC"/>
    <w:rsid w:val="0FE8038D"/>
    <w:rsid w:val="0FE97C61"/>
    <w:rsid w:val="0FFE370C"/>
    <w:rsid w:val="101C0036"/>
    <w:rsid w:val="102D3FF1"/>
    <w:rsid w:val="1034712E"/>
    <w:rsid w:val="10482BD9"/>
    <w:rsid w:val="104D6442"/>
    <w:rsid w:val="1068327B"/>
    <w:rsid w:val="1077526D"/>
    <w:rsid w:val="108C6F6A"/>
    <w:rsid w:val="108D0014"/>
    <w:rsid w:val="108F25B6"/>
    <w:rsid w:val="109E0A4B"/>
    <w:rsid w:val="109F497A"/>
    <w:rsid w:val="10A162CC"/>
    <w:rsid w:val="10A2678D"/>
    <w:rsid w:val="10B14C22"/>
    <w:rsid w:val="10E072B6"/>
    <w:rsid w:val="10E50428"/>
    <w:rsid w:val="10E53570"/>
    <w:rsid w:val="10E723F2"/>
    <w:rsid w:val="10F92125"/>
    <w:rsid w:val="112F5B47"/>
    <w:rsid w:val="11366ED6"/>
    <w:rsid w:val="115D0906"/>
    <w:rsid w:val="11765524"/>
    <w:rsid w:val="118B5473"/>
    <w:rsid w:val="118C09AC"/>
    <w:rsid w:val="11906397"/>
    <w:rsid w:val="11A402E3"/>
    <w:rsid w:val="11B15721"/>
    <w:rsid w:val="11B524F0"/>
    <w:rsid w:val="11B60E78"/>
    <w:rsid w:val="11BD3153"/>
    <w:rsid w:val="11C269BB"/>
    <w:rsid w:val="11CC15E8"/>
    <w:rsid w:val="11F03528"/>
    <w:rsid w:val="11F254F3"/>
    <w:rsid w:val="120D5E88"/>
    <w:rsid w:val="12105979"/>
    <w:rsid w:val="12107727"/>
    <w:rsid w:val="1222745A"/>
    <w:rsid w:val="12391273"/>
    <w:rsid w:val="123C051C"/>
    <w:rsid w:val="126C6BFE"/>
    <w:rsid w:val="126D4B79"/>
    <w:rsid w:val="129E11D6"/>
    <w:rsid w:val="129E2F84"/>
    <w:rsid w:val="12A85BB1"/>
    <w:rsid w:val="12AF3725"/>
    <w:rsid w:val="12B431C4"/>
    <w:rsid w:val="12B74046"/>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4DA7"/>
    <w:rsid w:val="138E51C3"/>
    <w:rsid w:val="13985C26"/>
    <w:rsid w:val="139E4AA8"/>
    <w:rsid w:val="13A02D2C"/>
    <w:rsid w:val="13C46A1B"/>
    <w:rsid w:val="13C609E5"/>
    <w:rsid w:val="13C95DDF"/>
    <w:rsid w:val="13D50C28"/>
    <w:rsid w:val="13DB3D64"/>
    <w:rsid w:val="13E36D0B"/>
    <w:rsid w:val="13EB044B"/>
    <w:rsid w:val="13EC5F71"/>
    <w:rsid w:val="140E5EE8"/>
    <w:rsid w:val="141C0605"/>
    <w:rsid w:val="14263231"/>
    <w:rsid w:val="14357DB9"/>
    <w:rsid w:val="143C0CA7"/>
    <w:rsid w:val="143C4803"/>
    <w:rsid w:val="144067F4"/>
    <w:rsid w:val="14447B5C"/>
    <w:rsid w:val="14467430"/>
    <w:rsid w:val="146C6853"/>
    <w:rsid w:val="14706BA3"/>
    <w:rsid w:val="14755F67"/>
    <w:rsid w:val="14811BA7"/>
    <w:rsid w:val="14832432"/>
    <w:rsid w:val="14A10B0A"/>
    <w:rsid w:val="14A800EA"/>
    <w:rsid w:val="14AB7BDB"/>
    <w:rsid w:val="14BC1DE8"/>
    <w:rsid w:val="14BC5944"/>
    <w:rsid w:val="14BC76F2"/>
    <w:rsid w:val="14C706B7"/>
    <w:rsid w:val="14D578F3"/>
    <w:rsid w:val="14D7277E"/>
    <w:rsid w:val="1505553D"/>
    <w:rsid w:val="15311E8E"/>
    <w:rsid w:val="1537146E"/>
    <w:rsid w:val="15415E49"/>
    <w:rsid w:val="154D2A40"/>
    <w:rsid w:val="154F02E9"/>
    <w:rsid w:val="155142DE"/>
    <w:rsid w:val="155B50A2"/>
    <w:rsid w:val="1571672E"/>
    <w:rsid w:val="157601E9"/>
    <w:rsid w:val="157E709D"/>
    <w:rsid w:val="15802E15"/>
    <w:rsid w:val="15804BC3"/>
    <w:rsid w:val="158346B4"/>
    <w:rsid w:val="15973CBB"/>
    <w:rsid w:val="15A46B04"/>
    <w:rsid w:val="15A72150"/>
    <w:rsid w:val="15AB60E4"/>
    <w:rsid w:val="15B50D11"/>
    <w:rsid w:val="15B668C0"/>
    <w:rsid w:val="15BE17CA"/>
    <w:rsid w:val="15C01464"/>
    <w:rsid w:val="15D05B4B"/>
    <w:rsid w:val="16047292"/>
    <w:rsid w:val="160A26DF"/>
    <w:rsid w:val="163360DA"/>
    <w:rsid w:val="164C2CF7"/>
    <w:rsid w:val="16612C47"/>
    <w:rsid w:val="16730284"/>
    <w:rsid w:val="16753FFC"/>
    <w:rsid w:val="16851E37"/>
    <w:rsid w:val="168D68A7"/>
    <w:rsid w:val="16922E00"/>
    <w:rsid w:val="169326D4"/>
    <w:rsid w:val="16B5089D"/>
    <w:rsid w:val="16BD51C4"/>
    <w:rsid w:val="16C136E5"/>
    <w:rsid w:val="16C805D0"/>
    <w:rsid w:val="16D276A1"/>
    <w:rsid w:val="16DE1BA1"/>
    <w:rsid w:val="16EB0DF9"/>
    <w:rsid w:val="16F413C5"/>
    <w:rsid w:val="16FB6BF7"/>
    <w:rsid w:val="16FC64CC"/>
    <w:rsid w:val="1700420E"/>
    <w:rsid w:val="17025F34"/>
    <w:rsid w:val="17084E70"/>
    <w:rsid w:val="171001C9"/>
    <w:rsid w:val="17203C32"/>
    <w:rsid w:val="1726179A"/>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D86F39"/>
    <w:rsid w:val="17E23FEB"/>
    <w:rsid w:val="17E56F60"/>
    <w:rsid w:val="17F84EE5"/>
    <w:rsid w:val="17FD24FB"/>
    <w:rsid w:val="18013D26"/>
    <w:rsid w:val="18023FB5"/>
    <w:rsid w:val="18072320"/>
    <w:rsid w:val="181F6915"/>
    <w:rsid w:val="182774AF"/>
    <w:rsid w:val="18397C4D"/>
    <w:rsid w:val="183A54FD"/>
    <w:rsid w:val="18463837"/>
    <w:rsid w:val="184E2D57"/>
    <w:rsid w:val="1853036D"/>
    <w:rsid w:val="18567E5D"/>
    <w:rsid w:val="18736C61"/>
    <w:rsid w:val="18754787"/>
    <w:rsid w:val="188A2F7E"/>
    <w:rsid w:val="18A1732B"/>
    <w:rsid w:val="18A312F5"/>
    <w:rsid w:val="18A8690B"/>
    <w:rsid w:val="18BA03EC"/>
    <w:rsid w:val="18C179CD"/>
    <w:rsid w:val="18CB25F9"/>
    <w:rsid w:val="18D55226"/>
    <w:rsid w:val="18DF60A5"/>
    <w:rsid w:val="18E45469"/>
    <w:rsid w:val="19010DAE"/>
    <w:rsid w:val="19081158"/>
    <w:rsid w:val="19362169"/>
    <w:rsid w:val="194D300E"/>
    <w:rsid w:val="195E346D"/>
    <w:rsid w:val="19605EFE"/>
    <w:rsid w:val="19874772"/>
    <w:rsid w:val="1997531B"/>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5D54D3"/>
    <w:rsid w:val="1A6E76E0"/>
    <w:rsid w:val="1A880677"/>
    <w:rsid w:val="1A8E1B30"/>
    <w:rsid w:val="1A907657"/>
    <w:rsid w:val="1AAC0209"/>
    <w:rsid w:val="1ABF1CEA"/>
    <w:rsid w:val="1ACE0302"/>
    <w:rsid w:val="1AD75285"/>
    <w:rsid w:val="1AF67C98"/>
    <w:rsid w:val="1B1F09DB"/>
    <w:rsid w:val="1B2F50C2"/>
    <w:rsid w:val="1B302BE8"/>
    <w:rsid w:val="1B3A2B6B"/>
    <w:rsid w:val="1B502705"/>
    <w:rsid w:val="1B744BA6"/>
    <w:rsid w:val="1B787D36"/>
    <w:rsid w:val="1B950C9D"/>
    <w:rsid w:val="1BB2184F"/>
    <w:rsid w:val="1BB750B7"/>
    <w:rsid w:val="1BD23C9F"/>
    <w:rsid w:val="1BD25A4D"/>
    <w:rsid w:val="1BE55780"/>
    <w:rsid w:val="1BF754B3"/>
    <w:rsid w:val="1BFC2ACA"/>
    <w:rsid w:val="1C0C71B1"/>
    <w:rsid w:val="1C0F6782"/>
    <w:rsid w:val="1C112A19"/>
    <w:rsid w:val="1C224C26"/>
    <w:rsid w:val="1C281B11"/>
    <w:rsid w:val="1C35495A"/>
    <w:rsid w:val="1C393D1E"/>
    <w:rsid w:val="1C3B7A96"/>
    <w:rsid w:val="1C441B74"/>
    <w:rsid w:val="1C6C5EA1"/>
    <w:rsid w:val="1C6E5776"/>
    <w:rsid w:val="1C7B60E4"/>
    <w:rsid w:val="1C992AC9"/>
    <w:rsid w:val="1C9B22E3"/>
    <w:rsid w:val="1C9E639F"/>
    <w:rsid w:val="1C9F6277"/>
    <w:rsid w:val="1CA05B4B"/>
    <w:rsid w:val="1CAC44F0"/>
    <w:rsid w:val="1CBD04AB"/>
    <w:rsid w:val="1CC41839"/>
    <w:rsid w:val="1CC7132A"/>
    <w:rsid w:val="1CC950A2"/>
    <w:rsid w:val="1CD852E5"/>
    <w:rsid w:val="1CE7377A"/>
    <w:rsid w:val="1CEB14BC"/>
    <w:rsid w:val="1CF66774"/>
    <w:rsid w:val="1CFC7225"/>
    <w:rsid w:val="1CFF2872"/>
    <w:rsid w:val="1D0E353D"/>
    <w:rsid w:val="1D1463AF"/>
    <w:rsid w:val="1D1806F9"/>
    <w:rsid w:val="1D24052A"/>
    <w:rsid w:val="1D28001A"/>
    <w:rsid w:val="1D306ECF"/>
    <w:rsid w:val="1D392227"/>
    <w:rsid w:val="1D3C5874"/>
    <w:rsid w:val="1D3F5364"/>
    <w:rsid w:val="1D464944"/>
    <w:rsid w:val="1D596426"/>
    <w:rsid w:val="1D5976E8"/>
    <w:rsid w:val="1D5F77B4"/>
    <w:rsid w:val="1D62418B"/>
    <w:rsid w:val="1D660B43"/>
    <w:rsid w:val="1D8611E5"/>
    <w:rsid w:val="1D8A2A83"/>
    <w:rsid w:val="1DAB29F9"/>
    <w:rsid w:val="1DB00010"/>
    <w:rsid w:val="1DB7314C"/>
    <w:rsid w:val="1DC046F7"/>
    <w:rsid w:val="1DE026A3"/>
    <w:rsid w:val="1DE101C9"/>
    <w:rsid w:val="1DE32193"/>
    <w:rsid w:val="1DE63A32"/>
    <w:rsid w:val="1DEF0B38"/>
    <w:rsid w:val="1DFC3255"/>
    <w:rsid w:val="1DFE521F"/>
    <w:rsid w:val="1E0345E3"/>
    <w:rsid w:val="1E262080"/>
    <w:rsid w:val="1E42335E"/>
    <w:rsid w:val="1E447858"/>
    <w:rsid w:val="1E4569AA"/>
    <w:rsid w:val="1E4E595E"/>
    <w:rsid w:val="1E544E3F"/>
    <w:rsid w:val="1E62130A"/>
    <w:rsid w:val="1E62755C"/>
    <w:rsid w:val="1E635082"/>
    <w:rsid w:val="1E7E1EBC"/>
    <w:rsid w:val="1E8219AC"/>
    <w:rsid w:val="1E85324A"/>
    <w:rsid w:val="1E917E41"/>
    <w:rsid w:val="1E937715"/>
    <w:rsid w:val="1EA062D6"/>
    <w:rsid w:val="1EA2204E"/>
    <w:rsid w:val="1EB77FDE"/>
    <w:rsid w:val="1EC2624D"/>
    <w:rsid w:val="1ECF44C6"/>
    <w:rsid w:val="1EE12B77"/>
    <w:rsid w:val="1EE837F5"/>
    <w:rsid w:val="1EF503D0"/>
    <w:rsid w:val="1EFC0E50"/>
    <w:rsid w:val="1F0625DD"/>
    <w:rsid w:val="1F06438B"/>
    <w:rsid w:val="1F122D30"/>
    <w:rsid w:val="1F176BD8"/>
    <w:rsid w:val="1F1D3483"/>
    <w:rsid w:val="1F2760B0"/>
    <w:rsid w:val="1F282554"/>
    <w:rsid w:val="1F2D7B6A"/>
    <w:rsid w:val="1F3F164B"/>
    <w:rsid w:val="1F4153C3"/>
    <w:rsid w:val="1F471F94"/>
    <w:rsid w:val="1F494278"/>
    <w:rsid w:val="1F574BE7"/>
    <w:rsid w:val="1F5E41C7"/>
    <w:rsid w:val="1F6966C8"/>
    <w:rsid w:val="1F745799"/>
    <w:rsid w:val="1F9421BE"/>
    <w:rsid w:val="1F9C3EB3"/>
    <w:rsid w:val="1FA12306"/>
    <w:rsid w:val="1FAA740D"/>
    <w:rsid w:val="1FB802C7"/>
    <w:rsid w:val="1FC72A32"/>
    <w:rsid w:val="1FCC16BC"/>
    <w:rsid w:val="1FD224BF"/>
    <w:rsid w:val="1FD61FB0"/>
    <w:rsid w:val="1FDE2C12"/>
    <w:rsid w:val="1FE50445"/>
    <w:rsid w:val="1FFC753C"/>
    <w:rsid w:val="20062169"/>
    <w:rsid w:val="200D799B"/>
    <w:rsid w:val="20315438"/>
    <w:rsid w:val="20452C91"/>
    <w:rsid w:val="204A64FA"/>
    <w:rsid w:val="205253AE"/>
    <w:rsid w:val="20717F2A"/>
    <w:rsid w:val="20825C93"/>
    <w:rsid w:val="209239FD"/>
    <w:rsid w:val="209B4FA7"/>
    <w:rsid w:val="20B56069"/>
    <w:rsid w:val="20C91B14"/>
    <w:rsid w:val="20CA13E8"/>
    <w:rsid w:val="20E64474"/>
    <w:rsid w:val="20F05225"/>
    <w:rsid w:val="21090163"/>
    <w:rsid w:val="210F3084"/>
    <w:rsid w:val="21182154"/>
    <w:rsid w:val="211A10FC"/>
    <w:rsid w:val="211A5ECC"/>
    <w:rsid w:val="213A47C0"/>
    <w:rsid w:val="21442F49"/>
    <w:rsid w:val="21464F13"/>
    <w:rsid w:val="214E5B76"/>
    <w:rsid w:val="215F5FD5"/>
    <w:rsid w:val="217C0935"/>
    <w:rsid w:val="218617B3"/>
    <w:rsid w:val="2188552B"/>
    <w:rsid w:val="219204A8"/>
    <w:rsid w:val="21AD0AEE"/>
    <w:rsid w:val="21B64882"/>
    <w:rsid w:val="21B75E11"/>
    <w:rsid w:val="21BA145D"/>
    <w:rsid w:val="21BC537D"/>
    <w:rsid w:val="21BE2CFB"/>
    <w:rsid w:val="21BF6A73"/>
    <w:rsid w:val="21C10A3D"/>
    <w:rsid w:val="21C81DCC"/>
    <w:rsid w:val="21C916A0"/>
    <w:rsid w:val="21D4251F"/>
    <w:rsid w:val="21D67C01"/>
    <w:rsid w:val="21DC13D3"/>
    <w:rsid w:val="21EF55AB"/>
    <w:rsid w:val="21FB3F4F"/>
    <w:rsid w:val="220821C8"/>
    <w:rsid w:val="22183A83"/>
    <w:rsid w:val="22327245"/>
    <w:rsid w:val="2234120F"/>
    <w:rsid w:val="22405E06"/>
    <w:rsid w:val="22521696"/>
    <w:rsid w:val="22543660"/>
    <w:rsid w:val="226333FC"/>
    <w:rsid w:val="226513C9"/>
    <w:rsid w:val="227427BA"/>
    <w:rsid w:val="22806203"/>
    <w:rsid w:val="22833F45"/>
    <w:rsid w:val="228757E3"/>
    <w:rsid w:val="22A419E0"/>
    <w:rsid w:val="22A85759"/>
    <w:rsid w:val="22B42350"/>
    <w:rsid w:val="22C95DFC"/>
    <w:rsid w:val="22C97BAA"/>
    <w:rsid w:val="22CE3412"/>
    <w:rsid w:val="22DD18A7"/>
    <w:rsid w:val="22EE7610"/>
    <w:rsid w:val="22F15352"/>
    <w:rsid w:val="22F62DE2"/>
    <w:rsid w:val="23143A47"/>
    <w:rsid w:val="23166B67"/>
    <w:rsid w:val="232272BA"/>
    <w:rsid w:val="23241284"/>
    <w:rsid w:val="232B2612"/>
    <w:rsid w:val="23320B92"/>
    <w:rsid w:val="233314C7"/>
    <w:rsid w:val="2335523F"/>
    <w:rsid w:val="23494431"/>
    <w:rsid w:val="235002CB"/>
    <w:rsid w:val="235C3843"/>
    <w:rsid w:val="237076FE"/>
    <w:rsid w:val="237862B5"/>
    <w:rsid w:val="23A128D5"/>
    <w:rsid w:val="23B048C6"/>
    <w:rsid w:val="23B40A5E"/>
    <w:rsid w:val="23B5012E"/>
    <w:rsid w:val="23BD5235"/>
    <w:rsid w:val="23C245F9"/>
    <w:rsid w:val="23CA7E50"/>
    <w:rsid w:val="23CC5CEE"/>
    <w:rsid w:val="23E66539"/>
    <w:rsid w:val="24213A15"/>
    <w:rsid w:val="24264B88"/>
    <w:rsid w:val="242A28CA"/>
    <w:rsid w:val="24373239"/>
    <w:rsid w:val="243D76F2"/>
    <w:rsid w:val="245711E5"/>
    <w:rsid w:val="245E357A"/>
    <w:rsid w:val="246A716A"/>
    <w:rsid w:val="2474515A"/>
    <w:rsid w:val="248024EA"/>
    <w:rsid w:val="24855D52"/>
    <w:rsid w:val="24A86222"/>
    <w:rsid w:val="24AD7057"/>
    <w:rsid w:val="24B35CB0"/>
    <w:rsid w:val="24B77ED6"/>
    <w:rsid w:val="24B959FC"/>
    <w:rsid w:val="24C04FDC"/>
    <w:rsid w:val="24D46CDA"/>
    <w:rsid w:val="24D740D4"/>
    <w:rsid w:val="24DD793C"/>
    <w:rsid w:val="24E94533"/>
    <w:rsid w:val="24FD3B3B"/>
    <w:rsid w:val="250273A3"/>
    <w:rsid w:val="2508705A"/>
    <w:rsid w:val="252E1F46"/>
    <w:rsid w:val="256040C9"/>
    <w:rsid w:val="256A2BF5"/>
    <w:rsid w:val="25714529"/>
    <w:rsid w:val="2584425C"/>
    <w:rsid w:val="2589216E"/>
    <w:rsid w:val="25A17E0A"/>
    <w:rsid w:val="25A26067"/>
    <w:rsid w:val="25BF5294"/>
    <w:rsid w:val="25C24D84"/>
    <w:rsid w:val="25C7239A"/>
    <w:rsid w:val="25D24FC7"/>
    <w:rsid w:val="25E604AD"/>
    <w:rsid w:val="25E84712"/>
    <w:rsid w:val="25E847EB"/>
    <w:rsid w:val="25F018F1"/>
    <w:rsid w:val="25F969F8"/>
    <w:rsid w:val="25FF1B34"/>
    <w:rsid w:val="26062EC3"/>
    <w:rsid w:val="260809E9"/>
    <w:rsid w:val="2613738E"/>
    <w:rsid w:val="26325A66"/>
    <w:rsid w:val="264439EB"/>
    <w:rsid w:val="26451C3D"/>
    <w:rsid w:val="26543C2E"/>
    <w:rsid w:val="265C0D35"/>
    <w:rsid w:val="265C6F87"/>
    <w:rsid w:val="26620685"/>
    <w:rsid w:val="2663549E"/>
    <w:rsid w:val="268564DD"/>
    <w:rsid w:val="26977FBF"/>
    <w:rsid w:val="26AD1590"/>
    <w:rsid w:val="26CC19EC"/>
    <w:rsid w:val="26CD578F"/>
    <w:rsid w:val="26DB60FD"/>
    <w:rsid w:val="26FD2518"/>
    <w:rsid w:val="27003DB6"/>
    <w:rsid w:val="271B299E"/>
    <w:rsid w:val="271B474C"/>
    <w:rsid w:val="271E248E"/>
    <w:rsid w:val="271E5FEA"/>
    <w:rsid w:val="273B4DEE"/>
    <w:rsid w:val="274041B2"/>
    <w:rsid w:val="27473793"/>
    <w:rsid w:val="275D513D"/>
    <w:rsid w:val="276E12DE"/>
    <w:rsid w:val="27713481"/>
    <w:rsid w:val="277F117F"/>
    <w:rsid w:val="277F4CDB"/>
    <w:rsid w:val="278A3680"/>
    <w:rsid w:val="278D4784"/>
    <w:rsid w:val="27AA5AD0"/>
    <w:rsid w:val="27CC7C71"/>
    <w:rsid w:val="27CE5769"/>
    <w:rsid w:val="27DF39CB"/>
    <w:rsid w:val="27F84A8D"/>
    <w:rsid w:val="28053236"/>
    <w:rsid w:val="28292E99"/>
    <w:rsid w:val="282D0BDB"/>
    <w:rsid w:val="283D6944"/>
    <w:rsid w:val="28445F24"/>
    <w:rsid w:val="285162F7"/>
    <w:rsid w:val="28610884"/>
    <w:rsid w:val="28956780"/>
    <w:rsid w:val="28A80261"/>
    <w:rsid w:val="28AC5B67"/>
    <w:rsid w:val="28AD1D1C"/>
    <w:rsid w:val="28DB0637"/>
    <w:rsid w:val="28E55011"/>
    <w:rsid w:val="29064F88"/>
    <w:rsid w:val="29114058"/>
    <w:rsid w:val="29407507"/>
    <w:rsid w:val="294D58D8"/>
    <w:rsid w:val="296F6FD1"/>
    <w:rsid w:val="29735BFC"/>
    <w:rsid w:val="298727C9"/>
    <w:rsid w:val="29B82726"/>
    <w:rsid w:val="29BD1AEA"/>
    <w:rsid w:val="29BD5F8E"/>
    <w:rsid w:val="29BF1D06"/>
    <w:rsid w:val="2A0E2346"/>
    <w:rsid w:val="2A263B34"/>
    <w:rsid w:val="2A356FC9"/>
    <w:rsid w:val="2A4C2E6E"/>
    <w:rsid w:val="2A554419"/>
    <w:rsid w:val="2A573CED"/>
    <w:rsid w:val="2A612DBE"/>
    <w:rsid w:val="2A81520E"/>
    <w:rsid w:val="2A825E7A"/>
    <w:rsid w:val="2A845E7D"/>
    <w:rsid w:val="2A8645D2"/>
    <w:rsid w:val="2A996AF5"/>
    <w:rsid w:val="2AA42CAA"/>
    <w:rsid w:val="2AA902C1"/>
    <w:rsid w:val="2AAD26AE"/>
    <w:rsid w:val="2AC1597E"/>
    <w:rsid w:val="2AC25682"/>
    <w:rsid w:val="2AC27643"/>
    <w:rsid w:val="2AD57308"/>
    <w:rsid w:val="2AE632C3"/>
    <w:rsid w:val="2AF34750"/>
    <w:rsid w:val="2AF459E0"/>
    <w:rsid w:val="2AF61758"/>
    <w:rsid w:val="2AF823EB"/>
    <w:rsid w:val="2AFE23BA"/>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674404"/>
    <w:rsid w:val="2B69017C"/>
    <w:rsid w:val="2B6F32B8"/>
    <w:rsid w:val="2B7B6001"/>
    <w:rsid w:val="2B844FB6"/>
    <w:rsid w:val="2B886128"/>
    <w:rsid w:val="2B8F029F"/>
    <w:rsid w:val="2B915868"/>
    <w:rsid w:val="2B940F71"/>
    <w:rsid w:val="2B9B5E5B"/>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E1120"/>
    <w:rsid w:val="2C5658DF"/>
    <w:rsid w:val="2C695F59"/>
    <w:rsid w:val="2C6B1CD2"/>
    <w:rsid w:val="2C723060"/>
    <w:rsid w:val="2C7D37B3"/>
    <w:rsid w:val="2C842D93"/>
    <w:rsid w:val="2C875551"/>
    <w:rsid w:val="2C931228"/>
    <w:rsid w:val="2C956D4E"/>
    <w:rsid w:val="2CAE7E10"/>
    <w:rsid w:val="2CBD0053"/>
    <w:rsid w:val="2CBE62A5"/>
    <w:rsid w:val="2CC211BA"/>
    <w:rsid w:val="2CC727AB"/>
    <w:rsid w:val="2CD07D87"/>
    <w:rsid w:val="2CD51841"/>
    <w:rsid w:val="2CE37ABA"/>
    <w:rsid w:val="2CE71B53"/>
    <w:rsid w:val="2CE90E48"/>
    <w:rsid w:val="2CEF46B1"/>
    <w:rsid w:val="2CF00429"/>
    <w:rsid w:val="2CF41CC7"/>
    <w:rsid w:val="2D102879"/>
    <w:rsid w:val="2D320A41"/>
    <w:rsid w:val="2D40315E"/>
    <w:rsid w:val="2D46629B"/>
    <w:rsid w:val="2D517119"/>
    <w:rsid w:val="2D67693D"/>
    <w:rsid w:val="2D6D3827"/>
    <w:rsid w:val="2D727090"/>
    <w:rsid w:val="2D80355B"/>
    <w:rsid w:val="2D8172D3"/>
    <w:rsid w:val="2D9E7E85"/>
    <w:rsid w:val="2DA336ED"/>
    <w:rsid w:val="2DA35475"/>
    <w:rsid w:val="2DA52FC1"/>
    <w:rsid w:val="2DA82AB1"/>
    <w:rsid w:val="2DAC07F4"/>
    <w:rsid w:val="2DB33930"/>
    <w:rsid w:val="2DB43204"/>
    <w:rsid w:val="2DB63420"/>
    <w:rsid w:val="2DB66F7C"/>
    <w:rsid w:val="2DB80F46"/>
    <w:rsid w:val="2DBE4083"/>
    <w:rsid w:val="2DCA2A28"/>
    <w:rsid w:val="2DDF2977"/>
    <w:rsid w:val="2DE00249"/>
    <w:rsid w:val="2DF31F7F"/>
    <w:rsid w:val="2DFE0923"/>
    <w:rsid w:val="2E0436E6"/>
    <w:rsid w:val="2E141EF5"/>
    <w:rsid w:val="2E165C6D"/>
    <w:rsid w:val="2E1819E5"/>
    <w:rsid w:val="2E24482E"/>
    <w:rsid w:val="2E262354"/>
    <w:rsid w:val="2E352597"/>
    <w:rsid w:val="2E382087"/>
    <w:rsid w:val="2E4865B6"/>
    <w:rsid w:val="2E4C168F"/>
    <w:rsid w:val="2E67296D"/>
    <w:rsid w:val="2E7A444E"/>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F032695"/>
    <w:rsid w:val="2F0D6B2A"/>
    <w:rsid w:val="2F176141"/>
    <w:rsid w:val="2F2B1BEC"/>
    <w:rsid w:val="2F4A2072"/>
    <w:rsid w:val="2F4B1946"/>
    <w:rsid w:val="2F4D0D5C"/>
    <w:rsid w:val="2F542EF1"/>
    <w:rsid w:val="2F5E78CC"/>
    <w:rsid w:val="2F633134"/>
    <w:rsid w:val="2F725125"/>
    <w:rsid w:val="2F783D71"/>
    <w:rsid w:val="2F882B9B"/>
    <w:rsid w:val="2F9C03F4"/>
    <w:rsid w:val="2FAD43AF"/>
    <w:rsid w:val="2FB7522E"/>
    <w:rsid w:val="2FC64215"/>
    <w:rsid w:val="2FCF4325"/>
    <w:rsid w:val="2FD8767E"/>
    <w:rsid w:val="2FED0C50"/>
    <w:rsid w:val="2FF40230"/>
    <w:rsid w:val="30000983"/>
    <w:rsid w:val="300C7328"/>
    <w:rsid w:val="30154BB1"/>
    <w:rsid w:val="301829BD"/>
    <w:rsid w:val="30185CCC"/>
    <w:rsid w:val="301A5EE8"/>
    <w:rsid w:val="302F1268"/>
    <w:rsid w:val="303341BC"/>
    <w:rsid w:val="3034062C"/>
    <w:rsid w:val="303A20E7"/>
    <w:rsid w:val="303D1BD7"/>
    <w:rsid w:val="304545E8"/>
    <w:rsid w:val="3049057C"/>
    <w:rsid w:val="304F5466"/>
    <w:rsid w:val="305459C9"/>
    <w:rsid w:val="30647164"/>
    <w:rsid w:val="307A6987"/>
    <w:rsid w:val="309A2B85"/>
    <w:rsid w:val="309A4933"/>
    <w:rsid w:val="309B06AC"/>
    <w:rsid w:val="30A532D8"/>
    <w:rsid w:val="30BA3228"/>
    <w:rsid w:val="30D047F9"/>
    <w:rsid w:val="30DC319E"/>
    <w:rsid w:val="30EE4C7F"/>
    <w:rsid w:val="30F1651D"/>
    <w:rsid w:val="30F414F4"/>
    <w:rsid w:val="30FC739C"/>
    <w:rsid w:val="312A215B"/>
    <w:rsid w:val="31321010"/>
    <w:rsid w:val="3135465C"/>
    <w:rsid w:val="3157266D"/>
    <w:rsid w:val="31660CB9"/>
    <w:rsid w:val="316A69FC"/>
    <w:rsid w:val="3185546C"/>
    <w:rsid w:val="3186310A"/>
    <w:rsid w:val="31A33CBC"/>
    <w:rsid w:val="31B71515"/>
    <w:rsid w:val="31BB2DB3"/>
    <w:rsid w:val="31C205E6"/>
    <w:rsid w:val="31C746CA"/>
    <w:rsid w:val="31CA749A"/>
    <w:rsid w:val="31CD0D39"/>
    <w:rsid w:val="31D71BB7"/>
    <w:rsid w:val="31D75713"/>
    <w:rsid w:val="31DC0F7C"/>
    <w:rsid w:val="31DD5420"/>
    <w:rsid w:val="31E3230A"/>
    <w:rsid w:val="31EA3699"/>
    <w:rsid w:val="32024E86"/>
    <w:rsid w:val="32027F33"/>
    <w:rsid w:val="320A3F19"/>
    <w:rsid w:val="320C360F"/>
    <w:rsid w:val="322A7F39"/>
    <w:rsid w:val="32472899"/>
    <w:rsid w:val="32565BFD"/>
    <w:rsid w:val="32650F71"/>
    <w:rsid w:val="326E42CA"/>
    <w:rsid w:val="32877139"/>
    <w:rsid w:val="32892EB1"/>
    <w:rsid w:val="328C0BF4"/>
    <w:rsid w:val="3291620A"/>
    <w:rsid w:val="329A50BF"/>
    <w:rsid w:val="329D755D"/>
    <w:rsid w:val="32B55A55"/>
    <w:rsid w:val="32B67A1F"/>
    <w:rsid w:val="32B75C71"/>
    <w:rsid w:val="32D82BC2"/>
    <w:rsid w:val="32E14A9C"/>
    <w:rsid w:val="32E4633A"/>
    <w:rsid w:val="33042538"/>
    <w:rsid w:val="330864CC"/>
    <w:rsid w:val="33134E71"/>
    <w:rsid w:val="33152997"/>
    <w:rsid w:val="33226E62"/>
    <w:rsid w:val="332826CA"/>
    <w:rsid w:val="33291F9F"/>
    <w:rsid w:val="333C6176"/>
    <w:rsid w:val="33615BDC"/>
    <w:rsid w:val="33661445"/>
    <w:rsid w:val="336C25AC"/>
    <w:rsid w:val="33743B62"/>
    <w:rsid w:val="33775400"/>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40F73E6"/>
    <w:rsid w:val="34117602"/>
    <w:rsid w:val="342D5ABF"/>
    <w:rsid w:val="3434509F"/>
    <w:rsid w:val="343B467F"/>
    <w:rsid w:val="3448483D"/>
    <w:rsid w:val="34586FDF"/>
    <w:rsid w:val="345B087E"/>
    <w:rsid w:val="346C2A8B"/>
    <w:rsid w:val="346E6803"/>
    <w:rsid w:val="34784F8C"/>
    <w:rsid w:val="34821AC9"/>
    <w:rsid w:val="34931DC5"/>
    <w:rsid w:val="349D0E96"/>
    <w:rsid w:val="34B34216"/>
    <w:rsid w:val="34B955A4"/>
    <w:rsid w:val="34D523DE"/>
    <w:rsid w:val="34E95E89"/>
    <w:rsid w:val="34E97C37"/>
    <w:rsid w:val="34EC3BCC"/>
    <w:rsid w:val="350D601C"/>
    <w:rsid w:val="351B1DBB"/>
    <w:rsid w:val="35262C3A"/>
    <w:rsid w:val="35270760"/>
    <w:rsid w:val="3529097C"/>
    <w:rsid w:val="352B0250"/>
    <w:rsid w:val="3538296D"/>
    <w:rsid w:val="35586B6B"/>
    <w:rsid w:val="355F7EFA"/>
    <w:rsid w:val="35614F37"/>
    <w:rsid w:val="356D6BB3"/>
    <w:rsid w:val="35747E49"/>
    <w:rsid w:val="35780FBB"/>
    <w:rsid w:val="35831E3A"/>
    <w:rsid w:val="358A766C"/>
    <w:rsid w:val="358D4A67"/>
    <w:rsid w:val="359032C1"/>
    <w:rsid w:val="359202CF"/>
    <w:rsid w:val="35BC534C"/>
    <w:rsid w:val="35CD7559"/>
    <w:rsid w:val="35F25212"/>
    <w:rsid w:val="36050AA1"/>
    <w:rsid w:val="36054F45"/>
    <w:rsid w:val="361361A2"/>
    <w:rsid w:val="36323860"/>
    <w:rsid w:val="3647730B"/>
    <w:rsid w:val="36653C36"/>
    <w:rsid w:val="36783969"/>
    <w:rsid w:val="368E4F3A"/>
    <w:rsid w:val="369462C9"/>
    <w:rsid w:val="36A02BCE"/>
    <w:rsid w:val="36BD75CE"/>
    <w:rsid w:val="36E763F9"/>
    <w:rsid w:val="36EE3C2B"/>
    <w:rsid w:val="36F25C2E"/>
    <w:rsid w:val="370D7608"/>
    <w:rsid w:val="371A057C"/>
    <w:rsid w:val="37321D6A"/>
    <w:rsid w:val="373B479E"/>
    <w:rsid w:val="373F4487"/>
    <w:rsid w:val="37533A8E"/>
    <w:rsid w:val="375F2433"/>
    <w:rsid w:val="37737C8C"/>
    <w:rsid w:val="3776777C"/>
    <w:rsid w:val="377A101B"/>
    <w:rsid w:val="377E4FAF"/>
    <w:rsid w:val="37906A90"/>
    <w:rsid w:val="379F5E33"/>
    <w:rsid w:val="37A12A17"/>
    <w:rsid w:val="37A12A4B"/>
    <w:rsid w:val="37A4253C"/>
    <w:rsid w:val="37B02C8E"/>
    <w:rsid w:val="37B409D1"/>
    <w:rsid w:val="37C2045E"/>
    <w:rsid w:val="37D2524A"/>
    <w:rsid w:val="37E1109A"/>
    <w:rsid w:val="37E33064"/>
    <w:rsid w:val="37E34E12"/>
    <w:rsid w:val="37E961A0"/>
    <w:rsid w:val="37FE39FA"/>
    <w:rsid w:val="382C4A0B"/>
    <w:rsid w:val="382F62A9"/>
    <w:rsid w:val="38397128"/>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B22A36"/>
    <w:rsid w:val="38B544F0"/>
    <w:rsid w:val="38BD1B07"/>
    <w:rsid w:val="38EA6BBB"/>
    <w:rsid w:val="38EF77E6"/>
    <w:rsid w:val="38F1355F"/>
    <w:rsid w:val="38F17A02"/>
    <w:rsid w:val="38F96756"/>
    <w:rsid w:val="390C0398"/>
    <w:rsid w:val="393500E5"/>
    <w:rsid w:val="39514D45"/>
    <w:rsid w:val="395C1320"/>
    <w:rsid w:val="39602492"/>
    <w:rsid w:val="397877DC"/>
    <w:rsid w:val="39970E48"/>
    <w:rsid w:val="39996ABF"/>
    <w:rsid w:val="39A25A25"/>
    <w:rsid w:val="39A33017"/>
    <w:rsid w:val="39A64349"/>
    <w:rsid w:val="39B747A8"/>
    <w:rsid w:val="39C46EC5"/>
    <w:rsid w:val="39C649EB"/>
    <w:rsid w:val="39C80763"/>
    <w:rsid w:val="39D864CC"/>
    <w:rsid w:val="39DC420F"/>
    <w:rsid w:val="39DE1D35"/>
    <w:rsid w:val="39E3734B"/>
    <w:rsid w:val="39E66E3B"/>
    <w:rsid w:val="39ED58C6"/>
    <w:rsid w:val="39F41558"/>
    <w:rsid w:val="39F72DF7"/>
    <w:rsid w:val="39FF372A"/>
    <w:rsid w:val="39FF7EFD"/>
    <w:rsid w:val="3A0D6176"/>
    <w:rsid w:val="3A12378C"/>
    <w:rsid w:val="3A1C0AAF"/>
    <w:rsid w:val="3A1F234D"/>
    <w:rsid w:val="3A255BB6"/>
    <w:rsid w:val="3A2D4A6A"/>
    <w:rsid w:val="3A414F2A"/>
    <w:rsid w:val="3A4A4239"/>
    <w:rsid w:val="3A5008E2"/>
    <w:rsid w:val="3A5244D1"/>
    <w:rsid w:val="3A5E4C24"/>
    <w:rsid w:val="3A6164C2"/>
    <w:rsid w:val="3A695377"/>
    <w:rsid w:val="3A802DEC"/>
    <w:rsid w:val="3A86417A"/>
    <w:rsid w:val="3A987C2E"/>
    <w:rsid w:val="3AA60379"/>
    <w:rsid w:val="3AA80595"/>
    <w:rsid w:val="3AAB598F"/>
    <w:rsid w:val="3AAF547F"/>
    <w:rsid w:val="3AB42A96"/>
    <w:rsid w:val="3AB74334"/>
    <w:rsid w:val="3AB962FE"/>
    <w:rsid w:val="3ABC7B9C"/>
    <w:rsid w:val="3AC0143A"/>
    <w:rsid w:val="3ACC7DDF"/>
    <w:rsid w:val="3AD60C5E"/>
    <w:rsid w:val="3AD66EB0"/>
    <w:rsid w:val="3ADD589B"/>
    <w:rsid w:val="3AE3337B"/>
    <w:rsid w:val="3AE35129"/>
    <w:rsid w:val="3AF235BE"/>
    <w:rsid w:val="3B084B8F"/>
    <w:rsid w:val="3B0E03F8"/>
    <w:rsid w:val="3B0F1368"/>
    <w:rsid w:val="3B187F55"/>
    <w:rsid w:val="3B1B2B15"/>
    <w:rsid w:val="3B3B389F"/>
    <w:rsid w:val="3B4756B8"/>
    <w:rsid w:val="3B64270E"/>
    <w:rsid w:val="3B9A612F"/>
    <w:rsid w:val="3B9B5A04"/>
    <w:rsid w:val="3BAA5C47"/>
    <w:rsid w:val="3BAE3989"/>
    <w:rsid w:val="3BB05953"/>
    <w:rsid w:val="3BB55D77"/>
    <w:rsid w:val="3BC431AC"/>
    <w:rsid w:val="3BC907C3"/>
    <w:rsid w:val="3BD66A3C"/>
    <w:rsid w:val="3BEE0229"/>
    <w:rsid w:val="3BFF5F92"/>
    <w:rsid w:val="3C1A6612"/>
    <w:rsid w:val="3C3253AD"/>
    <w:rsid w:val="3C4408C2"/>
    <w:rsid w:val="3C495460"/>
    <w:rsid w:val="3C5207B8"/>
    <w:rsid w:val="3C5938F5"/>
    <w:rsid w:val="3C686727"/>
    <w:rsid w:val="3C7249B6"/>
    <w:rsid w:val="3C744382"/>
    <w:rsid w:val="3C756255"/>
    <w:rsid w:val="3C7D1CAB"/>
    <w:rsid w:val="3CA07775"/>
    <w:rsid w:val="3CB52AF5"/>
    <w:rsid w:val="3CD15B81"/>
    <w:rsid w:val="3CD1792F"/>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70D32"/>
    <w:rsid w:val="3DD60F75"/>
    <w:rsid w:val="3DDD0555"/>
    <w:rsid w:val="3DDD2303"/>
    <w:rsid w:val="3DE10046"/>
    <w:rsid w:val="3DF00289"/>
    <w:rsid w:val="3E1201FF"/>
    <w:rsid w:val="3E1C2E2C"/>
    <w:rsid w:val="3E1D4DF6"/>
    <w:rsid w:val="3E1D6BA4"/>
    <w:rsid w:val="3E210442"/>
    <w:rsid w:val="3E23240C"/>
    <w:rsid w:val="3E432AAE"/>
    <w:rsid w:val="3E46023E"/>
    <w:rsid w:val="3E611186"/>
    <w:rsid w:val="3E677EB8"/>
    <w:rsid w:val="3E7E7642"/>
    <w:rsid w:val="3E88226F"/>
    <w:rsid w:val="3E8D3D29"/>
    <w:rsid w:val="3EA20D7D"/>
    <w:rsid w:val="3EA572C5"/>
    <w:rsid w:val="3EB017C6"/>
    <w:rsid w:val="3EB07A18"/>
    <w:rsid w:val="3EB92D70"/>
    <w:rsid w:val="3ED61798"/>
    <w:rsid w:val="3EE37DED"/>
    <w:rsid w:val="3EF773F5"/>
    <w:rsid w:val="3EF9316D"/>
    <w:rsid w:val="3F0062A9"/>
    <w:rsid w:val="3F0A537A"/>
    <w:rsid w:val="3F0A7128"/>
    <w:rsid w:val="3F153D9D"/>
    <w:rsid w:val="3F2D72BA"/>
    <w:rsid w:val="3F4343E8"/>
    <w:rsid w:val="3F444ACE"/>
    <w:rsid w:val="3F4C7741"/>
    <w:rsid w:val="3F620D12"/>
    <w:rsid w:val="3F760C61"/>
    <w:rsid w:val="3F7647BE"/>
    <w:rsid w:val="3F8A0269"/>
    <w:rsid w:val="3FA05CDE"/>
    <w:rsid w:val="3FBD5246"/>
    <w:rsid w:val="3FC221B7"/>
    <w:rsid w:val="3FC27A03"/>
    <w:rsid w:val="3FC96FE3"/>
    <w:rsid w:val="3FCC2A3F"/>
    <w:rsid w:val="3FD030C7"/>
    <w:rsid w:val="3FE61943"/>
    <w:rsid w:val="3FEB6F5A"/>
    <w:rsid w:val="3FEC4A80"/>
    <w:rsid w:val="3FFD4EDF"/>
    <w:rsid w:val="40185875"/>
    <w:rsid w:val="401F4E55"/>
    <w:rsid w:val="40306E12"/>
    <w:rsid w:val="40324B88"/>
    <w:rsid w:val="40356427"/>
    <w:rsid w:val="404623E2"/>
    <w:rsid w:val="405745EF"/>
    <w:rsid w:val="40583EC3"/>
    <w:rsid w:val="405B3CA7"/>
    <w:rsid w:val="405F34A4"/>
    <w:rsid w:val="406C796F"/>
    <w:rsid w:val="406D3E12"/>
    <w:rsid w:val="4084115C"/>
    <w:rsid w:val="409A08EC"/>
    <w:rsid w:val="40A2448B"/>
    <w:rsid w:val="40B03CFF"/>
    <w:rsid w:val="40C96B6F"/>
    <w:rsid w:val="40CB6D8B"/>
    <w:rsid w:val="40D23C76"/>
    <w:rsid w:val="410D4CAE"/>
    <w:rsid w:val="41120516"/>
    <w:rsid w:val="4113345B"/>
    <w:rsid w:val="41135982"/>
    <w:rsid w:val="41175B2C"/>
    <w:rsid w:val="41232723"/>
    <w:rsid w:val="41250249"/>
    <w:rsid w:val="412D70FE"/>
    <w:rsid w:val="41344930"/>
    <w:rsid w:val="414C7ECC"/>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A6360C"/>
    <w:rsid w:val="42B06238"/>
    <w:rsid w:val="42B51AA1"/>
    <w:rsid w:val="42B5384F"/>
    <w:rsid w:val="42B86E9B"/>
    <w:rsid w:val="42BC698B"/>
    <w:rsid w:val="42BF022A"/>
    <w:rsid w:val="42C13FA2"/>
    <w:rsid w:val="42C45840"/>
    <w:rsid w:val="42D24401"/>
    <w:rsid w:val="42D31F27"/>
    <w:rsid w:val="42E12896"/>
    <w:rsid w:val="42EA169B"/>
    <w:rsid w:val="42FC322C"/>
    <w:rsid w:val="42FF419F"/>
    <w:rsid w:val="430F7403"/>
    <w:rsid w:val="43144A19"/>
    <w:rsid w:val="431A7B56"/>
    <w:rsid w:val="43317379"/>
    <w:rsid w:val="43354818"/>
    <w:rsid w:val="434A21E9"/>
    <w:rsid w:val="434F7AA6"/>
    <w:rsid w:val="438A6A89"/>
    <w:rsid w:val="438D657A"/>
    <w:rsid w:val="439416B6"/>
    <w:rsid w:val="439873F8"/>
    <w:rsid w:val="43A55671"/>
    <w:rsid w:val="43C33D49"/>
    <w:rsid w:val="43D9356D"/>
    <w:rsid w:val="43E546CD"/>
    <w:rsid w:val="43F81C45"/>
    <w:rsid w:val="44022AC4"/>
    <w:rsid w:val="440B5E1C"/>
    <w:rsid w:val="44116132"/>
    <w:rsid w:val="441B5933"/>
    <w:rsid w:val="442567B2"/>
    <w:rsid w:val="442E5667"/>
    <w:rsid w:val="443A04B0"/>
    <w:rsid w:val="44453DDE"/>
    <w:rsid w:val="445D5F4C"/>
    <w:rsid w:val="445F6430"/>
    <w:rsid w:val="446E1F07"/>
    <w:rsid w:val="44735770"/>
    <w:rsid w:val="447A4D50"/>
    <w:rsid w:val="447C0AC8"/>
    <w:rsid w:val="447F4114"/>
    <w:rsid w:val="44867251"/>
    <w:rsid w:val="448C5CC4"/>
    <w:rsid w:val="448E4357"/>
    <w:rsid w:val="4493196E"/>
    <w:rsid w:val="449F0313"/>
    <w:rsid w:val="44A83586"/>
    <w:rsid w:val="44AB6CB7"/>
    <w:rsid w:val="44D83825"/>
    <w:rsid w:val="44EC0221"/>
    <w:rsid w:val="44F71EFD"/>
    <w:rsid w:val="4500510E"/>
    <w:rsid w:val="45036AF3"/>
    <w:rsid w:val="450B1E4C"/>
    <w:rsid w:val="4517434D"/>
    <w:rsid w:val="45294080"/>
    <w:rsid w:val="453168C3"/>
    <w:rsid w:val="4545710C"/>
    <w:rsid w:val="45605CF4"/>
    <w:rsid w:val="456D0411"/>
    <w:rsid w:val="457235DD"/>
    <w:rsid w:val="457A7B12"/>
    <w:rsid w:val="458614D2"/>
    <w:rsid w:val="458A0FC3"/>
    <w:rsid w:val="458D0AB3"/>
    <w:rsid w:val="459040FF"/>
    <w:rsid w:val="45905EAD"/>
    <w:rsid w:val="45A81449"/>
    <w:rsid w:val="45B7168C"/>
    <w:rsid w:val="45BB1D3B"/>
    <w:rsid w:val="45C73FC5"/>
    <w:rsid w:val="45CA13BF"/>
    <w:rsid w:val="45CA7611"/>
    <w:rsid w:val="45D3158C"/>
    <w:rsid w:val="45F4468E"/>
    <w:rsid w:val="45F8417E"/>
    <w:rsid w:val="46050649"/>
    <w:rsid w:val="46195EA3"/>
    <w:rsid w:val="4631143E"/>
    <w:rsid w:val="46364CA7"/>
    <w:rsid w:val="46405B25"/>
    <w:rsid w:val="464E0242"/>
    <w:rsid w:val="466C691A"/>
    <w:rsid w:val="46933EA7"/>
    <w:rsid w:val="46AB7443"/>
    <w:rsid w:val="46B34549"/>
    <w:rsid w:val="46B53E1D"/>
    <w:rsid w:val="46C44060"/>
    <w:rsid w:val="46C95B1B"/>
    <w:rsid w:val="46CB3641"/>
    <w:rsid w:val="46CE4EDF"/>
    <w:rsid w:val="46E841F3"/>
    <w:rsid w:val="46F74436"/>
    <w:rsid w:val="46FE3A5D"/>
    <w:rsid w:val="46FF153C"/>
    <w:rsid w:val="471825FE"/>
    <w:rsid w:val="472745EF"/>
    <w:rsid w:val="474358CD"/>
    <w:rsid w:val="476A2E5A"/>
    <w:rsid w:val="47990E08"/>
    <w:rsid w:val="479D0583"/>
    <w:rsid w:val="47A85730"/>
    <w:rsid w:val="47B41ED5"/>
    <w:rsid w:val="47C14A44"/>
    <w:rsid w:val="47D05CB3"/>
    <w:rsid w:val="47D06A35"/>
    <w:rsid w:val="47EA7AF7"/>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C510DF"/>
    <w:rsid w:val="48C60564"/>
    <w:rsid w:val="48CA1A5F"/>
    <w:rsid w:val="48E22EC4"/>
    <w:rsid w:val="49040193"/>
    <w:rsid w:val="49114990"/>
    <w:rsid w:val="492603D9"/>
    <w:rsid w:val="492D05E3"/>
    <w:rsid w:val="49380D36"/>
    <w:rsid w:val="493C6A78"/>
    <w:rsid w:val="495518E8"/>
    <w:rsid w:val="49C600F0"/>
    <w:rsid w:val="49C64593"/>
    <w:rsid w:val="49E1317B"/>
    <w:rsid w:val="49FC29AC"/>
    <w:rsid w:val="4A111CB3"/>
    <w:rsid w:val="4A1778D2"/>
    <w:rsid w:val="4A1B043B"/>
    <w:rsid w:val="4A1B7141"/>
    <w:rsid w:val="4A1C41B3"/>
    <w:rsid w:val="4A1E1CDA"/>
    <w:rsid w:val="4A1E617D"/>
    <w:rsid w:val="4A275032"/>
    <w:rsid w:val="4A38723F"/>
    <w:rsid w:val="4A3C6604"/>
    <w:rsid w:val="4A4C4A99"/>
    <w:rsid w:val="4A565917"/>
    <w:rsid w:val="4A58343D"/>
    <w:rsid w:val="4A590F64"/>
    <w:rsid w:val="4A606796"/>
    <w:rsid w:val="4A6A3171"/>
    <w:rsid w:val="4A7E6C1C"/>
    <w:rsid w:val="4A8F2BD7"/>
    <w:rsid w:val="4A9106FD"/>
    <w:rsid w:val="4A934476"/>
    <w:rsid w:val="4A991081"/>
    <w:rsid w:val="4A995804"/>
    <w:rsid w:val="4A9D70A2"/>
    <w:rsid w:val="4AA448D5"/>
    <w:rsid w:val="4AB10DA0"/>
    <w:rsid w:val="4ABF170F"/>
    <w:rsid w:val="4AC72371"/>
    <w:rsid w:val="4AD66A58"/>
    <w:rsid w:val="4AD8632C"/>
    <w:rsid w:val="4ADA6548"/>
    <w:rsid w:val="4AE64EED"/>
    <w:rsid w:val="4AE81078"/>
    <w:rsid w:val="4AF40C8C"/>
    <w:rsid w:val="4AFB201B"/>
    <w:rsid w:val="4B007631"/>
    <w:rsid w:val="4B296B88"/>
    <w:rsid w:val="4B2B0B52"/>
    <w:rsid w:val="4B3D2633"/>
    <w:rsid w:val="4B3F59B1"/>
    <w:rsid w:val="4B427C4A"/>
    <w:rsid w:val="4B46773A"/>
    <w:rsid w:val="4B4B6AFE"/>
    <w:rsid w:val="4B502367"/>
    <w:rsid w:val="4B62209A"/>
    <w:rsid w:val="4B69167A"/>
    <w:rsid w:val="4B6D2F19"/>
    <w:rsid w:val="4B7C13AE"/>
    <w:rsid w:val="4B7C4922"/>
    <w:rsid w:val="4B810772"/>
    <w:rsid w:val="4B840262"/>
    <w:rsid w:val="4B901993"/>
    <w:rsid w:val="4B991F60"/>
    <w:rsid w:val="4B9A5CD8"/>
    <w:rsid w:val="4BB24DCF"/>
    <w:rsid w:val="4BB5041C"/>
    <w:rsid w:val="4BC36FDC"/>
    <w:rsid w:val="4BD25472"/>
    <w:rsid w:val="4BDD4D4C"/>
    <w:rsid w:val="4BE63830"/>
    <w:rsid w:val="4BF52F0E"/>
    <w:rsid w:val="4BF7130F"/>
    <w:rsid w:val="4C290139"/>
    <w:rsid w:val="4C2C3581"/>
    <w:rsid w:val="4C3457E4"/>
    <w:rsid w:val="4C370E7A"/>
    <w:rsid w:val="4C3752D5"/>
    <w:rsid w:val="4C465518"/>
    <w:rsid w:val="4C51283A"/>
    <w:rsid w:val="4C5145E8"/>
    <w:rsid w:val="4C5916EF"/>
    <w:rsid w:val="4C5D11DF"/>
    <w:rsid w:val="4C7B3413"/>
    <w:rsid w:val="4C7E4CB1"/>
    <w:rsid w:val="4C83051A"/>
    <w:rsid w:val="4C891FD4"/>
    <w:rsid w:val="4C9170DB"/>
    <w:rsid w:val="4CA24E44"/>
    <w:rsid w:val="4CA30BBC"/>
    <w:rsid w:val="4CA961D2"/>
    <w:rsid w:val="4CD46FC7"/>
    <w:rsid w:val="4CE0596C"/>
    <w:rsid w:val="4CE511D4"/>
    <w:rsid w:val="4CF66F3E"/>
    <w:rsid w:val="4D04165B"/>
    <w:rsid w:val="4D0F7FFF"/>
    <w:rsid w:val="4D136243"/>
    <w:rsid w:val="4D1A70D0"/>
    <w:rsid w:val="4D275349"/>
    <w:rsid w:val="4D277999"/>
    <w:rsid w:val="4D371A30"/>
    <w:rsid w:val="4D3D2DBF"/>
    <w:rsid w:val="4D714816"/>
    <w:rsid w:val="4D7D1B31"/>
    <w:rsid w:val="4D7F6F33"/>
    <w:rsid w:val="4D9E1AAF"/>
    <w:rsid w:val="4DBA61BD"/>
    <w:rsid w:val="4DCE1CA3"/>
    <w:rsid w:val="4DF711BF"/>
    <w:rsid w:val="4E067654"/>
    <w:rsid w:val="4E0D09E3"/>
    <w:rsid w:val="4E10402F"/>
    <w:rsid w:val="4E126D7E"/>
    <w:rsid w:val="4E141D71"/>
    <w:rsid w:val="4E143B1F"/>
    <w:rsid w:val="4E184ECF"/>
    <w:rsid w:val="4E1E499E"/>
    <w:rsid w:val="4E246BF6"/>
    <w:rsid w:val="4E61488B"/>
    <w:rsid w:val="4E6974F8"/>
    <w:rsid w:val="4E6F51FA"/>
    <w:rsid w:val="4E742810"/>
    <w:rsid w:val="4E7B3B9E"/>
    <w:rsid w:val="4E830CA5"/>
    <w:rsid w:val="4E8C4141"/>
    <w:rsid w:val="4E8D38D2"/>
    <w:rsid w:val="4E9E788D"/>
    <w:rsid w:val="4EAF55F6"/>
    <w:rsid w:val="4EB96475"/>
    <w:rsid w:val="4ECD1F20"/>
    <w:rsid w:val="4F041DE6"/>
    <w:rsid w:val="4F0A0A7E"/>
    <w:rsid w:val="4F2204BE"/>
    <w:rsid w:val="4F277882"/>
    <w:rsid w:val="4F2953A8"/>
    <w:rsid w:val="4F3E697A"/>
    <w:rsid w:val="4F4F5912"/>
    <w:rsid w:val="4F5543EF"/>
    <w:rsid w:val="4F622668"/>
    <w:rsid w:val="4F872D32"/>
    <w:rsid w:val="4F8B1B72"/>
    <w:rsid w:val="4F8E7901"/>
    <w:rsid w:val="4F9111A0"/>
    <w:rsid w:val="4F960564"/>
    <w:rsid w:val="4FB569B7"/>
    <w:rsid w:val="4FB9432B"/>
    <w:rsid w:val="4FCB6460"/>
    <w:rsid w:val="4FD80B7D"/>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8F0A57"/>
    <w:rsid w:val="50942CF5"/>
    <w:rsid w:val="50A0169A"/>
    <w:rsid w:val="50B43398"/>
    <w:rsid w:val="50C35389"/>
    <w:rsid w:val="50CC248F"/>
    <w:rsid w:val="51087240"/>
    <w:rsid w:val="51142088"/>
    <w:rsid w:val="51234079"/>
    <w:rsid w:val="512A6844"/>
    <w:rsid w:val="51383FC9"/>
    <w:rsid w:val="513C382A"/>
    <w:rsid w:val="513D513B"/>
    <w:rsid w:val="514209A3"/>
    <w:rsid w:val="514566E6"/>
    <w:rsid w:val="51516E38"/>
    <w:rsid w:val="515406D7"/>
    <w:rsid w:val="51581F75"/>
    <w:rsid w:val="51764AF1"/>
    <w:rsid w:val="517843C5"/>
    <w:rsid w:val="51874608"/>
    <w:rsid w:val="51917235"/>
    <w:rsid w:val="519D3E2C"/>
    <w:rsid w:val="519F1952"/>
    <w:rsid w:val="51BA49DE"/>
    <w:rsid w:val="51D07D5D"/>
    <w:rsid w:val="51DF2696"/>
    <w:rsid w:val="51DF4444"/>
    <w:rsid w:val="51E97071"/>
    <w:rsid w:val="51EE4687"/>
    <w:rsid w:val="51F15F26"/>
    <w:rsid w:val="51F53C68"/>
    <w:rsid w:val="51FD48CA"/>
    <w:rsid w:val="520C5608"/>
    <w:rsid w:val="5212481A"/>
    <w:rsid w:val="522B1438"/>
    <w:rsid w:val="522D3402"/>
    <w:rsid w:val="522E0F28"/>
    <w:rsid w:val="52377DDC"/>
    <w:rsid w:val="52383B54"/>
    <w:rsid w:val="523E73BD"/>
    <w:rsid w:val="52412A09"/>
    <w:rsid w:val="5245699D"/>
    <w:rsid w:val="52497B10"/>
    <w:rsid w:val="52500E9E"/>
    <w:rsid w:val="525564B4"/>
    <w:rsid w:val="52635075"/>
    <w:rsid w:val="52750905"/>
    <w:rsid w:val="528079D5"/>
    <w:rsid w:val="528A593B"/>
    <w:rsid w:val="5292492B"/>
    <w:rsid w:val="5294522F"/>
    <w:rsid w:val="529B60BF"/>
    <w:rsid w:val="52AE4858"/>
    <w:rsid w:val="52AF3E17"/>
    <w:rsid w:val="52BE405A"/>
    <w:rsid w:val="52D01FDF"/>
    <w:rsid w:val="52E2243E"/>
    <w:rsid w:val="52E71802"/>
    <w:rsid w:val="52E87329"/>
    <w:rsid w:val="52EF6909"/>
    <w:rsid w:val="52F201A7"/>
    <w:rsid w:val="52F537F4"/>
    <w:rsid w:val="52FD1026"/>
    <w:rsid w:val="530A729F"/>
    <w:rsid w:val="530D444F"/>
    <w:rsid w:val="53116998"/>
    <w:rsid w:val="53145E0C"/>
    <w:rsid w:val="53165C44"/>
    <w:rsid w:val="531820F6"/>
    <w:rsid w:val="531A2310"/>
    <w:rsid w:val="531E132F"/>
    <w:rsid w:val="532D4A8B"/>
    <w:rsid w:val="53346A12"/>
    <w:rsid w:val="53446C55"/>
    <w:rsid w:val="534E5504"/>
    <w:rsid w:val="534F1156"/>
    <w:rsid w:val="5367649F"/>
    <w:rsid w:val="536C5EBC"/>
    <w:rsid w:val="5373753A"/>
    <w:rsid w:val="537B38A5"/>
    <w:rsid w:val="538452A3"/>
    <w:rsid w:val="538C4158"/>
    <w:rsid w:val="538F59F6"/>
    <w:rsid w:val="53933738"/>
    <w:rsid w:val="53964FD7"/>
    <w:rsid w:val="53AC47FA"/>
    <w:rsid w:val="53B37937"/>
    <w:rsid w:val="53B52B82"/>
    <w:rsid w:val="53C733E2"/>
    <w:rsid w:val="53D578AD"/>
    <w:rsid w:val="53E21FCA"/>
    <w:rsid w:val="53E765FA"/>
    <w:rsid w:val="53EA0E7E"/>
    <w:rsid w:val="53FC752F"/>
    <w:rsid w:val="54085ED4"/>
    <w:rsid w:val="540E1011"/>
    <w:rsid w:val="541F4FCC"/>
    <w:rsid w:val="542425E2"/>
    <w:rsid w:val="54370568"/>
    <w:rsid w:val="544B4013"/>
    <w:rsid w:val="548C422E"/>
    <w:rsid w:val="548D0188"/>
    <w:rsid w:val="548F2152"/>
    <w:rsid w:val="54907C78"/>
    <w:rsid w:val="54C6369A"/>
    <w:rsid w:val="54CF69F2"/>
    <w:rsid w:val="54DE6C35"/>
    <w:rsid w:val="54FE2E33"/>
    <w:rsid w:val="550A7A2A"/>
    <w:rsid w:val="55110DB9"/>
    <w:rsid w:val="55144405"/>
    <w:rsid w:val="55214D74"/>
    <w:rsid w:val="55322ADD"/>
    <w:rsid w:val="553C395C"/>
    <w:rsid w:val="5543118E"/>
    <w:rsid w:val="5559450E"/>
    <w:rsid w:val="555B0286"/>
    <w:rsid w:val="555B64D8"/>
    <w:rsid w:val="55621614"/>
    <w:rsid w:val="556F5ADF"/>
    <w:rsid w:val="55713605"/>
    <w:rsid w:val="5572737D"/>
    <w:rsid w:val="55733821"/>
    <w:rsid w:val="557355CF"/>
    <w:rsid w:val="557B4484"/>
    <w:rsid w:val="55833339"/>
    <w:rsid w:val="558A6CA4"/>
    <w:rsid w:val="558F3421"/>
    <w:rsid w:val="559455FC"/>
    <w:rsid w:val="55A559A5"/>
    <w:rsid w:val="55A7171D"/>
    <w:rsid w:val="55AC0AE1"/>
    <w:rsid w:val="55B81234"/>
    <w:rsid w:val="55BB0D24"/>
    <w:rsid w:val="55C41DD4"/>
    <w:rsid w:val="55C73B6D"/>
    <w:rsid w:val="55C9002C"/>
    <w:rsid w:val="55D50038"/>
    <w:rsid w:val="55DE219A"/>
    <w:rsid w:val="55E464CD"/>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C34335"/>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C739B1"/>
    <w:rsid w:val="57CA16F3"/>
    <w:rsid w:val="57CC0FC7"/>
    <w:rsid w:val="57EC3417"/>
    <w:rsid w:val="57FE2D12"/>
    <w:rsid w:val="5805272B"/>
    <w:rsid w:val="580544D9"/>
    <w:rsid w:val="582C7CB7"/>
    <w:rsid w:val="58450D79"/>
    <w:rsid w:val="584E5E80"/>
    <w:rsid w:val="58533496"/>
    <w:rsid w:val="5853793A"/>
    <w:rsid w:val="58647451"/>
    <w:rsid w:val="586E207E"/>
    <w:rsid w:val="58767185"/>
    <w:rsid w:val="587C0C3F"/>
    <w:rsid w:val="587F428B"/>
    <w:rsid w:val="5886386C"/>
    <w:rsid w:val="58913FBE"/>
    <w:rsid w:val="58934A68"/>
    <w:rsid w:val="58977368"/>
    <w:rsid w:val="58B008E9"/>
    <w:rsid w:val="58C854D7"/>
    <w:rsid w:val="58D5034F"/>
    <w:rsid w:val="58DE5456"/>
    <w:rsid w:val="58DF2F7C"/>
    <w:rsid w:val="58E862D4"/>
    <w:rsid w:val="591B0458"/>
    <w:rsid w:val="591F33A5"/>
    <w:rsid w:val="592B4413"/>
    <w:rsid w:val="592F3F03"/>
    <w:rsid w:val="593F3A1A"/>
    <w:rsid w:val="59597EA9"/>
    <w:rsid w:val="595A2602"/>
    <w:rsid w:val="596040BD"/>
    <w:rsid w:val="59682F71"/>
    <w:rsid w:val="597E2795"/>
    <w:rsid w:val="5991071A"/>
    <w:rsid w:val="59B241EC"/>
    <w:rsid w:val="59B61F2F"/>
    <w:rsid w:val="59CF1DE7"/>
    <w:rsid w:val="59CF2FF0"/>
    <w:rsid w:val="59E20F76"/>
    <w:rsid w:val="59ED4EE0"/>
    <w:rsid w:val="59EF5441"/>
    <w:rsid w:val="5A032C9A"/>
    <w:rsid w:val="5A0C0E5D"/>
    <w:rsid w:val="5A1D5B0A"/>
    <w:rsid w:val="5A221372"/>
    <w:rsid w:val="5A2450EA"/>
    <w:rsid w:val="5A2C21F1"/>
    <w:rsid w:val="5A3317D1"/>
    <w:rsid w:val="5A3410A5"/>
    <w:rsid w:val="5A3735DC"/>
    <w:rsid w:val="5A43590B"/>
    <w:rsid w:val="5A494B51"/>
    <w:rsid w:val="5A4C2893"/>
    <w:rsid w:val="5A5534F6"/>
    <w:rsid w:val="5A582FE6"/>
    <w:rsid w:val="5A587827"/>
    <w:rsid w:val="5A5D1DF7"/>
    <w:rsid w:val="5A6C4CE3"/>
    <w:rsid w:val="5A7B0A82"/>
    <w:rsid w:val="5A932D1D"/>
    <w:rsid w:val="5AA517B7"/>
    <w:rsid w:val="5AB20948"/>
    <w:rsid w:val="5AB346C0"/>
    <w:rsid w:val="5AC643F3"/>
    <w:rsid w:val="5AD7215D"/>
    <w:rsid w:val="5AD92379"/>
    <w:rsid w:val="5ADA0B74"/>
    <w:rsid w:val="5AE12FDB"/>
    <w:rsid w:val="5AE40D1D"/>
    <w:rsid w:val="5AF80325"/>
    <w:rsid w:val="5B062A42"/>
    <w:rsid w:val="5B084A0C"/>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C074CC3"/>
    <w:rsid w:val="5C125416"/>
    <w:rsid w:val="5C1949F7"/>
    <w:rsid w:val="5C1967A5"/>
    <w:rsid w:val="5C1B076F"/>
    <w:rsid w:val="5C1E3DBB"/>
    <w:rsid w:val="5C361105"/>
    <w:rsid w:val="5C515F3F"/>
    <w:rsid w:val="5C550BA8"/>
    <w:rsid w:val="5C6C4B26"/>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C6150"/>
    <w:rsid w:val="5CEC5C67"/>
    <w:rsid w:val="5CF05758"/>
    <w:rsid w:val="5CFA49D2"/>
    <w:rsid w:val="5CFF3BED"/>
    <w:rsid w:val="5D0E2082"/>
    <w:rsid w:val="5D105DFA"/>
    <w:rsid w:val="5D131446"/>
    <w:rsid w:val="5D1721CE"/>
    <w:rsid w:val="5D26561D"/>
    <w:rsid w:val="5D355860"/>
    <w:rsid w:val="5D4B0BE0"/>
    <w:rsid w:val="5D4E18AD"/>
    <w:rsid w:val="5D5757D7"/>
    <w:rsid w:val="5D5C2DED"/>
    <w:rsid w:val="5D706898"/>
    <w:rsid w:val="5D83037A"/>
    <w:rsid w:val="5D852344"/>
    <w:rsid w:val="5D964551"/>
    <w:rsid w:val="5D9702C9"/>
    <w:rsid w:val="5D9A2CAA"/>
    <w:rsid w:val="5DBE7604"/>
    <w:rsid w:val="5DCF35BF"/>
    <w:rsid w:val="5DD010E5"/>
    <w:rsid w:val="5DD129AB"/>
    <w:rsid w:val="5DEF5A0F"/>
    <w:rsid w:val="5DFE5C52"/>
    <w:rsid w:val="5E0771FD"/>
    <w:rsid w:val="5E087942"/>
    <w:rsid w:val="5E23390B"/>
    <w:rsid w:val="5E273B5A"/>
    <w:rsid w:val="5E282CCF"/>
    <w:rsid w:val="5E39312E"/>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66BCF"/>
    <w:rsid w:val="5EE25574"/>
    <w:rsid w:val="5F0279C4"/>
    <w:rsid w:val="5F0805D5"/>
    <w:rsid w:val="5F0B4ACB"/>
    <w:rsid w:val="5F1D38C7"/>
    <w:rsid w:val="5F223BC2"/>
    <w:rsid w:val="5F225970"/>
    <w:rsid w:val="5F487ACD"/>
    <w:rsid w:val="5F5244A8"/>
    <w:rsid w:val="5F591D9E"/>
    <w:rsid w:val="5F5D2E4C"/>
    <w:rsid w:val="5F6526F8"/>
    <w:rsid w:val="5F7C32D2"/>
    <w:rsid w:val="5F887EC9"/>
    <w:rsid w:val="5F904FD0"/>
    <w:rsid w:val="5F954394"/>
    <w:rsid w:val="5FB23198"/>
    <w:rsid w:val="5FB24F46"/>
    <w:rsid w:val="5FB707AE"/>
    <w:rsid w:val="5FDA624B"/>
    <w:rsid w:val="5FF53085"/>
    <w:rsid w:val="60274719"/>
    <w:rsid w:val="6028345A"/>
    <w:rsid w:val="602F47E9"/>
    <w:rsid w:val="6037369D"/>
    <w:rsid w:val="603D5158"/>
    <w:rsid w:val="606326E4"/>
    <w:rsid w:val="607062FE"/>
    <w:rsid w:val="609E22A7"/>
    <w:rsid w:val="60A54AAB"/>
    <w:rsid w:val="60A725D1"/>
    <w:rsid w:val="60AA0313"/>
    <w:rsid w:val="60B13450"/>
    <w:rsid w:val="60C05441"/>
    <w:rsid w:val="60C465E3"/>
    <w:rsid w:val="60D62EB6"/>
    <w:rsid w:val="60D86C2E"/>
    <w:rsid w:val="60DF7FBD"/>
    <w:rsid w:val="60E5134B"/>
    <w:rsid w:val="60F5158E"/>
    <w:rsid w:val="61007F33"/>
    <w:rsid w:val="61086E32"/>
    <w:rsid w:val="610B51F0"/>
    <w:rsid w:val="6110461A"/>
    <w:rsid w:val="6118527D"/>
    <w:rsid w:val="611D2893"/>
    <w:rsid w:val="61265BEC"/>
    <w:rsid w:val="6126799A"/>
    <w:rsid w:val="613025C6"/>
    <w:rsid w:val="61363955"/>
    <w:rsid w:val="61377DF9"/>
    <w:rsid w:val="61573FF7"/>
    <w:rsid w:val="615C33BC"/>
    <w:rsid w:val="618D5C6B"/>
    <w:rsid w:val="61AB4343"/>
    <w:rsid w:val="61AD00BB"/>
    <w:rsid w:val="61B72CE8"/>
    <w:rsid w:val="61BA4CBE"/>
    <w:rsid w:val="61BE5E24"/>
    <w:rsid w:val="61C3168D"/>
    <w:rsid w:val="61C64CD9"/>
    <w:rsid w:val="61D455C2"/>
    <w:rsid w:val="61DE2022"/>
    <w:rsid w:val="61E0223F"/>
    <w:rsid w:val="61E82EA1"/>
    <w:rsid w:val="61F47A98"/>
    <w:rsid w:val="61F53810"/>
    <w:rsid w:val="6200468F"/>
    <w:rsid w:val="620677CB"/>
    <w:rsid w:val="620A71B1"/>
    <w:rsid w:val="62285994"/>
    <w:rsid w:val="622F287E"/>
    <w:rsid w:val="62436329"/>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F26C2"/>
    <w:rsid w:val="63035AB9"/>
    <w:rsid w:val="631303F2"/>
    <w:rsid w:val="63247F09"/>
    <w:rsid w:val="632B01B5"/>
    <w:rsid w:val="63312626"/>
    <w:rsid w:val="63400ABB"/>
    <w:rsid w:val="63464323"/>
    <w:rsid w:val="636724EC"/>
    <w:rsid w:val="638B61DA"/>
    <w:rsid w:val="63992CAF"/>
    <w:rsid w:val="639C03E7"/>
    <w:rsid w:val="63AF6516"/>
    <w:rsid w:val="63B079EF"/>
    <w:rsid w:val="63EA73A4"/>
    <w:rsid w:val="640227E8"/>
    <w:rsid w:val="640970FF"/>
    <w:rsid w:val="640D4E41"/>
    <w:rsid w:val="641461CF"/>
    <w:rsid w:val="641C6E32"/>
    <w:rsid w:val="642108EC"/>
    <w:rsid w:val="642F4DB7"/>
    <w:rsid w:val="64340620"/>
    <w:rsid w:val="64414AEB"/>
    <w:rsid w:val="64485E79"/>
    <w:rsid w:val="644B5969"/>
    <w:rsid w:val="644F0FB6"/>
    <w:rsid w:val="6451366A"/>
    <w:rsid w:val="64721148"/>
    <w:rsid w:val="647629E6"/>
    <w:rsid w:val="647D446A"/>
    <w:rsid w:val="64917820"/>
    <w:rsid w:val="64A31828"/>
    <w:rsid w:val="64A82DBC"/>
    <w:rsid w:val="64AC465A"/>
    <w:rsid w:val="64C01EB3"/>
    <w:rsid w:val="64C25C2B"/>
    <w:rsid w:val="64C33752"/>
    <w:rsid w:val="64D37E39"/>
    <w:rsid w:val="64D616D7"/>
    <w:rsid w:val="64DB4F3F"/>
    <w:rsid w:val="64E831B8"/>
    <w:rsid w:val="64F7067B"/>
    <w:rsid w:val="65063DE0"/>
    <w:rsid w:val="650A5824"/>
    <w:rsid w:val="651B358E"/>
    <w:rsid w:val="65206DF6"/>
    <w:rsid w:val="653A7EB8"/>
    <w:rsid w:val="6554084E"/>
    <w:rsid w:val="656C203B"/>
    <w:rsid w:val="657131AE"/>
    <w:rsid w:val="65757142"/>
    <w:rsid w:val="6587477F"/>
    <w:rsid w:val="65AD68DC"/>
    <w:rsid w:val="65B116C2"/>
    <w:rsid w:val="65B36E2C"/>
    <w:rsid w:val="65B512EC"/>
    <w:rsid w:val="65B56D84"/>
    <w:rsid w:val="65D976D1"/>
    <w:rsid w:val="65DE4CE7"/>
    <w:rsid w:val="65E9368C"/>
    <w:rsid w:val="65F067C8"/>
    <w:rsid w:val="65F52FFF"/>
    <w:rsid w:val="65F71905"/>
    <w:rsid w:val="65FC6F1B"/>
    <w:rsid w:val="6609788A"/>
    <w:rsid w:val="661912D6"/>
    <w:rsid w:val="662326FA"/>
    <w:rsid w:val="662A7F2C"/>
    <w:rsid w:val="662B15AE"/>
    <w:rsid w:val="662B5A52"/>
    <w:rsid w:val="664B39FF"/>
    <w:rsid w:val="664E34EF"/>
    <w:rsid w:val="66544FA9"/>
    <w:rsid w:val="665A1E94"/>
    <w:rsid w:val="665B4C91"/>
    <w:rsid w:val="66622FC9"/>
    <w:rsid w:val="666D1BC7"/>
    <w:rsid w:val="666E1FE9"/>
    <w:rsid w:val="66B21CD0"/>
    <w:rsid w:val="66B9305E"/>
    <w:rsid w:val="66C0619B"/>
    <w:rsid w:val="66C51A03"/>
    <w:rsid w:val="66E1177B"/>
    <w:rsid w:val="66E63727"/>
    <w:rsid w:val="66F44096"/>
    <w:rsid w:val="66FE6CC3"/>
    <w:rsid w:val="67002A3B"/>
    <w:rsid w:val="67073DC9"/>
    <w:rsid w:val="6712276E"/>
    <w:rsid w:val="671464E6"/>
    <w:rsid w:val="67185FD7"/>
    <w:rsid w:val="671D031B"/>
    <w:rsid w:val="67346B89"/>
    <w:rsid w:val="674A63AC"/>
    <w:rsid w:val="674C7894"/>
    <w:rsid w:val="674E19F8"/>
    <w:rsid w:val="675114E9"/>
    <w:rsid w:val="6759039D"/>
    <w:rsid w:val="67674868"/>
    <w:rsid w:val="676C1E7F"/>
    <w:rsid w:val="677156E7"/>
    <w:rsid w:val="678216A2"/>
    <w:rsid w:val="678C2521"/>
    <w:rsid w:val="67A96C2F"/>
    <w:rsid w:val="67CE0D8B"/>
    <w:rsid w:val="67D77C40"/>
    <w:rsid w:val="67DA328C"/>
    <w:rsid w:val="67E265E5"/>
    <w:rsid w:val="67E67E83"/>
    <w:rsid w:val="67EC2AFF"/>
    <w:rsid w:val="67FA392E"/>
    <w:rsid w:val="67FD532A"/>
    <w:rsid w:val="68093B71"/>
    <w:rsid w:val="68183DB4"/>
    <w:rsid w:val="682E5386"/>
    <w:rsid w:val="6837248C"/>
    <w:rsid w:val="683B2007"/>
    <w:rsid w:val="684A65AD"/>
    <w:rsid w:val="685272C6"/>
    <w:rsid w:val="685C6397"/>
    <w:rsid w:val="6861575B"/>
    <w:rsid w:val="6873723D"/>
    <w:rsid w:val="687B4116"/>
    <w:rsid w:val="688431F8"/>
    <w:rsid w:val="688B27D8"/>
    <w:rsid w:val="68A45648"/>
    <w:rsid w:val="68B00491"/>
    <w:rsid w:val="68B57855"/>
    <w:rsid w:val="68BE495C"/>
    <w:rsid w:val="68C61FAD"/>
    <w:rsid w:val="68DE0B5A"/>
    <w:rsid w:val="68F62348"/>
    <w:rsid w:val="68F77E6E"/>
    <w:rsid w:val="690019AD"/>
    <w:rsid w:val="690A194F"/>
    <w:rsid w:val="692073C4"/>
    <w:rsid w:val="6949691B"/>
    <w:rsid w:val="69646BD2"/>
    <w:rsid w:val="698739FF"/>
    <w:rsid w:val="698A0CE2"/>
    <w:rsid w:val="698A2A90"/>
    <w:rsid w:val="698C05B6"/>
    <w:rsid w:val="6994390F"/>
    <w:rsid w:val="69AE49D0"/>
    <w:rsid w:val="69B1626F"/>
    <w:rsid w:val="69BA15C7"/>
    <w:rsid w:val="69CE0BCF"/>
    <w:rsid w:val="69DB153D"/>
    <w:rsid w:val="69EE1271"/>
    <w:rsid w:val="69F11CD3"/>
    <w:rsid w:val="69F17296"/>
    <w:rsid w:val="69FB573C"/>
    <w:rsid w:val="6A06480C"/>
    <w:rsid w:val="6A1B7B8C"/>
    <w:rsid w:val="6A1D56B2"/>
    <w:rsid w:val="6A260A0B"/>
    <w:rsid w:val="6A2B5972"/>
    <w:rsid w:val="6A4E7F61"/>
    <w:rsid w:val="6A5135AE"/>
    <w:rsid w:val="6A537326"/>
    <w:rsid w:val="6A5C442C"/>
    <w:rsid w:val="6A7618A7"/>
    <w:rsid w:val="6A794FDE"/>
    <w:rsid w:val="6A7F14DA"/>
    <w:rsid w:val="6A8219B9"/>
    <w:rsid w:val="6A8614A9"/>
    <w:rsid w:val="6A8676FB"/>
    <w:rsid w:val="6A927E4E"/>
    <w:rsid w:val="6A975464"/>
    <w:rsid w:val="6AA10091"/>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9E2823"/>
    <w:rsid w:val="6BB80B1D"/>
    <w:rsid w:val="6BB838E4"/>
    <w:rsid w:val="6BBA3B00"/>
    <w:rsid w:val="6BC56001"/>
    <w:rsid w:val="6BC77FCB"/>
    <w:rsid w:val="6BCA1291"/>
    <w:rsid w:val="6BCF6E80"/>
    <w:rsid w:val="6BD66460"/>
    <w:rsid w:val="6BE97F42"/>
    <w:rsid w:val="6BEC358E"/>
    <w:rsid w:val="6BFB3FB8"/>
    <w:rsid w:val="6C075849"/>
    <w:rsid w:val="6C094140"/>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32CC6"/>
    <w:rsid w:val="6D192AA9"/>
    <w:rsid w:val="6D1E255B"/>
    <w:rsid w:val="6D21370B"/>
    <w:rsid w:val="6D3D380C"/>
    <w:rsid w:val="6D4A2C62"/>
    <w:rsid w:val="6D4E34AE"/>
    <w:rsid w:val="6D4F64CA"/>
    <w:rsid w:val="6D505D9E"/>
    <w:rsid w:val="6D5647EE"/>
    <w:rsid w:val="6D592EA5"/>
    <w:rsid w:val="6D7652DF"/>
    <w:rsid w:val="6D87079E"/>
    <w:rsid w:val="6D8A12B0"/>
    <w:rsid w:val="6D8A7502"/>
    <w:rsid w:val="6D981C1F"/>
    <w:rsid w:val="6DC21E86"/>
    <w:rsid w:val="6DC26C9C"/>
    <w:rsid w:val="6DCC17AC"/>
    <w:rsid w:val="6DD4077E"/>
    <w:rsid w:val="6DD52EA5"/>
    <w:rsid w:val="6DD644F6"/>
    <w:rsid w:val="6DE53D4A"/>
    <w:rsid w:val="6DEA61F3"/>
    <w:rsid w:val="6DF64B98"/>
    <w:rsid w:val="6E084582"/>
    <w:rsid w:val="6E217E67"/>
    <w:rsid w:val="6E301E58"/>
    <w:rsid w:val="6E380D0C"/>
    <w:rsid w:val="6E3942B6"/>
    <w:rsid w:val="6E3A4A84"/>
    <w:rsid w:val="6E531FEA"/>
    <w:rsid w:val="6E5518BE"/>
    <w:rsid w:val="6E5B49FB"/>
    <w:rsid w:val="6E6164B5"/>
    <w:rsid w:val="6E657628"/>
    <w:rsid w:val="6E82467D"/>
    <w:rsid w:val="6E867CCA"/>
    <w:rsid w:val="6E931659"/>
    <w:rsid w:val="6EA44B79"/>
    <w:rsid w:val="6EB26D11"/>
    <w:rsid w:val="6EBF31DC"/>
    <w:rsid w:val="6EE5491F"/>
    <w:rsid w:val="6F1C062E"/>
    <w:rsid w:val="6F1C418A"/>
    <w:rsid w:val="6F1E6154"/>
    <w:rsid w:val="6F2F361A"/>
    <w:rsid w:val="6F3B2025"/>
    <w:rsid w:val="6F3F60CB"/>
    <w:rsid w:val="6F435AD5"/>
    <w:rsid w:val="6F563B40"/>
    <w:rsid w:val="6F59718C"/>
    <w:rsid w:val="6F5F1535"/>
    <w:rsid w:val="6F60051B"/>
    <w:rsid w:val="6F653D83"/>
    <w:rsid w:val="6F6B5112"/>
    <w:rsid w:val="6F7C2E7B"/>
    <w:rsid w:val="6FB24AEE"/>
    <w:rsid w:val="6FB72105"/>
    <w:rsid w:val="6FBB1BF5"/>
    <w:rsid w:val="6FBC16F7"/>
    <w:rsid w:val="6FDD600F"/>
    <w:rsid w:val="6FE70C3C"/>
    <w:rsid w:val="6FF234A6"/>
    <w:rsid w:val="6FF7250C"/>
    <w:rsid w:val="6FFD045F"/>
    <w:rsid w:val="7004359C"/>
    <w:rsid w:val="700C2451"/>
    <w:rsid w:val="70147557"/>
    <w:rsid w:val="7016507D"/>
    <w:rsid w:val="70253512"/>
    <w:rsid w:val="702A28D7"/>
    <w:rsid w:val="702E23C7"/>
    <w:rsid w:val="70455963"/>
    <w:rsid w:val="704E2A69"/>
    <w:rsid w:val="704F7C81"/>
    <w:rsid w:val="705636CC"/>
    <w:rsid w:val="705838E8"/>
    <w:rsid w:val="705B0CE2"/>
    <w:rsid w:val="706109EE"/>
    <w:rsid w:val="706E4EB9"/>
    <w:rsid w:val="707D6EAA"/>
    <w:rsid w:val="707F70C6"/>
    <w:rsid w:val="70810277"/>
    <w:rsid w:val="70812E3F"/>
    <w:rsid w:val="70926DFA"/>
    <w:rsid w:val="70932B72"/>
    <w:rsid w:val="70950698"/>
    <w:rsid w:val="709C1A26"/>
    <w:rsid w:val="70B14DA6"/>
    <w:rsid w:val="70C42D2B"/>
    <w:rsid w:val="70D35634"/>
    <w:rsid w:val="70E84C6C"/>
    <w:rsid w:val="70EE5FFA"/>
    <w:rsid w:val="70F33611"/>
    <w:rsid w:val="71096990"/>
    <w:rsid w:val="710C4B7B"/>
    <w:rsid w:val="71123A97"/>
    <w:rsid w:val="71213CDA"/>
    <w:rsid w:val="71241A1C"/>
    <w:rsid w:val="712F1B12"/>
    <w:rsid w:val="715E0A8A"/>
    <w:rsid w:val="715E4F2E"/>
    <w:rsid w:val="717E737E"/>
    <w:rsid w:val="71844269"/>
    <w:rsid w:val="718A5D23"/>
    <w:rsid w:val="718C1A9B"/>
    <w:rsid w:val="719B7F30"/>
    <w:rsid w:val="71B354E5"/>
    <w:rsid w:val="71B50965"/>
    <w:rsid w:val="71B52674"/>
    <w:rsid w:val="71C034F3"/>
    <w:rsid w:val="71CD79BE"/>
    <w:rsid w:val="71CE4E05"/>
    <w:rsid w:val="71D945B4"/>
    <w:rsid w:val="71EC253A"/>
    <w:rsid w:val="71F72C8D"/>
    <w:rsid w:val="720C2BDC"/>
    <w:rsid w:val="72165809"/>
    <w:rsid w:val="721970A7"/>
    <w:rsid w:val="72203F91"/>
    <w:rsid w:val="722D66AE"/>
    <w:rsid w:val="723313B5"/>
    <w:rsid w:val="72457E9C"/>
    <w:rsid w:val="728704B4"/>
    <w:rsid w:val="729624A5"/>
    <w:rsid w:val="72AE5A41"/>
    <w:rsid w:val="72B656D1"/>
    <w:rsid w:val="72C04D9D"/>
    <w:rsid w:val="72C15774"/>
    <w:rsid w:val="72C60FDD"/>
    <w:rsid w:val="72E17BC5"/>
    <w:rsid w:val="72E41463"/>
    <w:rsid w:val="72FA2A34"/>
    <w:rsid w:val="72FE6518"/>
    <w:rsid w:val="72FF629D"/>
    <w:rsid w:val="73075151"/>
    <w:rsid w:val="73245D03"/>
    <w:rsid w:val="7329331A"/>
    <w:rsid w:val="732B7092"/>
    <w:rsid w:val="73306456"/>
    <w:rsid w:val="73441F01"/>
    <w:rsid w:val="735008A6"/>
    <w:rsid w:val="73505624"/>
    <w:rsid w:val="7366631C"/>
    <w:rsid w:val="73697BBA"/>
    <w:rsid w:val="73716351"/>
    <w:rsid w:val="737E5413"/>
    <w:rsid w:val="73972979"/>
    <w:rsid w:val="73AA26AC"/>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933140"/>
    <w:rsid w:val="749E3893"/>
    <w:rsid w:val="74A215D5"/>
    <w:rsid w:val="74A76BEC"/>
    <w:rsid w:val="74AC5FB0"/>
    <w:rsid w:val="74B07CC7"/>
    <w:rsid w:val="74BF3F35"/>
    <w:rsid w:val="74C23A26"/>
    <w:rsid w:val="74CF3A5A"/>
    <w:rsid w:val="74F160B9"/>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251A6"/>
    <w:rsid w:val="759C4F67"/>
    <w:rsid w:val="75D94B83"/>
    <w:rsid w:val="75E02E70"/>
    <w:rsid w:val="75E672A0"/>
    <w:rsid w:val="75F040DB"/>
    <w:rsid w:val="75F220E9"/>
    <w:rsid w:val="75F6131C"/>
    <w:rsid w:val="75FC4D15"/>
    <w:rsid w:val="76197675"/>
    <w:rsid w:val="761A519B"/>
    <w:rsid w:val="762304F4"/>
    <w:rsid w:val="76257DC8"/>
    <w:rsid w:val="763224E5"/>
    <w:rsid w:val="763B583E"/>
    <w:rsid w:val="764119F8"/>
    <w:rsid w:val="76452218"/>
    <w:rsid w:val="76460D1E"/>
    <w:rsid w:val="76487F5B"/>
    <w:rsid w:val="764C70B2"/>
    <w:rsid w:val="76522B87"/>
    <w:rsid w:val="76546C8E"/>
    <w:rsid w:val="766703E1"/>
    <w:rsid w:val="76766876"/>
    <w:rsid w:val="76790114"/>
    <w:rsid w:val="76992564"/>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0BE"/>
    <w:rsid w:val="772E0EFE"/>
    <w:rsid w:val="77690189"/>
    <w:rsid w:val="776C7C79"/>
    <w:rsid w:val="776E579F"/>
    <w:rsid w:val="7782124A"/>
    <w:rsid w:val="77846D70"/>
    <w:rsid w:val="7798281C"/>
    <w:rsid w:val="77A25449"/>
    <w:rsid w:val="77CD6969"/>
    <w:rsid w:val="77DC095A"/>
    <w:rsid w:val="77EE068E"/>
    <w:rsid w:val="77F27E13"/>
    <w:rsid w:val="78137C4A"/>
    <w:rsid w:val="781C344D"/>
    <w:rsid w:val="782E5248"/>
    <w:rsid w:val="78300CA6"/>
    <w:rsid w:val="783562BD"/>
    <w:rsid w:val="783C589D"/>
    <w:rsid w:val="783E3BE0"/>
    <w:rsid w:val="7840713B"/>
    <w:rsid w:val="784671C6"/>
    <w:rsid w:val="7863107C"/>
    <w:rsid w:val="786A41B8"/>
    <w:rsid w:val="78745037"/>
    <w:rsid w:val="787D3BB9"/>
    <w:rsid w:val="78815082"/>
    <w:rsid w:val="788B1B55"/>
    <w:rsid w:val="78941620"/>
    <w:rsid w:val="789C2C49"/>
    <w:rsid w:val="78A84CE1"/>
    <w:rsid w:val="78AA049C"/>
    <w:rsid w:val="78AA6CAB"/>
    <w:rsid w:val="78B6564F"/>
    <w:rsid w:val="78BB2C66"/>
    <w:rsid w:val="78BC253A"/>
    <w:rsid w:val="78C22246"/>
    <w:rsid w:val="78C31B1A"/>
    <w:rsid w:val="78DD796B"/>
    <w:rsid w:val="78DE0702"/>
    <w:rsid w:val="78E57CE3"/>
    <w:rsid w:val="78F9553C"/>
    <w:rsid w:val="791365FE"/>
    <w:rsid w:val="79224A93"/>
    <w:rsid w:val="792B7DEB"/>
    <w:rsid w:val="794A5D98"/>
    <w:rsid w:val="79584959"/>
    <w:rsid w:val="79690914"/>
    <w:rsid w:val="797057FE"/>
    <w:rsid w:val="7997722F"/>
    <w:rsid w:val="79A74F98"/>
    <w:rsid w:val="79AD33B5"/>
    <w:rsid w:val="79B55907"/>
    <w:rsid w:val="79C43D9C"/>
    <w:rsid w:val="79D42231"/>
    <w:rsid w:val="79D57D57"/>
    <w:rsid w:val="79E47F9A"/>
    <w:rsid w:val="79F301DD"/>
    <w:rsid w:val="79F44681"/>
    <w:rsid w:val="7A081EDB"/>
    <w:rsid w:val="7A1031EC"/>
    <w:rsid w:val="7A150154"/>
    <w:rsid w:val="7A1A1FC7"/>
    <w:rsid w:val="7A1D3C4A"/>
    <w:rsid w:val="7A4A24F3"/>
    <w:rsid w:val="7A4B0019"/>
    <w:rsid w:val="7A5F5873"/>
    <w:rsid w:val="7A6730A5"/>
    <w:rsid w:val="7A6E0921"/>
    <w:rsid w:val="7A813065"/>
    <w:rsid w:val="7A8F43AA"/>
    <w:rsid w:val="7A942531"/>
    <w:rsid w:val="7A965738"/>
    <w:rsid w:val="7A9B2184"/>
    <w:rsid w:val="7AAD65DE"/>
    <w:rsid w:val="7ABE6A3D"/>
    <w:rsid w:val="7AD41DBD"/>
    <w:rsid w:val="7AD46261"/>
    <w:rsid w:val="7AD93877"/>
    <w:rsid w:val="7ADB314B"/>
    <w:rsid w:val="7AE55D78"/>
    <w:rsid w:val="7B095F0A"/>
    <w:rsid w:val="7B1044DA"/>
    <w:rsid w:val="7B1F379B"/>
    <w:rsid w:val="7B2120E1"/>
    <w:rsid w:val="7B2D4C8F"/>
    <w:rsid w:val="7B364826"/>
    <w:rsid w:val="7B3B008E"/>
    <w:rsid w:val="7B452A8D"/>
    <w:rsid w:val="7B5A6766"/>
    <w:rsid w:val="7B5D1DB2"/>
    <w:rsid w:val="7B735A7A"/>
    <w:rsid w:val="7B8E4662"/>
    <w:rsid w:val="7B9A6B62"/>
    <w:rsid w:val="7BAB0D70"/>
    <w:rsid w:val="7BBF0CBF"/>
    <w:rsid w:val="7BC9569A"/>
    <w:rsid w:val="7BCD518A"/>
    <w:rsid w:val="7BD3521E"/>
    <w:rsid w:val="7BF5023D"/>
    <w:rsid w:val="7BFA3AA5"/>
    <w:rsid w:val="7C091F3A"/>
    <w:rsid w:val="7C0E12FE"/>
    <w:rsid w:val="7C18217D"/>
    <w:rsid w:val="7C1A7CA3"/>
    <w:rsid w:val="7C211032"/>
    <w:rsid w:val="7C29438A"/>
    <w:rsid w:val="7C345209"/>
    <w:rsid w:val="7C371353"/>
    <w:rsid w:val="7C3C2310"/>
    <w:rsid w:val="7C482A62"/>
    <w:rsid w:val="7C4E5B9F"/>
    <w:rsid w:val="7C6B49A3"/>
    <w:rsid w:val="7C6E0D01"/>
    <w:rsid w:val="7C6F57E2"/>
    <w:rsid w:val="7C835849"/>
    <w:rsid w:val="7C920181"/>
    <w:rsid w:val="7CA37C99"/>
    <w:rsid w:val="7CA83501"/>
    <w:rsid w:val="7CB93960"/>
    <w:rsid w:val="7CC06A9D"/>
    <w:rsid w:val="7CCD3369"/>
    <w:rsid w:val="7CE34539"/>
    <w:rsid w:val="7CEF7382"/>
    <w:rsid w:val="7CFD1A9F"/>
    <w:rsid w:val="7D056BA5"/>
    <w:rsid w:val="7D0E5A5A"/>
    <w:rsid w:val="7D1D4F36"/>
    <w:rsid w:val="7D4E40A8"/>
    <w:rsid w:val="7D513B99"/>
    <w:rsid w:val="7D5D253D"/>
    <w:rsid w:val="7D690EE2"/>
    <w:rsid w:val="7D6B2EAC"/>
    <w:rsid w:val="7D6F401F"/>
    <w:rsid w:val="7D731D61"/>
    <w:rsid w:val="7D761851"/>
    <w:rsid w:val="7D845D1C"/>
    <w:rsid w:val="7D9677FD"/>
    <w:rsid w:val="7D9817C8"/>
    <w:rsid w:val="7DA57A41"/>
    <w:rsid w:val="7DC12ACC"/>
    <w:rsid w:val="7DC4436B"/>
    <w:rsid w:val="7DC9372F"/>
    <w:rsid w:val="7DCF4867"/>
    <w:rsid w:val="7DD547CA"/>
    <w:rsid w:val="7DD81BC4"/>
    <w:rsid w:val="7DDC7906"/>
    <w:rsid w:val="7DE467BB"/>
    <w:rsid w:val="7DFF35F5"/>
    <w:rsid w:val="7E035F1C"/>
    <w:rsid w:val="7E046E5D"/>
    <w:rsid w:val="7E123328"/>
    <w:rsid w:val="7E152E18"/>
    <w:rsid w:val="7E17093E"/>
    <w:rsid w:val="7E192908"/>
    <w:rsid w:val="7E424293"/>
    <w:rsid w:val="7E543940"/>
    <w:rsid w:val="7E584AB3"/>
    <w:rsid w:val="7E5971A9"/>
    <w:rsid w:val="7E5C45A3"/>
    <w:rsid w:val="7E6214B1"/>
    <w:rsid w:val="7E694F12"/>
    <w:rsid w:val="7E6E42D6"/>
    <w:rsid w:val="7E7E09BD"/>
    <w:rsid w:val="7E7F530E"/>
    <w:rsid w:val="7E843AFA"/>
    <w:rsid w:val="7E9A50CB"/>
    <w:rsid w:val="7E9F26E2"/>
    <w:rsid w:val="7EAA7A04"/>
    <w:rsid w:val="7EB73ECF"/>
    <w:rsid w:val="7EBC6B26"/>
    <w:rsid w:val="7ED405DD"/>
    <w:rsid w:val="7EDC1B88"/>
    <w:rsid w:val="7F01339C"/>
    <w:rsid w:val="7F013C91"/>
    <w:rsid w:val="7F0731C1"/>
    <w:rsid w:val="7F0D1D41"/>
    <w:rsid w:val="7F0F7867"/>
    <w:rsid w:val="7F1629A4"/>
    <w:rsid w:val="7F1C3D32"/>
    <w:rsid w:val="7F2A644F"/>
    <w:rsid w:val="7F3379FA"/>
    <w:rsid w:val="7F5259A6"/>
    <w:rsid w:val="7F673200"/>
    <w:rsid w:val="7F6D458E"/>
    <w:rsid w:val="7F710014"/>
    <w:rsid w:val="7F8A5140"/>
    <w:rsid w:val="7F8F6BFA"/>
    <w:rsid w:val="7F9B734D"/>
    <w:rsid w:val="7FAA7590"/>
    <w:rsid w:val="7FBF303C"/>
    <w:rsid w:val="7FD840FD"/>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6509</Words>
  <Characters>15842</Characters>
  <Lines>0</Lines>
  <Paragraphs>0</Paragraphs>
  <TotalTime>271</TotalTime>
  <ScaleCrop>false</ScaleCrop>
  <LinksUpToDate>false</LinksUpToDate>
  <CharactersWithSpaces>16770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2023-03-09T14:37:57Z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