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基于知识图谱嵌入的阿尔茨海默病药物重定位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摘要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TODO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关键词：</w:t>
      </w:r>
      <w:r>
        <w:rPr>
          <w:rFonts w:hint="eastAsia"/>
          <w:lang w:val="en-US" w:eastAsia="zh-CN"/>
        </w:rPr>
        <w:t>药物重定位；阿尔茨海默病；知识图谱；知识图谱嵌入；知识图谱补全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知识图谱（Knowledge Graph，KG）是一种基于图结构存储知识的数据库，主要用于网页搜索、问答系统、推荐任务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_Ref3069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。知识中的具体事物和抽象概念在 KG 中被表示为实体（entity），实体之间的联系被表示为关系（relation），进而知识被表示成格式为（头实体，关系，尾实体）的三元组。KG是一个由大量的三元组组成的有向图结构，KG中的节点（node）代表上面的实体，边（edge）表示实体间的关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然而，许多KG都非常巨大，如药物再利用知识图谱（Drug Repurposing Knowledge Graph，DRKG）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_Ref21470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含97238个实体和5874261个三元组。如此巨大的KG，直接像关系数据库一样进行检索和多步推理非常耗时，无法达到现代应用的要求。而且知识图谱具有非常严重的长尾现象，有很多实体与其他实体间仅仅具有很少的关系，对于这些长尾实体，往往很难理解其含义，进而影响对其的推理。因此，如何表示KG并进而将其与深度学习联合是一个近些年热门的领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知识图谱嵌入</w:t>
      </w:r>
      <w:r>
        <w:rPr>
          <w:rFonts w:hint="default"/>
          <w:lang w:val="en-US" w:eastAsia="zh-CN"/>
        </w:rPr>
        <w:t xml:space="preserve">（Knowledge Graph Embedding, </w:t>
      </w:r>
      <w:r>
        <w:rPr>
          <w:rFonts w:hint="eastAsia"/>
          <w:lang w:val="en-US" w:eastAsia="zh-CN"/>
        </w:rPr>
        <w:t>KGE</w:t>
      </w:r>
      <w:r>
        <w:rPr>
          <w:rFonts w:hint="default"/>
          <w:lang w:val="en-US" w:eastAsia="zh-CN"/>
        </w:rPr>
        <w:t>）是一种将实体和关系表示成低维稠密向量的技术，在这个向量空间内，语义相似的对象之间的距离很近。在过去几年中，研究人员提出了</w:t>
      </w:r>
      <w:r>
        <w:rPr>
          <w:rFonts w:hint="eastAsia"/>
          <w:lang w:val="en-US" w:eastAsia="zh-CN"/>
        </w:rPr>
        <w:t xml:space="preserve">很多 </w:t>
      </w:r>
      <w:r>
        <w:rPr>
          <w:rFonts w:hint="default"/>
          <w:lang w:val="en-US" w:eastAsia="zh-CN"/>
        </w:rPr>
        <w:t>KGE模型来学习实体和关系嵌入</w:t>
      </w:r>
      <w:r>
        <w:rPr>
          <w:rFonts w:hint="eastAsia"/>
          <w:lang w:val="en-US" w:eastAsia="zh-CN"/>
        </w:rPr>
        <w:t>向量，</w:t>
      </w:r>
      <w:r>
        <w:rPr>
          <w:rFonts w:hint="default"/>
          <w:lang w:val="en-US" w:eastAsia="zh-CN"/>
        </w:rPr>
        <w:t>包括但不限于TransE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_Ref27389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、TransR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_Ref898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[4]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、RESCAL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_Ref7161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[5]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DistMult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_Ref9666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[6]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、ComplEx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_Ref13849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[7]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、RotatE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_Ref15410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[8]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阿尔茨海默病（</w:t>
      </w:r>
      <w:r>
        <w:rPr>
          <w:rFonts w:hint="default" w:ascii="Times New Roman" w:hAnsi="Times New Roman" w:cs="Times New Roman"/>
          <w:lang w:val="en-US" w:eastAsia="zh-CN"/>
        </w:rPr>
        <w:t>Alzheimer’s disease</w:t>
      </w:r>
      <w:r>
        <w:rPr>
          <w:rFonts w:hint="eastAsia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AD</w:t>
      </w:r>
      <w:r>
        <w:rPr>
          <w:rFonts w:hint="eastAsia"/>
          <w:lang w:val="en-US" w:eastAsia="zh-CN"/>
        </w:rPr>
        <w:t>）是一种常见的神经退行性疾病，无法治愈且不可逆转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_Ref30422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[9]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，其特征是伴有神经精神症状的渐进性严重痴呆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_Ref32133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[10]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。中国阿尔茨海默病报告2021 显示我国 60 岁及以上人群中有 983 万例 AD 患者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_Ref1053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，并且另一份研究报告称，我国 AD 患者的 2015 年治疗费用为 1 677.4 亿美元，到2050 年将高达 18871.8 亿美元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_Ref7454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，这充分说明了AD给社会带来了巨大的经济负担。因此，AD 的治疗药物开发迫在眉睫。然而，早在 2015 年，开发一种新药就需要花费26 亿美元和10-12 年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_Ref10703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[13-14]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。药物重定位是指将现有药物的适应症拓宽到其他疾病，从而能大大节省成本并缩短新药开发周期。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最近，研究人员提出了很多利用知识图谱进行药物重定位的方法。Zeng等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_Ref12274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建立了一个1500万个三元组的综合知识图谱，包括药物、基因、疾病、蛋白质、基因4种实体以及它们之间的 39 种关系，然后利用RotatE模型学习实体和关系的表示，进而确定了41种针对 COVID-19 的治疗药物。Zhang等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_Ref16957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提出了一种基于神经网络和文献发现的方法，首先利用PubMed和其他专注COVID-19的研究文献构建了一个生物医学知识图谱，然后利用多种 KGE 模型预测候选药物，并利用发现模式解释了KGE预测的合理性。目前也有研究人员利用KGE研究帕金森病的药物重定位，并取得了不错的效果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_Ref19275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</w:t>
      </w:r>
      <w:r>
        <w:rPr>
          <w:rFonts w:hint="eastAsia"/>
          <w:lang w:val="en-US" w:eastAsia="zh-CN"/>
        </w:rPr>
        <w:t>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_Ref21806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提出了一种基于知识图谱的深度学习方法用于</w:t>
      </w:r>
      <w:r>
        <w:rPr>
          <w:rFonts w:hint="eastAsia"/>
          <w:lang w:val="en-US" w:eastAsia="zh-CN"/>
        </w:rPr>
        <w:t xml:space="preserve"> AD 药物重定位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 xml:space="preserve">首先，利用 </w:t>
      </w:r>
      <w:r>
        <w:rPr>
          <w:rFonts w:hint="default"/>
          <w:lang w:val="en-US" w:eastAsia="zh-CN"/>
        </w:rPr>
        <w:t>DistMult</w:t>
      </w:r>
      <w:r>
        <w:rPr>
          <w:rFonts w:hint="eastAsia"/>
          <w:lang w:val="en-US" w:eastAsia="zh-CN"/>
        </w:rPr>
        <w:t>学习了</w:t>
      </w:r>
      <w:r>
        <w:rPr>
          <w:rFonts w:hint="default"/>
          <w:lang w:val="en-US" w:eastAsia="zh-CN"/>
        </w:rPr>
        <w:t>构建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阳性药物靶点对知识图谱</w:t>
      </w:r>
      <w:r>
        <w:rPr>
          <w:rFonts w:hint="eastAsia"/>
          <w:lang w:val="en-US" w:eastAsia="zh-CN"/>
        </w:rPr>
        <w:t>的实体和关系的嵌入表示，然后利用</w:t>
      </w:r>
      <w:r>
        <w:rPr>
          <w:rFonts w:hint="default"/>
          <w:lang w:val="en-US" w:eastAsia="zh-CN"/>
        </w:rPr>
        <w:t>一个Conv-Conv模块来提取药物-靶点对的特征，</w:t>
      </w:r>
      <w:r>
        <w:rPr>
          <w:rFonts w:hint="eastAsia"/>
          <w:lang w:val="en-US" w:eastAsia="zh-CN"/>
        </w:rPr>
        <w:t>提取到的特征传入到一个全连接网络进行二分类，最终</w:t>
      </w:r>
      <w:r>
        <w:rPr>
          <w:rFonts w:hint="default"/>
          <w:lang w:val="en-US" w:eastAsia="zh-CN"/>
        </w:rPr>
        <w:t>通过载脂蛋白E</w:t>
      </w:r>
      <w:r>
        <w:rPr>
          <w:rFonts w:hint="eastAsia"/>
          <w:lang w:val="en-US" w:eastAsia="zh-CN"/>
        </w:rPr>
        <w:t>作为靶点寻找治疗</w:t>
      </w:r>
      <w:r>
        <w:rPr>
          <w:rFonts w:hint="default"/>
          <w:lang w:val="en-US" w:eastAsia="zh-CN"/>
        </w:rPr>
        <w:t>AD</w:t>
      </w:r>
      <w:r>
        <w:rPr>
          <w:rFonts w:hint="eastAsia"/>
          <w:lang w:val="en-US" w:eastAsia="zh-CN"/>
        </w:rPr>
        <w:t xml:space="preserve"> 的药物</w:t>
      </w:r>
      <w:r>
        <w:rPr>
          <w:rFonts w:hint="default"/>
          <w:lang w:val="en-US" w:eastAsia="zh-CN"/>
        </w:rPr>
        <w:t>。Nian</w:t>
      </w:r>
      <w:r>
        <w:rPr>
          <w:rFonts w:hint="eastAsia"/>
          <w:lang w:val="en-US" w:eastAsia="zh-CN"/>
        </w:rPr>
        <w:t>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_Ref30422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[9]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从文献中构建一个知识图谱，</w:t>
      </w:r>
      <w:r>
        <w:rPr>
          <w:rFonts w:hint="eastAsia"/>
          <w:lang w:val="en-US" w:eastAsia="zh-CN"/>
        </w:rPr>
        <w:t xml:space="preserve">利用 </w:t>
      </w:r>
      <w:r>
        <w:rPr>
          <w:rFonts w:hint="default"/>
          <w:lang w:val="en-US" w:eastAsia="zh-CN"/>
        </w:rPr>
        <w:t>TransE，DistMult和ComplEx</w:t>
      </w:r>
      <w:r>
        <w:rPr>
          <w:rFonts w:hint="eastAsia"/>
          <w:lang w:val="en-US" w:eastAsia="zh-CN"/>
        </w:rPr>
        <w:t xml:space="preserve"> 学习并预测有助于AD治疗或预防的候选物质，</w:t>
      </w:r>
      <w:r>
        <w:rPr>
          <w:rFonts w:hint="default"/>
          <w:lang w:val="en-US" w:eastAsia="zh-CN"/>
        </w:rPr>
        <w:t>以研究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AD与化学</w:t>
      </w:r>
      <w:r>
        <w:rPr>
          <w:rFonts w:hint="eastAsia"/>
          <w:lang w:val="en-US" w:eastAsia="zh-CN"/>
        </w:rPr>
        <w:t>物质，</w:t>
      </w:r>
      <w:r>
        <w:rPr>
          <w:rFonts w:hint="default"/>
          <w:lang w:val="en-US" w:eastAsia="zh-CN"/>
        </w:rPr>
        <w:t>药物和膳食补充剂之间的关系，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确定预防或延缓神经退行性进展的机会。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我们首先利用多种KGE模型（TransE、DistMult、ComplEx和RotatE）在DRKG上学习实体和关系的嵌入向量，通过5种经典的知识图谱嵌入评价指标选择了RotatE模型作为我们最终的药物重定位模型；然后，在整个知识图谱上训练 RotatE 模型，并利用多种嵌入向量分析手段评价我们学习到的嵌入向量的质量；最终，通过链接预测技术找到10种治疗AD的候选药物。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DRKG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_Ref21470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是一个涉及基因、药物、疾病、生物过程、副作用和症状的综合生物知识图谱</w:t>
      </w:r>
      <w:r>
        <w:rPr>
          <w:rFonts w:hint="eastAsia"/>
          <w:lang w:val="en-US" w:eastAsia="zh-CN"/>
        </w:rPr>
        <w:t>，包括来自DrugBank、Hetionet、GNBR、String、IntAct 和 DGIdb 等六个现有数据库的信息，以及从最近发表的 Covid19 出版物中收集的数据。</w:t>
      </w:r>
      <w:r>
        <w:rPr>
          <w:rFonts w:hint="default"/>
          <w:lang w:val="en-US" w:eastAsia="zh-CN"/>
        </w:rPr>
        <w:t>它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属于13种实体类型的97238个实体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以及属于107种关系类型的5874261个三元组</w:t>
      </w:r>
      <w:r>
        <w:rPr>
          <w:rFonts w:hint="eastAsia"/>
          <w:lang w:val="en-US" w:eastAsia="zh-CN"/>
        </w:rPr>
        <w:t>。此外它还提供了一个TransE_l2的预训练KGE模型。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在本小节中，我们首先介绍一些KG和KGE数学符号，这些符号将应用于本研究的其他部分。表1列出了文章后续部分的概念和定义。</w:t>
      </w:r>
    </w:p>
    <w:p>
      <w:pPr>
        <w:pStyle w:val="17"/>
        <w:bidi w:val="0"/>
        <w:rPr>
          <w:rStyle w:val="14"/>
          <w:rFonts w:hint="default"/>
          <w:lang w:val="en-US" w:eastAsia="zh-CN"/>
        </w:rPr>
      </w:pPr>
      <w:r>
        <w:rPr>
          <w:rStyle w:val="14"/>
          <w:rFonts w:hint="eastAsia"/>
          <w:b/>
          <w:bCs/>
          <w:lang w:val="en-US" w:eastAsia="zh-CN"/>
        </w:rPr>
        <w:t xml:space="preserve">Table 1  </w:t>
      </w:r>
      <w:r>
        <w:rPr>
          <w:rStyle w:val="14"/>
          <w:rFonts w:hint="eastAsia"/>
          <w:lang w:val="en-US" w:eastAsia="zh-CN"/>
        </w:rPr>
        <w:t>The Notation and Definition of KG and KGE</w:t>
      </w: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Notation</w:t>
            </w:r>
          </w:p>
        </w:tc>
        <w:tc>
          <w:tcPr>
            <w:tcW w:w="2841" w:type="dxa"/>
            <w:tcBorders>
              <w:top w:val="single" w:color="auto" w:sz="18" w:space="0"/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Knowledge Graph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Δ</w:t>
            </w:r>
          </w:p>
        </w:tc>
        <w:tc>
          <w:tcPr>
            <w:tcW w:w="2841" w:type="dxa"/>
            <w:tcBorders>
              <w:top w:val="single" w:color="auto" w:sz="12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 set of triplets in the form </w:t>
            </w:r>
            <w:r>
              <w:rPr>
                <w:rFonts w:hint="eastAsia"/>
                <w:b/>
                <w:bCs/>
                <w:lang w:val="en-US" w:eastAsia="zh-CN"/>
              </w:rPr>
              <w:t>(h,r,t)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Set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entities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Set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set of relations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 Vectors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h, t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entity vectors for head entity </w:t>
            </w: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lang w:val="en-US" w:eastAsia="zh-CN"/>
              </w:rPr>
              <w:t xml:space="preserve"> and tail entity 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 Vector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vector for relation </w:t>
            </w:r>
            <w:r>
              <w:rPr>
                <w:rFonts w:hint="eastAsia"/>
                <w:b/>
                <w:bCs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Scoring Function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f(h, r, t)</w:t>
            </w:r>
          </w:p>
        </w:tc>
        <w:tc>
          <w:tcPr>
            <w:tcW w:w="2841" w:type="dxa"/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scoring function for the triple </w:t>
            </w:r>
            <w:r>
              <w:rPr>
                <w:rFonts w:hint="eastAsia"/>
                <w:b/>
                <w:bCs/>
                <w:lang w:val="en-US" w:eastAsia="zh-CN"/>
              </w:rPr>
              <w:t>(h, r, t)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18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 Function</w:t>
            </w:r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ascii="Cambria Math" w:hAnsi="Cambria Math"/>
                    <w:lang w:val="en-US"/>
                  </w:rPr>
                  <m:t>ℒ</m:t>
                </m:r>
              </m:oMath>
            </m:oMathPara>
          </w:p>
        </w:tc>
        <w:tc>
          <w:tcPr>
            <w:tcW w:w="2841" w:type="dxa"/>
            <w:tcBorders>
              <w:bottom w:val="single" w:color="auto" w:sz="18" w:space="0"/>
            </w:tcBorders>
            <w:vAlign w:val="center"/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loss function of the model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KG一般被标记为Δ，是一组格式为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(h, r, t)</m:t>
        </m:r>
      </m:oMath>
      <w:r>
        <w:rPr>
          <w:rFonts w:hint="eastAsia"/>
          <w:lang w:val="en-US" w:eastAsia="zh-CN"/>
        </w:rPr>
        <w:t>三元组的集合，其中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h, t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E</m:t>
        </m:r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</m:t>
        </m:r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E</m:t>
        </m:r>
      </m:oMath>
      <w:r>
        <w:rPr>
          <w:rFonts w:hint="eastAsia"/>
          <w:lang w:val="en-US" w:eastAsia="zh-CN"/>
        </w:rPr>
        <w:t>是KG中的实体集合，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</m:t>
        </m:r>
      </m:oMath>
      <w:r>
        <w:rPr>
          <w:rFonts w:hint="eastAsia"/>
          <w:lang w:val="en-US" w:eastAsia="zh-CN"/>
        </w:rPr>
        <w:t>是 KG 中的关系集合。KGE模型旨在将KG建模为低维向量空间。在这个向量空间中，头实体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</m:oMath>
      <w:r>
        <w:rPr>
          <w:rFonts w:hint="eastAsia"/>
          <w:lang w:val="en-US" w:eastAsia="zh-CN"/>
        </w:rPr>
        <w:t>和尾实体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w:rPr>
          <w:rFonts w:hint="eastAsia"/>
          <w:lang w:val="en-US" w:eastAsia="zh-CN"/>
        </w:rPr>
        <w:t>是一个单独的向量，每个关系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r</m:t>
        </m:r>
      </m:oMath>
      <w:r>
        <w:rPr>
          <w:rFonts w:hint="eastAsia"/>
          <w:lang w:val="en-US" w:eastAsia="zh-CN"/>
        </w:rPr>
        <w:t>是头实体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</m:oMath>
      <w:r>
        <w:rPr>
          <w:rFonts w:hint="eastAsia"/>
          <w:lang w:val="en-US" w:eastAsia="zh-CN"/>
        </w:rPr>
        <w:t>和尾实体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w:rPr>
          <w:rFonts w:hint="eastAsia"/>
          <w:lang w:val="en-US" w:eastAsia="zh-CN"/>
        </w:rPr>
        <w:t>间的一个运算操作。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KGE</w:t>
      </w:r>
      <w:r>
        <w:rPr>
          <w:rFonts w:hint="default"/>
          <w:lang w:val="en-US" w:eastAsia="zh-CN"/>
        </w:rPr>
        <w:t>是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通过</w:t>
      </w:r>
      <w:r>
        <w:rPr>
          <w:rFonts w:hint="eastAsia"/>
          <w:lang w:val="en-US" w:eastAsia="zh-CN"/>
        </w:rPr>
        <w:t>概率推断现有KG缺失关系进而补全KG的任务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近几年研究人员已经提出了很多KGE模型，它们都具有一个度量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(h, r, t)</m:t>
        </m:r>
      </m:oMath>
      <w:r>
        <w:rPr>
          <w:rFonts w:hint="eastAsia"/>
          <w:lang w:val="en-US" w:eastAsia="zh-CN"/>
        </w:rPr>
        <w:t>成立的概率的评分函数。表2列出了一些KGE模型的评分函数。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Table 2</w:t>
      </w:r>
      <w:r>
        <w:rPr>
          <w:rFonts w:hint="default"/>
          <w:lang w:val="en-US" w:eastAsia="zh-CN"/>
        </w:rPr>
        <w:t xml:space="preserve">  The brief introduction of some typical KGE models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188"/>
        <w:gridCol w:w="2158"/>
        <w:gridCol w:w="2709"/>
        <w:gridCol w:w="1309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1188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Entity</w:t>
            </w:r>
          </w:p>
        </w:tc>
        <w:tc>
          <w:tcPr>
            <w:tcW w:w="2158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Relation</w:t>
            </w:r>
          </w:p>
        </w:tc>
        <w:tc>
          <w:tcPr>
            <w:tcW w:w="2709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 Function</w:t>
            </w:r>
          </w:p>
        </w:tc>
        <w:tc>
          <w:tcPr>
            <w:tcW w:w="1309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Complexity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</w:t>
            </w:r>
          </w:p>
        </w:tc>
        <w:tc>
          <w:tcPr>
            <w:tcW w:w="118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−||h + r − t||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309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TransR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−||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h + r − </m:t>
                    </m:r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theme="minorBidi"/>
                            <w:b w:val="0"/>
                            <w:i w:val="0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t||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RESCAL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M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微软雅黑" w:hAnsi="微软雅黑" w:eastAsia="微软雅黑" w:cs="微软雅黑"/>
                    <w:lang w:val="en-US" w:eastAsia="zh-CN"/>
                  </w:rPr>
                  <m:t>∈</m:t>
                </m:r>
                <m:sSup>
                  <m:sSupP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微软雅黑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微软雅黑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微软雅黑" w:hAnsi="微软雅黑" w:eastAsia="微软雅黑" w:cs="微软雅黑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eastAsia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en-US"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ℝ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diag(r)t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18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Real(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h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diag(r)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bidi w:val="0"/>
              <w:ind w:firstLine="0" w:firstLineChars="0"/>
              <w:rPr>
                <w:rFonts w:hint="default" w:asciiTheme="minorAscii" w:hAnsiTheme="minorAsci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h, t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</m:oMath>
            </m:oMathPara>
          </w:p>
        </w:tc>
        <w:tc>
          <w:tcPr>
            <w:tcW w:w="2158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/>
                        <w:lang w:val="en-US" w:eastAsia="zh-CN"/>
                      </w:rPr>
                      <m:t xml:space="preserve">r </m:t>
                    </m:r>
                    <m:r>
                      <m:rPr>
                        <m:sty m:val="p"/>
                      </m:rPr>
                      <w:rPr>
                        <w:rFonts w:hint="eastAsia" w:ascii="微软雅黑" w:hAnsi="微软雅黑" w:eastAsia="微软雅黑" w:cs="微软雅黑"/>
                        <w:lang w:val="en-US" w:eastAsia="zh-CN"/>
                      </w:rPr>
                      <m:t>∈</m:t>
                    </m:r>
                    <m:r>
                      <m:rPr>
                        <m:sty m:val="p"/>
                        <m:scr m:val="double-struck"/>
                      </m:rPr>
                      <w:rPr>
                        <w:rFonts w:ascii="Cambria Math" w:hAnsi="Cambria Math" w:cs="微软雅黑"/>
                        <w:lang w:val="en-US"/>
                      </w:rPr>
                      <m:t>ℂ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="微软雅黑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, |</m:t>
                </m:r>
                <m:sSub>
                  <m:sSubP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微软雅黑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微软雅黑"/>
                        <w:i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微软雅黑"/>
                    <w:lang w:val="en-US" w:eastAsia="zh-CN"/>
                  </w:rPr>
                  <m:t>| = 1</m:t>
                </m:r>
              </m:oMath>
            </m:oMathPara>
          </w:p>
        </w:tc>
        <w:tc>
          <w:tcPr>
            <w:tcW w:w="27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||h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4"/>
                        <w:szCs w:val="24"/>
                        <w:lang w:val="en-US" w:bidi="ar-SA"/>
                      </w:rPr>
                      <m:t>∘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 xml:space="preserve"> r − t||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309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Ο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(d)</m:t>
                </m:r>
              </m:oMath>
            </m:oMathPara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TransE是一个具有代表性的平移模型，它假设实体和关系属于同一向量空间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d</m:t>
        </m:r>
      </m:oMath>
      <w:r>
        <w:rPr>
          <w:rFonts w:hint="eastAsia"/>
          <w:lang w:val="en-US" w:eastAsia="zh-CN"/>
        </w:rPr>
        <w:t>是向量空间的维度。关系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r</m:t>
        </m:r>
      </m:oMath>
      <w:r>
        <w:rPr>
          <w:rFonts w:hint="eastAsia"/>
          <w:lang w:val="en-US" w:eastAsia="zh-CN"/>
        </w:rPr>
        <w:t>被建模为实体向量的平移，如果三元组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(h, r, t)</m:t>
        </m:r>
      </m:oMath>
      <w:r>
        <w:rPr>
          <w:rFonts w:hint="eastAsia"/>
          <w:lang w:val="en-US" w:eastAsia="zh-CN"/>
        </w:rPr>
        <w:t>成立，那么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 </m:t>
        </m:r>
        <m:r>
          <m:rPr>
            <m:sty m:val="p"/>
          </m:rPr>
          <w:rPr>
            <w:rFonts w:ascii="Cambria Math" w:hAnsi="Cambria Math"/>
            <w:lang w:val="en-US"/>
          </w:rPr>
          <m:t>≈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t</m:t>
        </m:r>
      </m:oMath>
      <w:r>
        <w:rPr>
          <w:rFonts w:hint="eastAsia"/>
          <w:lang w:val="en-US" w:eastAsia="zh-CN"/>
        </w:rPr>
        <w:t>，即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t</m:t>
        </m:r>
      </m:oMath>
      <w:r>
        <w:rPr>
          <w:rFonts w:hint="eastAsia"/>
          <w:lang w:val="en-US" w:eastAsia="zh-CN"/>
        </w:rPr>
        <w:t>应该是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</m:t>
        </m:r>
      </m:oMath>
      <w:r>
        <w:rPr>
          <w:rFonts w:hint="eastAsia"/>
          <w:lang w:val="en-US" w:eastAsia="zh-CN"/>
        </w:rPr>
        <w:t>最近的实体向量；如果不成立，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r</m:t>
        </m:r>
      </m:oMath>
      <w:r>
        <w:rPr>
          <w:rFonts w:hint="eastAsia"/>
          <w:lang w:val="en-US" w:eastAsia="zh-CN"/>
        </w:rPr>
        <w:t>应该远离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t</m:t>
        </m:r>
      </m:oMath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TransE只能建模1对1的关系类型，TransR通过从实体向量空间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h, t ∈</m:t>
            </m:r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分离出关系的向量空间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r ∈</m:t>
            </m:r>
            <m:r>
              <m:rPr>
                <m:sty m:val="p"/>
                <m:scr m:val="double-struck"/>
              </m:rPr>
              <w:rPr>
                <w:rFonts w:ascii="Cambria Math" w:hAnsi="Cambria Math" w:eastAsia="MS Mincho"/>
                <w:lang w:val="en-US"/>
              </w:rPr>
              <m:t>ℝ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来解决这个问题。TransR通过学习一个关系投影矩阵</w:t>
      </w:r>
      <m:oMath>
        <m:sSub>
          <m:sSubPr>
            <m:ctrlPr>
              <w:rPr>
                <w:rFonts w:hint="default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lang w:val="en-US" w:eastAsia="zh-CN"/>
          </w:rPr>
          <m:t>∈</m:t>
        </m:r>
        <m:sSup>
          <m:sSupPr>
            <m:ctrlPr>
              <w:rPr>
                <w:rFonts w:hint="eastAsia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p>
        </m:sSup>
      </m:oMath>
      <w:r>
        <w:rPr>
          <w:rFonts w:hint="eastAsia"/>
          <w:lang w:val="en-US" w:eastAsia="zh-CN"/>
        </w:rPr>
        <w:t>将实体投影到不同的关系向量空间，进而捕获了不同关系的差异。然而TransR为了获得更强的表示能力，也将复杂度从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w:rPr>
          <w:rFonts w:hint="eastAsia"/>
          <w:lang w:val="en-US" w:eastAsia="zh-CN"/>
        </w:rPr>
        <w:t>提升为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/>
          <w:lang w:val="en-US" w:eastAsia="zh-CN"/>
        </w:rPr>
        <w:t>，导致训练时间急剧增加，因此我们并没有采取TransR作为药物重定位的候选模型。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default" w:hAnsi="Cambria Math"/>
          <w:b w:val="0"/>
          <w:i w:val="0"/>
          <w:lang w:val="en-US" w:eastAsia="zh-CN"/>
        </w:rPr>
        <w:t>RESCAL是一个双线性模型，</w:t>
      </w:r>
      <w:r>
        <w:rPr>
          <w:rFonts w:hint="eastAsia" w:hAnsi="Cambria Math"/>
          <w:b w:val="0"/>
          <w:i w:val="0"/>
          <w:lang w:val="en-US" w:eastAsia="zh-CN"/>
        </w:rPr>
        <w:t>它为每一种</w:t>
      </w:r>
      <w:r>
        <w:rPr>
          <w:rFonts w:hint="default" w:hAnsi="Cambria Math"/>
          <w:b w:val="0"/>
          <w:i w:val="0"/>
          <w:lang w:val="en-US" w:eastAsia="zh-CN"/>
        </w:rPr>
        <w:t>关系</w:t>
      </w:r>
      <w:r>
        <w:rPr>
          <w:rFonts w:hint="eastAsia" w:hAnsi="Cambria Math"/>
          <w:b w:val="0"/>
          <w:i w:val="0"/>
          <w:lang w:val="en-US" w:eastAsia="zh-CN"/>
        </w:rPr>
        <w:t>提供了一个</w:t>
      </w:r>
      <w:r>
        <w:rPr>
          <w:rFonts w:hint="default" w:hAnsi="Cambria Math"/>
          <w:b w:val="0"/>
          <w:i w:val="0"/>
          <w:lang w:val="en-US" w:eastAsia="zh-CN"/>
        </w:rPr>
        <w:t>矩阵</w:t>
      </w:r>
      <w:r>
        <w:rPr>
          <w:rFonts w:hint="eastAsia" w:hAnsi="Cambria Math"/>
          <w:b w:val="0"/>
          <w:i w:val="0"/>
          <w:lang w:val="en-US" w:eastAsia="zh-CN"/>
        </w:rPr>
        <w:t>来建模</w:t>
      </w:r>
      <w:r>
        <w:rPr>
          <w:rFonts w:hint="default" w:hAnsi="Cambria Math"/>
          <w:b w:val="0"/>
          <w:i w:val="0"/>
          <w:lang w:val="en-US" w:eastAsia="zh-CN"/>
        </w:rPr>
        <w:t>实体之间的交互</w:t>
      </w:r>
      <w:r>
        <w:rPr>
          <w:rFonts w:hint="eastAsia" w:hAnsi="Cambria Math"/>
          <w:b w:val="0"/>
          <w:i w:val="0"/>
          <w:lang w:val="en-US" w:eastAsia="zh-CN"/>
        </w:rPr>
        <w:t>进而捕获KG的潜在语义</w:t>
      </w:r>
      <w:r>
        <w:rPr>
          <w:rFonts w:hint="default" w:hAnsi="Cambria Math"/>
          <w:b w:val="0"/>
          <w:i w:val="0"/>
          <w:lang w:val="en-US" w:eastAsia="zh-CN"/>
        </w:rPr>
        <w:t>。</w:t>
      </w:r>
      <w:r>
        <w:rPr>
          <w:rFonts w:hint="eastAsia" w:hAnsi="Cambria Math"/>
          <w:b w:val="0"/>
          <w:i w:val="0"/>
          <w:lang w:val="en-US" w:eastAsia="zh-CN"/>
        </w:rPr>
        <w:t>该模型也像TransR一样，复杂度为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</m:t>
        </m:r>
        <m:sSup>
          <m:sSupP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b w:val="0"/>
                <w:i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en-US" w:eastAsia="zh-CN"/>
          </w:rPr>
          <m:t>)</m:t>
        </m:r>
      </m:oMath>
      <w:r>
        <w:rPr>
          <w:rFonts w:hint="eastAsia" w:hAnsi="Cambria Math"/>
          <w:b w:val="0"/>
          <w:i w:val="0"/>
          <w:lang w:val="en-US" w:eastAsia="zh-CN"/>
        </w:rPr>
        <w:t>，这也是它的扩展模型主要改进的方向，我们也没有使用它作为药物重定位的候选模型。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DistMult通过将</w:t>
      </w:r>
      <m:oMath>
        <m:sSub>
          <m:sSub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M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微软雅黑"/>
                <w:lang w:val="en-US" w:eastAsia="zh-CN"/>
              </w:rPr>
              <m:t>r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b>
        </m:sSub>
      </m:oMath>
      <w:r>
        <w:rPr>
          <w:rFonts w:hint="eastAsia" w:hAnsi="Cambria Math" w:cs="微软雅黑"/>
          <w:i w:val="0"/>
          <w:lang w:val="en-US" w:eastAsia="zh-CN"/>
        </w:rPr>
        <w:t>换成对角方阵简化了RESCAL模型，使得复杂度变成了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(d)</m:t>
        </m:r>
      </m:oMath>
      <w:r>
        <w:rPr>
          <w:rFonts w:hint="eastAsia" w:hAnsi="Cambria Math"/>
          <w:b w:val="0"/>
          <w:i w:val="0"/>
          <w:lang w:val="en-US" w:eastAsia="zh-CN"/>
        </w:rPr>
        <w:t>，但是该模型的表现能力相较于RESCAL模型也大大减弱，无法达到理想的结果。</w:t>
      </w:r>
    </w:p>
    <w:p>
      <w:pPr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由于DistMult使用的是对角方阵，因此仅仅能捕获对称关系。为了捕获反对称关系，ComplEx将向量空间从实数域扩展到复数域，极大的提升了模型的表现能力。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 xml:space="preserve">受到TransE和欧拉恒等式的启发，RotatE将头实体和尾实体映射到复数向量空间，即 </w:t>
      </w:r>
      <m:oMath>
        <m:sSup>
          <m:sSupPr>
            <m:ctrlPr>
              <w:rPr>
                <w:rFonts w:ascii="Cambria Math" w:hAnsi="Cambria Math" w:cs="微软雅黑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/>
                <w:lang w:val="en-US" w:eastAsia="zh-CN"/>
              </w:rPr>
              <m:t xml:space="preserve">h, t </m:t>
            </m:r>
            <m:r>
              <m:rPr>
                <m:sty m:val="p"/>
              </m:rPr>
              <w:rPr>
                <w:rFonts w:hint="eastAsia" w:ascii="微软雅黑" w:hAnsi="微软雅黑" w:eastAsia="微软雅黑" w:cs="微软雅黑"/>
                <w:lang w:val="en-US" w:eastAsia="zh-CN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微软雅黑"/>
                <w:lang w:val="en-US"/>
              </w:rPr>
              <m:t>ℂ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d</m:t>
            </m:r>
            <m:ctrlPr>
              <w:rPr>
                <w:rFonts w:ascii="Cambria Math" w:hAnsi="Cambria Math" w:cs="微软雅黑"/>
                <w:i/>
                <w:lang w:val="en-US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>，将关系建模为从头部实体</w:t>
      </w:r>
      <m:oMath>
        <m:r>
          <m:rPr>
            <m:sty m:val="p"/>
          </m:rPr>
          <w:rPr>
            <w:rFonts w:hint="eastAsia"/>
            <w:lang w:val="en-US" w:eastAsia="zh-CN"/>
          </w:rPr>
          <m:t>h</m:t>
        </m:r>
      </m:oMath>
      <w:r>
        <w:rPr>
          <w:rFonts w:hint="eastAsia" w:hAnsi="Cambria Math" w:cs="微软雅黑"/>
          <w:i w:val="0"/>
          <w:lang w:val="en-US" w:eastAsia="zh-CN"/>
        </w:rPr>
        <w:t>到尾实体</w:t>
      </w:r>
      <m:oMath>
        <m:r>
          <m:rPr>
            <m:sty m:val="p"/>
          </m:rPr>
          <w:rPr>
            <w:rFonts w:hint="eastAsia"/>
            <w:lang w:val="en-US" w:eastAsia="zh-CN"/>
          </w:rPr>
          <m:t xml:space="preserve"> t</m:t>
        </m:r>
      </m:oMath>
      <w:r>
        <w:rPr>
          <w:rFonts w:hint="eastAsia" w:hAnsi="Cambria Math" w:cs="微软雅黑"/>
          <w:i w:val="0"/>
          <w:lang w:val="en-US" w:eastAsia="zh-CN"/>
        </w:rPr>
        <w:t>的旋转。RotatE模型能够捕获对称、反对称、反转和组成四种类型关系，因此它最大限度的表示出KG的语义和结构信息。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 w:hAnsi="Cambria Math" w:cs="微软雅黑"/>
          <w:i w:val="0"/>
          <w:lang w:val="en-US" w:eastAsia="zh-CN"/>
        </w:rPr>
        <w:t>在后续的实验中，我们都是使用最大间隔方法训练模型，这将最小化正确三元组的排名，损失函数如下：</w:t>
      </w:r>
    </w:p>
    <w:p>
      <w:pPr>
        <w:rPr>
          <w:rFonts w:hint="default" w:hAnsi="Cambria Math" w:cs="微软雅黑"/>
          <w:i w:val="0"/>
          <w:lang w:val="en-US" w:eastAsia="zh-CN"/>
        </w:rPr>
      </w:pPr>
      <m:oMathPara>
        <m:oMath>
          <m:r>
            <m:rPr>
              <m:sty m:val="p"/>
              <m:scr m:val="script"/>
            </m:rPr>
            <w:rPr>
              <w:rFonts w:ascii="Cambria Math" w:hAnsi="Cambria Math" w:cs="微软雅黑"/>
              <w:lang w:val="en-US"/>
            </w:rPr>
            <m:t>ℒ</m:t>
          </m:r>
          <m:r>
            <m:rPr>
              <m:sty m:val="p"/>
            </m:rPr>
            <w:rPr>
              <w:rFonts w:hint="default" w:ascii="Cambria Math" w:hAnsi="Cambria Math" w:cs="微软雅黑"/>
              <w:lang w:val="en-US" w:eastAsia="zh-CN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(ℎ, r, t) </m:t>
              </m:r>
              <m:r>
                <m:rPr/>
                <w:rPr>
                  <w:rFonts w:ascii="Cambria Math" w:hAnsi="Cambria Math" w:cs="微软雅黑"/>
                  <w:lang w:val="en-US"/>
                </w:rPr>
                <m:t>∈</m:t>
              </m:r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 xml:space="preserve"> T</m:t>
              </m:r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)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∈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−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max(0, </m:t>
                  </m:r>
                  <m:r>
                    <m:rPr/>
                    <w:rPr>
                      <w:rFonts w:ascii="Cambria Math" w:hAnsi="Cambria Math" w:cs="微软雅黑"/>
                      <w:lang w:val="en-US"/>
                    </w:rPr>
                    <m:t>γ</m:t>
                  </m:r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 − f(ℎ, r, t) + f(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 xml:space="preserve">, r, </m:t>
                  </m:r>
                  <m:sSup>
                    <m:sSupP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微软雅黑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微软雅黑"/>
                          <w:i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微软雅黑"/>
                      <w:lang w:val="en-US" w:eastAsia="zh-CN"/>
                    </w:rPr>
                    <m:t>))</m:t>
                  </m:r>
                  <m:ctrlPr>
                    <w:rPr>
                      <w:rFonts w:ascii="Cambria Math" w:hAnsi="Cambria Math" w:cs="微软雅黑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e>
          </m:nary>
        </m:oMath>
      </m:oMathPara>
    </w:p>
    <w:p>
      <w:pPr>
        <w:bidi w:val="0"/>
        <w:rPr>
          <w:rFonts w:hint="eastAsia" w:hAnsi="Cambria Math" w:cs="微软雅黑"/>
          <w:i w:val="0"/>
          <w:lang w:val="en-US" w:eastAsia="zh-CN"/>
        </w:rPr>
      </w:pPr>
      <w:r>
        <w:rPr>
          <w:rFonts w:hint="eastAsia"/>
          <w:lang w:val="en-US" w:eastAsia="zh-CN"/>
        </w:rPr>
        <w:t>其中，</w:t>
      </w:r>
      <m:oMath>
        <m:r>
          <m:rPr/>
          <w:rPr>
            <w:rFonts w:hint="default" w:ascii="Cambria Math" w:hAnsi="Cambria Math" w:cs="微软雅黑"/>
            <w:lang w:val="en-US" w:eastAsia="zh-CN"/>
          </w:rPr>
          <m:t xml:space="preserve"> </m:t>
        </m:r>
        <m:r>
          <m:rPr/>
          <w:rPr>
            <w:rFonts w:ascii="Cambria Math" w:hAnsi="Cambria Math" w:cs="微软雅黑"/>
            <w:lang w:val="en-US"/>
          </w:rPr>
          <m:t>γ</m:t>
        </m:r>
        <m:r>
          <m:rPr/>
          <w:rPr>
            <w:rFonts w:hint="default" w:ascii="Cambria Math" w:hAnsi="Cambria Math" w:cs="微软雅黑"/>
            <w:lang w:val="en-US" w:eastAsia="zh-CN"/>
          </w:rPr>
          <m:t>&gt;0</m:t>
        </m:r>
      </m:oMath>
      <w:r>
        <w:rPr>
          <w:rFonts w:hint="eastAsia" w:hAnsi="Cambria Math" w:cs="微软雅黑"/>
          <w:i w:val="0"/>
          <w:lang w:val="en-US" w:eastAsia="zh-CN"/>
        </w:rPr>
        <w:t>是正负例三元组得分的间隔距离。</w:t>
      </w:r>
      <m:oMath>
        <m:r>
          <m:rPr/>
          <w:rPr>
            <w:rFonts w:hint="default" w:ascii="Cambria Math" w:hAnsi="Cambria Math" w:cs="微软雅黑"/>
            <w:lang w:val="en-US" w:eastAsia="zh-CN"/>
          </w:rPr>
          <m:t>T</m:t>
        </m:r>
      </m:oMath>
      <w:r>
        <w:rPr>
          <w:rFonts w:hint="eastAsia" w:hAnsi="Cambria Math" w:cs="微软雅黑"/>
          <w:i w:val="0"/>
          <w:lang w:val="en-US" w:eastAsia="zh-CN"/>
        </w:rPr>
        <w:t>是正例三元组集合，</w:t>
      </w:r>
      <m:oMath>
        <m:sSup>
          <m:sSupP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微软雅黑"/>
                <w:lang w:val="en-US" w:eastAsia="zh-CN"/>
              </w:rPr>
              <m:t>T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微软雅黑"/>
                <w:lang w:val="en-US" w:eastAsia="zh-CN"/>
              </w:rPr>
              <m:t>−</m:t>
            </m:r>
            <m:ctrlPr>
              <w:rPr>
                <w:rFonts w:hint="default" w:ascii="Cambria Math" w:hAnsi="Cambria Math" w:cs="微软雅黑"/>
                <w:i/>
                <w:lang w:val="en-US" w:eastAsia="zh-CN"/>
              </w:rPr>
            </m:ctrlPr>
          </m:sup>
        </m:sSup>
      </m:oMath>
      <w:r>
        <w:rPr>
          <w:rFonts w:hint="eastAsia" w:hAnsi="Cambria Math" w:cs="微软雅黑"/>
          <w:i w:val="0"/>
          <w:lang w:val="en-US" w:eastAsia="zh-CN"/>
        </w:rPr>
        <w:t>是负三元组的集合，它是通过破坏原有三元组中的实体和关系得到的：</w:t>
      </w:r>
    </w:p>
    <w:p>
      <w:pPr>
        <w:bidi w:val="0"/>
        <w:rPr>
          <w:rFonts w:hint="default" w:hAnsi="Cambria Math" w:eastAsia="宋体" w:cs="微软雅黑"/>
          <w:i w:val="0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>T</m:t>
              </m:r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微软雅黑"/>
                  <w:lang w:val="en-US" w:eastAsia="zh-CN"/>
                </w:rPr>
                <m:t>−</m:t>
              </m:r>
              <m:ctrlPr>
                <w:rPr>
                  <w:rFonts w:ascii="Cambria Math" w:hAnsi="Cambria Math" w:cs="微软雅黑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微软雅黑"/>
              <w:lang w:val="en-US" w:eastAsia="zh-CN"/>
            </w:rPr>
            <m:t xml:space="preserve"> = E </m:t>
          </m:r>
          <m:r>
            <m:rPr/>
            <w:rPr>
              <w:rFonts w:ascii="Cambria Math" w:hAnsi="Cambria Math" w:cs="微软雅黑"/>
              <w:lang w:val="en-US"/>
            </w:rPr>
            <m:t>×</m:t>
          </m:r>
          <m:r>
            <m:rPr/>
            <w:rPr>
              <w:rFonts w:hint="default" w:ascii="Cambria Math" w:hAnsi="Cambria Math" w:cs="微软雅黑"/>
              <w:lang w:val="en-US" w:eastAsia="zh-CN"/>
            </w:rPr>
            <m:t xml:space="preserve"> R </m:t>
          </m:r>
          <m:r>
            <m:rPr/>
            <w:rPr>
              <w:rFonts w:ascii="Cambria Math" w:hAnsi="Cambria Math" w:cs="微软雅黑"/>
              <w:lang w:val="en-US"/>
            </w:rPr>
            <m:t>×</m:t>
          </m:r>
          <m:r>
            <m:rPr/>
            <w:rPr>
              <w:rFonts w:hint="default" w:ascii="Cambria Math" w:hAnsi="Cambria Math" w:cs="微软雅黑"/>
              <w:lang w:val="en-US" w:eastAsia="zh-CN"/>
            </w:rPr>
            <m:t xml:space="preserve"> E − </m:t>
          </m:r>
          <w:bookmarkStart w:id="34" w:name="_GoBack"/>
          <w:bookmarkEnd w:id="34"/>
          <m:r>
            <m:rPr/>
            <w:rPr>
              <w:rFonts w:hint="default" w:ascii="Cambria Math" w:hAnsi="Cambria Math" w:cs="微软雅黑"/>
              <w:lang w:val="en-US" w:eastAsia="zh-CN"/>
            </w:rPr>
            <m:t>T</m:t>
          </m:r>
        </m:oMath>
      </m:oMathPara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评估指标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KGE 模型可以通过链接预测技术预测 KG 中缺失的三元组，即给定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(h, r, ?)</m:t>
        </m:r>
      </m:oMath>
      <w:r>
        <w:rPr>
          <w:rFonts w:hint="eastAsia"/>
          <w:lang w:val="en-US" w:eastAsia="zh-CN"/>
        </w:rPr>
        <w:t xml:space="preserve"> 预测缺失的尾实体 t，或者给定 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(?, r, t)</m:t>
        </m:r>
      </m:oMath>
      <w:r>
        <w:rPr>
          <w:rFonts w:hint="eastAsia"/>
          <w:lang w:val="en-US" w:eastAsia="zh-CN"/>
        </w:rPr>
        <w:t xml:space="preserve"> 预测缺失的头实体 h。我们可以通过链接预测给出测试集中三元组的排名。为了评估 KGE 模型的性能，我们使用三种经典指标：平均倒数排名（mean reciprocal rank，MRR），平均排名（mean rank，MR）和 Hits@N（N = 1，3，10）。MRR和Hits@N 都是越高越好，MR越低越好。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如果我们用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rank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rank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分别表示预测缺失头实体和尾实体的排名，D表示需要评估的三元组集合，那么 MR 被表示为</w:t>
      </w:r>
    </w:p>
    <w:p>
      <w:pPr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 = 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MRR 被计算为</w:t>
      </w:r>
    </w:p>
    <w:p>
      <w:pPr>
        <w:bidi w:val="0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MRR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subSup"/>
              <m:supHide m:val="1"/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h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 xml:space="preserve"> + 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rank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 w:hAnsi="Cambria Math" w:cstheme="minorBidi"/>
          <w:i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Hits@N 被计算为</w:t>
      </w:r>
    </w:p>
    <w:p>
      <w:pPr>
        <w:bidi w:val="0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H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i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ts@N = 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2|D|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(h, r, t)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I[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h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N] + I[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rank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≤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N]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其中如果条件为真，</w:t>
      </w: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>I[∗]</m:t>
        </m:r>
      </m:oMath>
      <w:r>
        <w:rPr>
          <w:rFonts w:hint="eastAsia"/>
          <w:lang w:val="en-US" w:eastAsia="zh-CN"/>
        </w:rPr>
        <w:t xml:space="preserve"> 等于 1，否则等于0。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 DRKG 的三元组按照 90%、5%、5% 的比例划分为训练集、验证机和测试集，分别为5286834个，293713个和293714个。</w:t>
      </w:r>
    </w:p>
    <w:p>
      <w:pPr>
        <w:rPr>
          <w:rFonts w:hint="eastAsia" w:hAnsi="Cambria Math" w:cs="微软雅黑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我们综合上面5个指标在验证集上利用网格搜索所有模型的超参数（TransE_l1、TransE_l2、DistMult、ComplEx和RotatE），所有模型的训练批次大小（batch_size）和负采样大小（neg_sample_size）分别固定为4096和256，学习率lr从{0.01, 0.05, 0.1}中选择；由于RotatE 模型实体维度是超参数嵌入维度（hidden_dim）的2倍，因此将其嵌入维度固定为200，其他模型从{200,400}中选择；TransE_l1、TransE_l2和RotatE的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从{6,12,18}中选择，DistMult、ComplEx的</w:t>
      </w:r>
      <w:r>
        <w:rPr>
          <w:rFonts w:hint="eastAsia"/>
          <w:lang w:val="en-US" w:eastAsia="zh-CN"/>
        </w:rPr>
        <w:t xml:space="preserve"> </w:t>
      </w:r>
      <m:oMath>
        <m:r>
          <m:rPr/>
          <w:rPr>
            <w:rFonts w:ascii="Cambria Math" w:hAnsi="Cambria Math" w:cs="微软雅黑"/>
            <w:lang w:val="en-US"/>
          </w:rPr>
          <m:t>γ</m:t>
        </m:r>
      </m:oMath>
      <w:r>
        <w:rPr>
          <w:rFonts w:hint="eastAsia" w:hAnsi="Cambria Math" w:cs="微软雅黑"/>
          <w:i w:val="0"/>
          <w:lang w:val="en-US" w:eastAsia="zh-CN"/>
        </w:rPr>
        <w:t xml:space="preserve"> 从{50,125,200}中选择。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药物重定位任务中，为预测AD的治疗药物，选择全部DRKG中的AD实体作为头实体（Disease::DOID:10652，Disease::MESH:C536599，Disease::MESH:D000544），选择DRKG中的治疗作为链接预测的关系（DRUGBANK::treats::Compound:Disease，GNBR::T::Compound:Disease，Hetionet::CtD::Compound:Disease），将所有的Drugbank中FDA批准的药物作为候选药物（分子量&gt;250），通过链接预测缺失尾实体的方法选择评分前50的药物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KGE 模型的对比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3 和Table 4 显示KGE模型的最优超参数和对应测试集的结果。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3</w:t>
      </w:r>
      <w:r>
        <w:rPr>
          <w:rFonts w:hint="eastAsia"/>
          <w:lang w:val="en-US" w:eastAsia="zh-CN"/>
        </w:rPr>
        <w:t xml:space="preserve">  KGE 模型的最优超参数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92"/>
        <w:gridCol w:w="1666"/>
        <w:gridCol w:w="1404"/>
        <w:gridCol w:w="1331"/>
        <w:gridCol w:w="1345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batch_size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neg_sample_size</w:t>
            </w: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hidden_dim</w:t>
            </w: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γ</m:t>
                </m:r>
              </m:oMath>
            </m:oMathPara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lr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pStyle w:val="18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0.05</w:t>
            </w:r>
          </w:p>
        </w:tc>
      </w:tr>
    </w:tbl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 4</w:t>
      </w:r>
      <w:r>
        <w:rPr>
          <w:rFonts w:hint="eastAsia"/>
          <w:lang w:val="en-US" w:eastAsia="zh-CN"/>
        </w:rPr>
        <w:t xml:space="preserve">  KGE 模型测试集结果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MR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HITS@1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HITS@3</w:t>
            </w:r>
          </w:p>
        </w:tc>
        <w:tc>
          <w:tcPr>
            <w:tcW w:w="1421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HITS@10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TransE_l1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0.530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62.64</w:t>
            </w:r>
          </w:p>
        </w:tc>
        <w:tc>
          <w:tcPr>
            <w:tcW w:w="142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0.412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0.606</w:t>
            </w:r>
          </w:p>
        </w:tc>
        <w:tc>
          <w:tcPr>
            <w:tcW w:w="142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0.740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TransE_l2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0.437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60.83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0.302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DistMult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0.484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105.55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0.401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0.643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0.621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112.74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0.537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0.673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0.768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0.614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63.51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0.515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0.681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0.780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其中粗体表示最优得分，下划线表示次优得分。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DistMult 模型受限于只能建模对称关系，因此各项指标都没有最优和次优结果。TransE 模型的 MR 指标达到了最优结果，但是受限于只能建模一对一的关系，无法在其他指标上达到理想的水平。但是对于MR 指标RotatE 模型和ComplEx呈现出截然不同的结果，RotaE 模型接近于TransE模型取得的最优结果，但是ComplEx模型取得了最差结果，这可能是因为RotaE相较于ComplEx多捕获了</w:t>
      </w:r>
      <w:r>
        <w:rPr>
          <w:rFonts w:hint="eastAsia" w:hAnsi="Cambria Math" w:cs="微软雅黑"/>
          <w:i w:val="0"/>
          <w:lang w:val="en-US" w:eastAsia="zh-CN"/>
        </w:rPr>
        <w:t>反转和组成两类关系</w:t>
      </w:r>
      <w:r>
        <w:rPr>
          <w:rFonts w:hint="eastAsia"/>
          <w:lang w:val="en-US" w:eastAsia="zh-CN"/>
        </w:rPr>
        <w:t>。对于MRR和Hits@N，RotatE和ComplEx 模型各取得了2次最优和次优结果，且最优和次优结果也非常接近，充分说明将嵌入向量空间由实数域转换到复数域的必要性。考虑到MR结果，我们最终选择RotatE作为我们最终的药物重定位模型。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我们重新在整个DRKG上训练了RotatE模型，超参数是Table 4中的超参数。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模型的嵌入分析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我们采用t-SNE 将关系嵌入向量降维和可视化处理。由于实体的数量众多，且RotatE实体维度是400，直接利用t-SNE降维和可视化处理会引入很多噪声，因此我们首先使用PCA将其降维到30，然后再利用t-SNE将其将降维到2D空间并可视化处理。我们还使用余弦距离计算关系嵌入向量间的相似度，并输出了最相似的10对关系和相似度得分分布的直方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图1是关系的2维可视化图，可以发现关系广泛的分布在2D的空间中，即便来自相同数据集的关系都没有聚集，可以返现RotatE模型学习到了各个关系间的差异，这对于我们后面的药物重定位是很有意义的。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6775" cy="2828925"/>
            <wp:effectExtent l="0" t="0" r="9525" b="9525"/>
            <wp:docPr id="1" name="图片 1" descr="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lation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关系嵌入的2维空间图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图2是关系间余弦相似度得分的分布图，可以发现绝大多数关系都有很小的相似度。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3286125"/>
            <wp:effectExtent l="0" t="0" r="0" b="9525"/>
            <wp:docPr id="2" name="图片 2" descr="relation-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tion-si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关系间余弦相似度得分的分布图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展示关系间相似度最高的10对关系，可以发现相似得分非常的低，而且我们选择的三种治疗关系并不在其中，即RotatE模型能够很好的将治疗关系和其他类型的关系区分开，这对于我们的药物重定位非常重要。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5 关系间余弦相似度得分最高的10组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1"/>
        <w:gridCol w:w="3555"/>
        <w:gridCol w:w="1496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1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Relation type 2</w:t>
            </w:r>
          </w:p>
        </w:tc>
        <w:tc>
          <w:tcPr>
            <w:tcW w:w="2841" w:type="dxa"/>
            <w:tcBorders>
              <w:bottom w:val="single" w:color="auto" w:sz="12" w:space="0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Cosine score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Hetionet::DaG::Disease:Gene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0.23346853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DRUGBANK::x-atc::Compound:Atc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0.23311995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GNBR::L::Gene:Disease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0.22690767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DGIDB::BLOCKER::Gene:Compound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GNBR::J::Gene:Disease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0.2268842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DGIDB::AGONIST::Gene:Compound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INTACT::ASSOCIATION::Compound:Gene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0.22258793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DRUGBANK::enzyme::Compound:Gene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GNBR::Ud::Gene:Disease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0.21916792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Hetionet::DpS::Disease:Symptom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Hetionet::CbG::Compound:Gene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0.21718228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GNBR::N::Compound:Gene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Hetionet::GcG::Gene:Gene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0.21505778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GNBR::W::Gene:Gene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Hetionet::CdG::Compound:Gene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0.21384156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GNBR::Z::Compound:Gene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GNBR::in_tax::Gene:Tax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bidi w:val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0.21150547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是实体嵌入的2维空间图，不同的颜色表示不同的实体类型，可以相同的实体正如我们期望的那样聚集到一起。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77820"/>
            <wp:effectExtent l="0" t="0" r="7620" b="17780"/>
            <wp:docPr id="3" name="图片 3" descr="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ntit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实体嵌入的2维空间图</w:t>
      </w:r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我们分析了不同关系类型之间的链接预测的相似程度，对于种子头实体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ℎ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，用链接预测找到关系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下最可能成立的前10尾实体，然后对关系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'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重复上述工作，并计算关系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'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的前十尾实体集合的 Jaccard 相似系数。我们选择了100个随机头实体种子，然后报告了所有关系对的平均相似度。Table 6 展示基于链接预测相似度的前十关系对。Jaccard 相似系数计算如下：</w:t>
      </w:r>
    </w:p>
    <w:p>
      <w:pPr>
        <w:bidi w:val="0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J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, 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 xml:space="preserve"> = 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⋂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⋃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|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其中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|∗|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表示集合的基数，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是两个关系对应的尾实体集合。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6 展示基于链接预测相似度的前十关系对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7"/>
        <w:gridCol w:w="3392"/>
        <w:gridCol w:w="176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Relation type 1</w:t>
            </w:r>
          </w:p>
        </w:tc>
        <w:tc>
          <w:tcPr>
            <w:tcW w:w="3392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Relation type 2</w:t>
            </w:r>
          </w:p>
        </w:tc>
        <w:tc>
          <w:tcPr>
            <w:tcW w:w="1763" w:type="dxa"/>
            <w:tcBorders>
              <w:bottom w:val="single" w:color="auto" w:sz="12" w:space="0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Jaccard score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3392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0.569683225271461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0.566442495413084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0.5639896704602593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INTACT::PHYSICAL ASSOCIATION::Gene:Gene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0.5579469180630174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bioarx::DrugHumGen:Compound:Gene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DRUGBANK::target::Compound:Gene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0.5453419619596094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GNBR::E::Compound:Gene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GNBR::E+::Compound:Gene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0.5340685948038895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bioarx::DrugHumGen:Compound:Gene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Hetionet::CbG::Compound:Gene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0.5066943840473255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INTACT::COLOCALIZATION::Gene:Gene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0.5046894445423864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Hetionet::GiG::Gene:Gene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INTACT::DIRECT INTERACTION::Gene:Gene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0.5009040220185738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7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GNBR::E+::Gene:Gene</w:t>
            </w:r>
          </w:p>
        </w:tc>
        <w:tc>
          <w:tcPr>
            <w:tcW w:w="3392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GNBR::E::Gene:Gene</w:t>
            </w:r>
          </w:p>
        </w:tc>
        <w:tc>
          <w:tcPr>
            <w:tcW w:w="1763" w:type="dxa"/>
            <w:tcBorders>
              <w:tl2br w:val="nil"/>
              <w:tr2bl w:val="nil"/>
            </w:tcBorders>
          </w:tcPr>
          <w:p>
            <w:pPr>
              <w:pStyle w:val="18"/>
              <w:bidi w:val="0"/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lang w:val="en-US" w:eastAsia="zh-CN"/>
              </w:rPr>
              <w:t>0.4900415271003512</w:t>
            </w:r>
          </w:p>
        </w:tc>
      </w:tr>
    </w:tbl>
    <w:p>
      <w:pPr>
        <w:bidi w:val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可以发现我们的三种治疗关系依旧没有出现在前10的位置，更加说明RotatE模型能够将治疗关系能够与其他关系区分出来。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药物重定位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我们使用最终的RotatE模型链接预测进行 AD 药物重定位，将评分前50的作为初步的候选药物（由于RotatE模型的MR是63.51），其中前10种，只有第9名的药物不是DRKG已经存在的治疗AD的药物，证明该方法的有效性。然后我们排除了DRKG中已经存在治疗AD的药物，最终剩余了17种治疗药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DRKG提供的TransE_l2预训练模型重复上面的步骤，排除了DRKG中已经存在治疗AD的药物，最终剩余25种治疗药物，可以发现RotatE模型的效果要好于TransE模型。我们将上面两个模型得到的候选药物求交集，最终获得10种治疗AD的治疗药物，结果显示在Table 7。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7 药物重定位得到10种候选药物</w:t>
      </w:r>
    </w:p>
    <w:tbl>
      <w:tblPr>
        <w:tblStyle w:val="13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475"/>
        <w:gridCol w:w="5434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 in RotatE</w:t>
            </w:r>
          </w:p>
        </w:tc>
        <w:tc>
          <w:tcPr>
            <w:tcW w:w="1475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drug</w:t>
            </w:r>
          </w:p>
        </w:tc>
        <w:tc>
          <w:tcPr>
            <w:tcW w:w="5434" w:type="dxa"/>
            <w:tcBorders>
              <w:bottom w:val="single" w:color="auto" w:sz="12" w:space="0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literature support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75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Glutathione</w:t>
            </w:r>
          </w:p>
        </w:tc>
        <w:tc>
          <w:tcPr>
            <w:tcW w:w="5434" w:type="dxa"/>
            <w:tcBorders>
              <w:top w:val="single" w:color="auto" w:sz="12" w:space="0"/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Haloperidol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Capsaicin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Quercetin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17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Estradiol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Glucose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Adenosine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Cocaine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39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Paclitaxel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41</w:t>
            </w:r>
          </w:p>
        </w:tc>
        <w:tc>
          <w:tcPr>
            <w:tcW w:w="1475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Cholesterol</w:t>
            </w:r>
          </w:p>
        </w:tc>
        <w:tc>
          <w:tcPr>
            <w:tcW w:w="5434" w:type="dxa"/>
            <w:tcBorders>
              <w:tl2br w:val="nil"/>
              <w:tr2bl w:val="nil"/>
            </w:tcBorders>
          </w:tcPr>
          <w:p>
            <w:pPr>
              <w:pStyle w:val="17"/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7 中第一列是该药物在RotatE模型链接预测的排名。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本文采用KGE 模型对AD进行了药物重定位。具体来说使用4种KGE模型在DRKG上学习实体和关系的嵌入向量，通过评价指标选择了RotatE模型作为最终的药物重定位模型。实验结果表明，RotatE模型能够预测出合理的AD治疗药物，能够为研究人员进一步探索AD的治疗药物提供研究思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16"/>
        <w:bidi w:val="0"/>
        <w:rPr>
          <w:rFonts w:hint="default"/>
          <w:lang w:val="en-US" w:eastAsia="zh-CN"/>
        </w:rPr>
      </w:pPr>
      <w:bookmarkStart w:id="0" w:name="_Ref3069"/>
      <w:bookmarkStart w:id="1" w:name="_Ref17215"/>
      <w:r>
        <w:rPr>
          <w:rFonts w:hint="default"/>
          <w:lang w:val="en-US" w:eastAsia="zh-CN"/>
        </w:rPr>
        <w:t>Lin YK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Shen SQ,Liu ZY,et al.Neural relation extraction with selective attention over instances[C]</w:t>
      </w:r>
      <w:r>
        <w:rPr>
          <w:rFonts w:hint="eastAsia"/>
          <w:lang w:val="en-US" w:eastAsia="zh-CN"/>
        </w:rPr>
        <w:t>//Proceedings of the 54th Annual Meeting of the Association for Computational Linguistics (Volume 1: Long Papers).Berlin,Germany:Association for Computational Linguistics,2016:</w:t>
      </w:r>
      <w:r>
        <w:rPr>
          <w:rFonts w:hint="default"/>
          <w:lang w:val="en-US" w:eastAsia="zh-CN"/>
        </w:rPr>
        <w:t>2124-2133.</w:t>
      </w:r>
      <w:bookmarkEnd w:id="0"/>
      <w:r>
        <w:rPr>
          <w:rFonts w:hint="eastAsia"/>
          <w:lang w:val="en-US" w:eastAsia="zh-CN"/>
        </w:rPr>
        <w:t>https://aclanthology.org/P16-1200.</w:t>
      </w:r>
    </w:p>
    <w:p>
      <w:pPr>
        <w:pStyle w:val="16"/>
        <w:bidi w:val="0"/>
        <w:rPr>
          <w:rFonts w:hint="default"/>
          <w:lang w:val="en-US" w:eastAsia="zh-CN"/>
        </w:rPr>
      </w:pPr>
      <w:bookmarkStart w:id="2" w:name="_Ref21470"/>
      <w:r>
        <w:rPr>
          <w:rFonts w:hint="default"/>
          <w:lang w:val="en-US" w:eastAsia="zh-CN"/>
        </w:rPr>
        <w:t>Ioannidis VN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Manchanda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et al.DRKG - Drug Repurposing Knowledge Graph for Covid-19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"https://github.com/gnn4dr/DRKG/,"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https://github.com/gnn4dr/DRKG/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2020.</w:t>
      </w:r>
      <w:bookmarkEnd w:id="2"/>
    </w:p>
    <w:p>
      <w:pPr>
        <w:pStyle w:val="16"/>
        <w:bidi w:val="0"/>
        <w:rPr>
          <w:rFonts w:hint="default"/>
          <w:lang w:val="en-US" w:eastAsia="zh-CN"/>
        </w:rPr>
      </w:pPr>
      <w:bookmarkStart w:id="3" w:name="_Ref14443"/>
      <w:bookmarkStart w:id="4" w:name="_Ref27389"/>
      <w:r>
        <w:rPr>
          <w:rFonts w:hint="default"/>
          <w:lang w:val="en-US" w:eastAsia="zh-CN"/>
        </w:rPr>
        <w:t>Bordes A,Usunier N,Garcia-Duran A,et al.Translating embeddings for modeling multi-relational data[C]</w:t>
      </w:r>
      <w:r>
        <w:rPr>
          <w:rFonts w:hint="eastAsia"/>
          <w:lang w:val="en-US" w:eastAsia="zh-CN"/>
        </w:rPr>
        <w:t>//Advances in Neural Information Processing Systems</w:t>
      </w:r>
      <w:r>
        <w:rPr>
          <w:rFonts w:hint="default"/>
          <w:lang w:val="en-US" w:eastAsia="zh-CN"/>
        </w:rPr>
        <w:t>.Curran Associates, Inc.,</w:t>
      </w:r>
      <w:r>
        <w:rPr>
          <w:rFonts w:hint="eastAsia"/>
          <w:lang w:val="en-US" w:eastAsia="zh-CN"/>
        </w:rPr>
        <w:t>2013,26</w:t>
      </w:r>
      <w:r>
        <w:rPr>
          <w:rFonts w:hint="default"/>
          <w:lang w:val="en-US" w:eastAsia="zh-CN"/>
        </w:rPr>
        <w:t>.</w:t>
      </w:r>
      <w:bookmarkEnd w:id="3"/>
      <w:r>
        <w:rPr>
          <w:rFonts w:hint="eastAsia"/>
          <w:lang w:val="en-US" w:eastAsia="zh-CN"/>
        </w:rPr>
        <w:t>https://proceedings.neurips.cc/paper/2013/file/1cecc7a77928ca8133fa24680a88d2f9-Paper.pdf.</w:t>
      </w:r>
      <w:bookmarkEnd w:id="4"/>
    </w:p>
    <w:p>
      <w:pPr>
        <w:pStyle w:val="16"/>
        <w:bidi w:val="0"/>
        <w:rPr>
          <w:rFonts w:hint="default"/>
          <w:lang w:val="en-US" w:eastAsia="zh-CN"/>
        </w:rPr>
      </w:pPr>
      <w:bookmarkStart w:id="5" w:name="_Ref14910"/>
      <w:bookmarkStart w:id="6" w:name="_Ref898"/>
      <w:r>
        <w:rPr>
          <w:rFonts w:hint="default"/>
          <w:lang w:val="en-US" w:eastAsia="zh-CN"/>
        </w:rPr>
        <w:t>Lin YK,Liu ZY,Sun MS,et al.Learning entity and relation embeddings for knowledge graph completion[C]</w:t>
      </w:r>
      <w:r>
        <w:rPr>
          <w:rFonts w:hint="eastAsia"/>
          <w:lang w:val="en-US" w:eastAsia="zh-CN"/>
        </w:rPr>
        <w:t>//Proceedings of the AAAI Conference on Artificial Intelligence</w:t>
      </w:r>
      <w:r>
        <w:rPr>
          <w:rFonts w:hint="default"/>
          <w:lang w:val="en-US" w:eastAsia="zh-CN"/>
        </w:rPr>
        <w:t>.Palo Alto,California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USA</w:t>
      </w:r>
      <w:r>
        <w:rPr>
          <w:rFonts w:hint="eastAsia"/>
          <w:lang w:val="en-US" w:eastAsia="zh-CN"/>
        </w:rPr>
        <w:t>:AAAI Press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2015,29(1)</w:t>
      </w:r>
      <w:r>
        <w:rPr>
          <w:rFonts w:hint="default"/>
          <w:lang w:val="en-US" w:eastAsia="zh-CN"/>
        </w:rPr>
        <w:t>.</w:t>
      </w:r>
      <w:bookmarkEnd w:id="5"/>
      <w:r>
        <w:rPr>
          <w:rFonts w:hint="eastAsia"/>
          <w:lang w:val="en-US" w:eastAsia="zh-CN"/>
        </w:rPr>
        <w:t>https://doi.org/10.1609/aaai.v29i1.9491.</w:t>
      </w:r>
      <w:bookmarkEnd w:id="6"/>
    </w:p>
    <w:p>
      <w:pPr>
        <w:pStyle w:val="16"/>
        <w:bidi w:val="0"/>
        <w:rPr>
          <w:rFonts w:hint="default"/>
          <w:lang w:val="en-US" w:eastAsia="zh-CN"/>
        </w:rPr>
      </w:pPr>
      <w:bookmarkStart w:id="7" w:name="_Ref15197"/>
      <w:bookmarkStart w:id="8" w:name="_Ref7161"/>
      <w:r>
        <w:rPr>
          <w:rFonts w:hint="default"/>
          <w:lang w:val="en-US" w:eastAsia="zh-CN"/>
        </w:rPr>
        <w:t>Maximilian N,Volker T,Hans-Peter K.A Three-way model for collective learning on multi-relational data[C]</w:t>
      </w:r>
      <w:r>
        <w:rPr>
          <w:rFonts w:hint="eastAsia"/>
          <w:lang w:val="en-US" w:eastAsia="zh-CN"/>
        </w:rPr>
        <w:t>//Proceedings of the 28th International Conference on Machine Learning (ICML-11)</w:t>
      </w:r>
      <w:r>
        <w:rPr>
          <w:rFonts w:hint="default"/>
          <w:lang w:val="en-US" w:eastAsia="zh-CN"/>
        </w:rPr>
        <w:t>.New York,NY,USA</w:t>
      </w:r>
      <w:r>
        <w:rPr>
          <w:rFonts w:hint="eastAsia"/>
          <w:lang w:val="en-US" w:eastAsia="zh-CN"/>
        </w:rPr>
        <w:t>:ACM</w:t>
      </w:r>
      <w:r>
        <w:rPr>
          <w:rFonts w:hint="default"/>
          <w:lang w:val="en-US" w:eastAsia="zh-CN"/>
        </w:rPr>
        <w:t>,2011</w:t>
      </w:r>
      <w:r>
        <w:rPr>
          <w:rFonts w:hint="eastAsia"/>
          <w:lang w:val="en-US" w:eastAsia="zh-CN"/>
        </w:rPr>
        <w:t>:809-816</w:t>
      </w:r>
      <w:r>
        <w:rPr>
          <w:rFonts w:hint="default"/>
          <w:lang w:val="en-US" w:eastAsia="zh-CN"/>
        </w:rPr>
        <w:t>.</w:t>
      </w:r>
      <w:bookmarkEnd w:id="7"/>
      <w:r>
        <w:rPr>
          <w:rFonts w:hint="eastAsia"/>
          <w:lang w:val="en-US" w:eastAsia="zh-CN"/>
        </w:rPr>
        <w:t>https://icml.cc/Conferences/2011/papers/438_icmlpaper.pdf.</w:t>
      </w:r>
      <w:bookmarkEnd w:id="8"/>
    </w:p>
    <w:p>
      <w:pPr>
        <w:pStyle w:val="16"/>
        <w:bidi w:val="0"/>
        <w:rPr>
          <w:rFonts w:hint="default"/>
          <w:lang w:val="en-US" w:eastAsia="zh-CN"/>
        </w:rPr>
      </w:pPr>
      <w:bookmarkStart w:id="9" w:name="_Ref15471"/>
      <w:bookmarkStart w:id="10" w:name="_Ref9666"/>
      <w:r>
        <w:rPr>
          <w:rFonts w:hint="default"/>
          <w:lang w:val="en-US" w:eastAsia="zh-CN"/>
        </w:rPr>
        <w:t xml:space="preserve">Yang BS,Yih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,He XD,et al.Embedding entities and relations for learning and inference in knowledge bases[C]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Proceedings of ICLR.2015.</w:t>
      </w:r>
      <w:bookmarkEnd w:id="9"/>
      <w:r>
        <w:rPr>
          <w:rFonts w:hint="eastAsia"/>
          <w:lang w:val="en-US" w:eastAsia="zh-CN"/>
        </w:rPr>
        <w:t>http://arxiv.org/abs/1412.6575.</w:t>
      </w:r>
      <w:bookmarkEnd w:id="10"/>
    </w:p>
    <w:p>
      <w:pPr>
        <w:pStyle w:val="16"/>
        <w:bidi w:val="0"/>
        <w:rPr>
          <w:rFonts w:hint="default"/>
          <w:lang w:val="en-US" w:eastAsia="zh-CN"/>
        </w:rPr>
      </w:pPr>
      <w:bookmarkStart w:id="11" w:name="_Ref15811"/>
      <w:bookmarkStart w:id="12" w:name="_Ref13849"/>
      <w:r>
        <w:rPr>
          <w:rFonts w:hint="default"/>
          <w:lang w:val="en-US" w:eastAsia="zh-CN"/>
        </w:rPr>
        <w:t>Trouillon T,Welbl J,Riedel S,et al.Complex embeddings for simple link prediction[C]</w:t>
      </w:r>
      <w:r>
        <w:rPr>
          <w:rFonts w:hint="eastAsia"/>
          <w:lang w:val="en-US" w:eastAsia="zh-CN"/>
        </w:rPr>
        <w:t>//Proceedings of the 33rd International Conference on International Conference on Machine Learning</w:t>
      </w:r>
      <w:r>
        <w:rPr>
          <w:rFonts w:hint="default"/>
          <w:lang w:val="en-US" w:eastAsia="zh-CN"/>
        </w:rPr>
        <w:t>.JMLR.org,2016</w:t>
      </w:r>
      <w:r>
        <w:rPr>
          <w:rFonts w:hint="eastAsia"/>
          <w:lang w:val="en-US" w:eastAsia="zh-CN"/>
        </w:rPr>
        <w:t>,48:2071-2080</w:t>
      </w:r>
      <w:r>
        <w:rPr>
          <w:rFonts w:hint="default"/>
          <w:lang w:val="en-US" w:eastAsia="zh-CN"/>
        </w:rPr>
        <w:t>.</w:t>
      </w:r>
      <w:bookmarkEnd w:id="11"/>
      <w:r>
        <w:rPr>
          <w:rFonts w:hint="eastAsia"/>
          <w:lang w:val="en-US" w:eastAsia="zh-CN"/>
        </w:rPr>
        <w:t>https://arxiv.org/abs/1606.06357.</w:t>
      </w:r>
      <w:bookmarkEnd w:id="12"/>
    </w:p>
    <w:p>
      <w:pPr>
        <w:pStyle w:val="16"/>
        <w:bidi w:val="0"/>
        <w:rPr>
          <w:rFonts w:hint="default"/>
          <w:lang w:val="en-US" w:eastAsia="zh-CN"/>
        </w:rPr>
      </w:pPr>
      <w:bookmarkStart w:id="13" w:name="_Ref16043"/>
      <w:bookmarkStart w:id="14" w:name="_Ref15410"/>
      <w:r>
        <w:rPr>
          <w:rFonts w:hint="default"/>
          <w:lang w:val="en-US" w:eastAsia="zh-CN"/>
        </w:rPr>
        <w:t xml:space="preserve">Sun ZQ,Deng ZH,Nie JY, et al. RotatE: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nowledge graph embedding by relational rotation in complex space[C]</w:t>
      </w:r>
      <w:r>
        <w:rPr>
          <w:rFonts w:hint="eastAsia"/>
          <w:lang w:val="en-US" w:eastAsia="zh-CN"/>
        </w:rPr>
        <w:t>//Proceedings of ICLR</w:t>
      </w:r>
      <w:r>
        <w:rPr>
          <w:rFonts w:hint="default"/>
          <w:lang w:val="en-US" w:eastAsia="zh-CN"/>
        </w:rPr>
        <w:t>. 2019.</w:t>
      </w:r>
      <w:bookmarkEnd w:id="13"/>
      <w:r>
        <w:rPr>
          <w:rFonts w:hint="eastAsia"/>
          <w:lang w:val="en-US" w:eastAsia="zh-CN"/>
        </w:rPr>
        <w:t xml:space="preserve"> https://openreview.net/forum?id=HkgEQnRqYQ.</w:t>
      </w:r>
      <w:bookmarkEnd w:id="14"/>
    </w:p>
    <w:p>
      <w:pPr>
        <w:pStyle w:val="16"/>
        <w:bidi w:val="0"/>
        <w:rPr>
          <w:rFonts w:hint="default"/>
          <w:lang w:val="en-US" w:eastAsia="zh-CN"/>
        </w:rPr>
      </w:pPr>
      <w:bookmarkStart w:id="15" w:name="_Ref17137"/>
      <w:bookmarkStart w:id="16" w:name="_Ref30422"/>
      <w:r>
        <w:rPr>
          <w:rFonts w:hint="eastAsia"/>
          <w:lang w:val="en-US" w:eastAsia="zh-CN"/>
        </w:rPr>
        <w:t>Nian Y,Hu XY,Zhang R,et al.Mining on Alzheimer's diseases related knowledge graph to identity potential AD-related semantic triples for drug repurposing[J].BMC Bioinformatics,2022,23(Suppl 6):407.</w:t>
      </w:r>
      <w:bookmarkEnd w:id="1"/>
      <w:bookmarkEnd w:id="15"/>
      <w:r>
        <w:rPr>
          <w:rFonts w:hint="eastAsia"/>
          <w:lang w:val="en-US" w:eastAsia="zh-CN"/>
        </w:rPr>
        <w:t>https://doi.org/10.1186/s12859-022-04934-1.</w:t>
      </w:r>
      <w:bookmarkEnd w:id="16"/>
    </w:p>
    <w:p>
      <w:pPr>
        <w:pStyle w:val="16"/>
        <w:bidi w:val="0"/>
        <w:rPr>
          <w:rFonts w:hint="default"/>
          <w:lang w:val="en-US" w:eastAsia="zh-CN"/>
        </w:rPr>
      </w:pPr>
      <w:bookmarkStart w:id="17" w:name="_Ref22401"/>
      <w:bookmarkStart w:id="18" w:name="_Ref32133"/>
      <w:r>
        <w:rPr>
          <w:rFonts w:hint="default"/>
          <w:lang w:val="en-US" w:eastAsia="zh-CN"/>
        </w:rPr>
        <w:t>Moya-Alvarado G,Gershoni-Emek N,Perlson E,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 xml:space="preserve">.Neurodegeneration and Alzheimer's disease (AD).What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an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 xml:space="preserve">roteomics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ell 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bout the Alzheimer's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rain?</w:t>
      </w:r>
      <w:r>
        <w:rPr>
          <w:rFonts w:hint="eastAsia"/>
          <w:lang w:val="en-US" w:eastAsia="zh-CN"/>
        </w:rPr>
        <w:t>[J].</w:t>
      </w:r>
      <w:r>
        <w:rPr>
          <w:rFonts w:hint="default"/>
          <w:lang w:val="en-US" w:eastAsia="zh-CN"/>
        </w:rPr>
        <w:t>Molecular &amp; Cellular Proteomics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15(2):409-25.</w:t>
      </w:r>
      <w:bookmarkEnd w:id="17"/>
      <w:r>
        <w:rPr>
          <w:rFonts w:hint="eastAsia"/>
          <w:lang w:val="en-US" w:eastAsia="zh-CN"/>
        </w:rPr>
        <w:t>https://doi.org/10.1074/mcp.R115.053330.</w:t>
      </w:r>
      <w:bookmarkEnd w:id="18"/>
    </w:p>
    <w:p>
      <w:pPr>
        <w:pStyle w:val="16"/>
        <w:bidi w:val="0"/>
        <w:rPr>
          <w:rFonts w:hint="default"/>
          <w:lang w:val="en-US" w:eastAsia="zh-CN"/>
        </w:rPr>
      </w:pPr>
      <w:bookmarkStart w:id="19" w:name="_Ref1053"/>
      <w:r>
        <w:rPr>
          <w:rFonts w:hint="eastAsia"/>
          <w:lang w:val="en-US" w:eastAsia="zh-CN"/>
        </w:rPr>
        <w:t>Ren RJ,Yin P,Wang ZH,et al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China Alzheimer disease report 2021</w:t>
      </w:r>
      <w:r>
        <w:rPr>
          <w:rFonts w:hint="default"/>
          <w:lang w:val="en-US" w:eastAsia="zh-CN"/>
        </w:rPr>
        <w:t>[J].Journal of Diagnostics Concepts &amp; Practice</w:t>
      </w:r>
      <w:r>
        <w:rPr>
          <w:rFonts w:hint="eastAsia"/>
          <w:lang w:val="en-US" w:eastAsia="zh-CN"/>
        </w:rPr>
        <w:t>(诊断学理论与实践)</w:t>
      </w:r>
      <w:r>
        <w:rPr>
          <w:rFonts w:hint="default"/>
          <w:lang w:val="en-US" w:eastAsia="zh-CN"/>
        </w:rPr>
        <w:t>,2021,20(04):317-337.https://doi.org/10.16150/j.1671-2870.2021.04.001.</w:t>
      </w:r>
      <w:bookmarkEnd w:id="19"/>
    </w:p>
    <w:p>
      <w:pPr>
        <w:pStyle w:val="16"/>
        <w:bidi w:val="0"/>
        <w:rPr>
          <w:rFonts w:hint="default"/>
          <w:lang w:val="en-US" w:eastAsia="zh-CN"/>
        </w:rPr>
      </w:pPr>
      <w:bookmarkStart w:id="20" w:name="_Ref1161"/>
      <w:bookmarkStart w:id="21" w:name="_Ref18773"/>
      <w:bookmarkStart w:id="22" w:name="_Ref7454"/>
      <w:r>
        <w:rPr>
          <w:rFonts w:hint="default"/>
          <w:lang w:val="en-US" w:eastAsia="zh-CN"/>
        </w:rPr>
        <w:t>Jia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,Wei</w:t>
      </w:r>
      <w:r>
        <w:rPr>
          <w:rFonts w:hint="eastAsia"/>
          <w:lang w:val="en-US" w:eastAsia="zh-CN"/>
        </w:rPr>
        <w:t xml:space="preserve"> CB</w:t>
      </w:r>
      <w:r>
        <w:rPr>
          <w:rFonts w:hint="default"/>
          <w:lang w:val="en-US" w:eastAsia="zh-CN"/>
        </w:rPr>
        <w:t>,Chen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Q,et al</w:t>
      </w:r>
      <w:r>
        <w:rPr>
          <w:rFonts w:hint="default"/>
          <w:lang w:val="en-US" w:eastAsia="zh-CN"/>
        </w:rPr>
        <w:t>.The cost of Alzheimer's disease in China and re-estimation of costs worldwide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.Alzheimer's &amp; Dementia,2018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:483-491.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"https://doi.org/10.1016/j.jalz.2017.12.006"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https://doi.org/10.1016/j.jalz.2017.12.006</w:t>
      </w:r>
      <w:bookmarkEnd w:id="20"/>
      <w:r>
        <w:rPr>
          <w:rFonts w:hint="default"/>
          <w:lang w:val="en-US" w:eastAsia="zh-CN"/>
        </w:rPr>
        <w:fldChar w:fldCharType="end"/>
      </w:r>
      <w:bookmarkEnd w:id="21"/>
      <w:r>
        <w:rPr>
          <w:rFonts w:hint="eastAsia"/>
          <w:lang w:val="en-US" w:eastAsia="zh-CN"/>
        </w:rPr>
        <w:t>.</w:t>
      </w:r>
      <w:bookmarkEnd w:id="22"/>
    </w:p>
    <w:p>
      <w:pPr>
        <w:pStyle w:val="16"/>
        <w:bidi w:val="0"/>
        <w:rPr>
          <w:rFonts w:hint="default"/>
          <w:lang w:val="en-US" w:eastAsia="zh-CN"/>
        </w:rPr>
      </w:pPr>
      <w:bookmarkStart w:id="23" w:name="_Ref6490"/>
      <w:bookmarkStart w:id="24" w:name="_Ref21163"/>
      <w:bookmarkStart w:id="25" w:name="_Ref10703"/>
      <w:r>
        <w:rPr>
          <w:rFonts w:hint="default"/>
          <w:lang w:val="en-US" w:eastAsia="zh-CN"/>
        </w:rPr>
        <w:t>Avorn J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The $2.6 billion pill–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ethodologic and policy considerations</w:t>
      </w:r>
      <w:r>
        <w:rPr>
          <w:rFonts w:hint="eastAsia"/>
          <w:lang w:val="en-US" w:eastAsia="zh-CN"/>
        </w:rPr>
        <w:t>[J].New England Journal of Medicine,</w:t>
      </w:r>
      <w:bookmarkEnd w:id="23"/>
      <w:r>
        <w:rPr>
          <w:rFonts w:hint="eastAsia"/>
          <w:lang w:val="en-US" w:eastAsia="zh-CN"/>
        </w:rPr>
        <w:t>2015,372(20):1877-1879.</w:t>
      </w:r>
      <w:bookmarkEnd w:id="24"/>
      <w:r>
        <w:rPr>
          <w:rFonts w:hint="eastAsia"/>
          <w:lang w:val="en-US" w:eastAsia="zh-CN"/>
        </w:rPr>
        <w:t>https://doi.org/10.1056/NEJMp1500848.</w:t>
      </w:r>
      <w:bookmarkEnd w:id="25"/>
    </w:p>
    <w:p>
      <w:pPr>
        <w:pStyle w:val="16"/>
        <w:bidi w:val="0"/>
        <w:rPr>
          <w:rFonts w:hint="default"/>
          <w:lang w:val="en-US" w:eastAsia="zh-CN"/>
        </w:rPr>
      </w:pPr>
      <w:bookmarkStart w:id="26" w:name="_Ref6506"/>
      <w:bookmarkStart w:id="27" w:name="_Ref21806"/>
      <w:r>
        <w:rPr>
          <w:rFonts w:hint="default"/>
          <w:lang w:val="en-US" w:eastAsia="zh-CN"/>
        </w:rPr>
        <w:t>Wang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,Du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Z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,Ding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M.et al.KG-DTI: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.Applied Intelligence</w:t>
      </w:r>
      <w:r>
        <w:rPr>
          <w:rFonts w:hint="eastAsia"/>
          <w:lang w:val="en-US" w:eastAsia="zh-CN"/>
        </w:rPr>
        <w:t>,2022,</w:t>
      </w:r>
      <w:r>
        <w:rPr>
          <w:rFonts w:hint="default"/>
          <w:lang w:val="en-US" w:eastAsia="zh-CN"/>
        </w:rPr>
        <w:t>52</w:t>
      </w:r>
      <w:r>
        <w:rPr>
          <w:rFonts w:hint="eastAsia"/>
          <w:lang w:val="en-US" w:eastAsia="zh-CN"/>
        </w:rPr>
        <w:t xml:space="preserve">(1): </w:t>
      </w:r>
      <w:r>
        <w:rPr>
          <w:rFonts w:hint="default"/>
          <w:lang w:val="en-US" w:eastAsia="zh-CN"/>
        </w:rPr>
        <w:t>846–857.</w:t>
      </w:r>
      <w:bookmarkEnd w:id="26"/>
      <w:r>
        <w:rPr>
          <w:rFonts w:hint="default"/>
          <w:lang w:val="en-US" w:eastAsia="zh-CN"/>
        </w:rPr>
        <w:t>https://doi.org/10.1007/s10489-021-02454-8</w:t>
      </w:r>
      <w:r>
        <w:rPr>
          <w:rFonts w:hint="eastAsia"/>
          <w:lang w:val="en-US" w:eastAsia="zh-CN"/>
        </w:rPr>
        <w:t>.</w:t>
      </w:r>
      <w:bookmarkEnd w:id="27"/>
    </w:p>
    <w:p>
      <w:pPr>
        <w:pStyle w:val="16"/>
        <w:bidi w:val="0"/>
        <w:rPr>
          <w:rFonts w:hint="default"/>
          <w:lang w:val="en-US" w:eastAsia="zh-CN"/>
        </w:rPr>
      </w:pPr>
      <w:bookmarkStart w:id="28" w:name="_Ref5849"/>
      <w:bookmarkStart w:id="29" w:name="_Ref12274"/>
      <w:r>
        <w:rPr>
          <w:rFonts w:hint="default"/>
          <w:lang w:val="en-US" w:eastAsia="zh-CN"/>
        </w:rPr>
        <w:t>Zeng X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,Song X,Ma T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>.Repurpose Open Data to Discover Therapeutics for COVID-19 Using Deep Learning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.J</w:t>
      </w:r>
      <w:r>
        <w:rPr>
          <w:rFonts w:hint="eastAsia"/>
          <w:lang w:val="en-US" w:eastAsia="zh-CN"/>
        </w:rPr>
        <w:t>ournal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of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proteome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research,</w:t>
      </w:r>
      <w:r>
        <w:rPr>
          <w:rFonts w:hint="default"/>
          <w:lang w:val="en-US" w:eastAsia="zh-CN"/>
        </w:rPr>
        <w:t>2020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19(11):4624-4636.</w:t>
      </w:r>
      <w:bookmarkEnd w:id="28"/>
      <w:r>
        <w:rPr>
          <w:rFonts w:hint="eastAsia"/>
          <w:lang w:val="en-US" w:eastAsia="zh-CN"/>
        </w:rPr>
        <w:t>https://doi.org/10.1021/acs.jproteome.0c00316.</w:t>
      </w:r>
      <w:bookmarkEnd w:id="29"/>
    </w:p>
    <w:p>
      <w:pPr>
        <w:pStyle w:val="16"/>
        <w:bidi w:val="0"/>
        <w:rPr>
          <w:rFonts w:hint="default"/>
          <w:lang w:val="en-US" w:eastAsia="zh-CN"/>
        </w:rPr>
      </w:pPr>
      <w:bookmarkStart w:id="30" w:name="_Ref10372"/>
      <w:bookmarkStart w:id="31" w:name="_Ref16957"/>
      <w:r>
        <w:rPr>
          <w:rFonts w:hint="default"/>
          <w:lang w:val="en-US" w:eastAsia="zh-CN"/>
        </w:rPr>
        <w:t>Zhang</w:t>
      </w:r>
      <w:r>
        <w:rPr>
          <w:rFonts w:hint="eastAsia"/>
          <w:lang w:val="en-US" w:eastAsia="zh-CN"/>
        </w:rPr>
        <w:t xml:space="preserve"> R,</w:t>
      </w:r>
      <w:r>
        <w:rPr>
          <w:rFonts w:hint="default"/>
          <w:lang w:val="en-US" w:eastAsia="zh-CN"/>
        </w:rPr>
        <w:t xml:space="preserve">Hristovski </w:t>
      </w:r>
      <w:r>
        <w:rPr>
          <w:rFonts w:hint="eastAsia"/>
          <w:lang w:val="en-US" w:eastAsia="zh-CN"/>
        </w:rPr>
        <w:t>D,</w:t>
      </w:r>
      <w:r>
        <w:rPr>
          <w:rFonts w:hint="default"/>
          <w:lang w:val="en-US" w:eastAsia="zh-CN"/>
        </w:rPr>
        <w:t>Schutte</w:t>
      </w:r>
      <w:r>
        <w:rPr>
          <w:rFonts w:hint="eastAsia"/>
          <w:lang w:val="en-US" w:eastAsia="zh-CN"/>
        </w:rPr>
        <w:t xml:space="preserve"> D,et al.Drug repurposing for COVID-19 via knowledge graph completion[J].Journal of Biomedical Informatics,2021</w:t>
      </w:r>
      <w:bookmarkEnd w:id="30"/>
      <w:r>
        <w:rPr>
          <w:rFonts w:hint="eastAsia"/>
          <w:lang w:val="en-US" w:eastAsia="zh-CN"/>
        </w:rPr>
        <w:t>,115(1):103696.https://doi.org/10.1016/j.jbi.2021.103696.</w:t>
      </w:r>
      <w:bookmarkEnd w:id="31"/>
    </w:p>
    <w:p>
      <w:pPr>
        <w:pStyle w:val="16"/>
        <w:bidi w:val="0"/>
        <w:rPr>
          <w:rFonts w:hint="default"/>
          <w:lang w:val="en-US" w:eastAsia="zh-CN"/>
        </w:rPr>
      </w:pPr>
      <w:bookmarkStart w:id="32" w:name="_Ref11952"/>
      <w:bookmarkStart w:id="33" w:name="_Ref19275"/>
      <w:r>
        <w:rPr>
          <w:rFonts w:hint="eastAsia"/>
          <w:lang w:val="en-US" w:eastAsia="zh-CN"/>
        </w:rPr>
        <w:t>李宗贤.基于知识图谱的帕金森病药物重定位[J].信息技术与信息化,2022,No.268(07):28-32.</w:t>
      </w:r>
      <w:bookmarkEnd w:id="32"/>
      <w:r>
        <w:rPr>
          <w:rFonts w:hint="eastAsia"/>
          <w:lang w:val="en-US" w:eastAsia="zh-CN"/>
        </w:rPr>
        <w:t>https://doi.org/10.3969/j.issn.1672-9528.2022.07.006.</w:t>
      </w:r>
      <w:bookmarkEnd w:id="33"/>
    </w:p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</w:p>
  </w:endnote>
  <w:endnote w:type="continuationSeparator" w:id="1">
    <w:p>
      <w:pPr>
        <w:spacing w:line="240" w:lineRule="auto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</w:p>
  </w:footnote>
  <w:footnote w:type="continuationSeparator" w:id="1">
    <w:p>
      <w:pPr>
        <w:spacing w:line="240" w:lineRule="auto"/>
        <w:ind w:firstLine="42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FFA54"/>
    <w:multiLevelType w:val="multilevel"/>
    <w:tmpl w:val="DC4FFA54"/>
    <w:lvl w:ilvl="0" w:tentative="0">
      <w:start w:val="1"/>
      <w:numFmt w:val="decimal"/>
      <w:pStyle w:val="4"/>
      <w:lvlText w:val="%1.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D28EB70"/>
    <w:multiLevelType w:val="singleLevel"/>
    <w:tmpl w:val="1D28EB70"/>
    <w:lvl w:ilvl="0" w:tentative="0">
      <w:start w:val="1"/>
      <w:numFmt w:val="decimal"/>
      <w:pStyle w:val="16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5OGZjNGUwZGZmNDE1YjcyMDgzNDk0ZjcyYjllZTUifQ=="/>
  </w:docVars>
  <w:rsids>
    <w:rsidRoot w:val="49040193"/>
    <w:rsid w:val="001F3ADA"/>
    <w:rsid w:val="0046375D"/>
    <w:rsid w:val="005574FC"/>
    <w:rsid w:val="00641E35"/>
    <w:rsid w:val="0075485B"/>
    <w:rsid w:val="007A6F63"/>
    <w:rsid w:val="00902C2A"/>
    <w:rsid w:val="009269A2"/>
    <w:rsid w:val="009A5857"/>
    <w:rsid w:val="00A602C2"/>
    <w:rsid w:val="00BD0D95"/>
    <w:rsid w:val="00CB3C62"/>
    <w:rsid w:val="00CF5500"/>
    <w:rsid w:val="00E6284A"/>
    <w:rsid w:val="00F907CF"/>
    <w:rsid w:val="011473B7"/>
    <w:rsid w:val="011A24F4"/>
    <w:rsid w:val="01417758"/>
    <w:rsid w:val="014A2DD9"/>
    <w:rsid w:val="0151055B"/>
    <w:rsid w:val="015B2302"/>
    <w:rsid w:val="015B6D94"/>
    <w:rsid w:val="016140C6"/>
    <w:rsid w:val="01A06E9D"/>
    <w:rsid w:val="01A324E9"/>
    <w:rsid w:val="01AF6686"/>
    <w:rsid w:val="01C95815"/>
    <w:rsid w:val="01D134FA"/>
    <w:rsid w:val="01D54D98"/>
    <w:rsid w:val="01DA1DA1"/>
    <w:rsid w:val="01EA0118"/>
    <w:rsid w:val="01FA65AD"/>
    <w:rsid w:val="01FB0577"/>
    <w:rsid w:val="02281A05"/>
    <w:rsid w:val="024F36AF"/>
    <w:rsid w:val="028D5673"/>
    <w:rsid w:val="02B5248F"/>
    <w:rsid w:val="02B7449E"/>
    <w:rsid w:val="02CB1CF7"/>
    <w:rsid w:val="02E36583"/>
    <w:rsid w:val="03082F4B"/>
    <w:rsid w:val="03084CFA"/>
    <w:rsid w:val="031226B5"/>
    <w:rsid w:val="03192A63"/>
    <w:rsid w:val="03345AEF"/>
    <w:rsid w:val="0341020B"/>
    <w:rsid w:val="03661A20"/>
    <w:rsid w:val="0371289F"/>
    <w:rsid w:val="037B371D"/>
    <w:rsid w:val="03906A9D"/>
    <w:rsid w:val="03C84489"/>
    <w:rsid w:val="03DB240E"/>
    <w:rsid w:val="03F31506"/>
    <w:rsid w:val="03F60FF6"/>
    <w:rsid w:val="04581CB1"/>
    <w:rsid w:val="04702B56"/>
    <w:rsid w:val="04B74C29"/>
    <w:rsid w:val="04C5780A"/>
    <w:rsid w:val="05076650"/>
    <w:rsid w:val="052676B9"/>
    <w:rsid w:val="054871A2"/>
    <w:rsid w:val="05685F23"/>
    <w:rsid w:val="056B77C2"/>
    <w:rsid w:val="058D14E6"/>
    <w:rsid w:val="058D7738"/>
    <w:rsid w:val="059464DB"/>
    <w:rsid w:val="05A52CD4"/>
    <w:rsid w:val="05A76A4C"/>
    <w:rsid w:val="05C66BB1"/>
    <w:rsid w:val="05D35E60"/>
    <w:rsid w:val="05D9297D"/>
    <w:rsid w:val="05ED6429"/>
    <w:rsid w:val="05EF3F4F"/>
    <w:rsid w:val="05F73E89"/>
    <w:rsid w:val="05F81055"/>
    <w:rsid w:val="05FE23E4"/>
    <w:rsid w:val="06113EC5"/>
    <w:rsid w:val="06222576"/>
    <w:rsid w:val="06336531"/>
    <w:rsid w:val="066761DB"/>
    <w:rsid w:val="06691F53"/>
    <w:rsid w:val="069114AA"/>
    <w:rsid w:val="06B036DE"/>
    <w:rsid w:val="06CC1E75"/>
    <w:rsid w:val="06D53145"/>
    <w:rsid w:val="06DF2215"/>
    <w:rsid w:val="06F85085"/>
    <w:rsid w:val="072916E2"/>
    <w:rsid w:val="073065CD"/>
    <w:rsid w:val="073562D9"/>
    <w:rsid w:val="073F0F06"/>
    <w:rsid w:val="074107DA"/>
    <w:rsid w:val="07506C6F"/>
    <w:rsid w:val="078801B7"/>
    <w:rsid w:val="07950B26"/>
    <w:rsid w:val="07AB2899"/>
    <w:rsid w:val="07BE007D"/>
    <w:rsid w:val="07C72DDB"/>
    <w:rsid w:val="07DE24CD"/>
    <w:rsid w:val="07E560A1"/>
    <w:rsid w:val="07ED44BE"/>
    <w:rsid w:val="07EF6488"/>
    <w:rsid w:val="07FC3E74"/>
    <w:rsid w:val="081F264A"/>
    <w:rsid w:val="0825634E"/>
    <w:rsid w:val="08716E9D"/>
    <w:rsid w:val="08732C15"/>
    <w:rsid w:val="08744BDF"/>
    <w:rsid w:val="087D1CE6"/>
    <w:rsid w:val="088272FC"/>
    <w:rsid w:val="08872B64"/>
    <w:rsid w:val="089B216C"/>
    <w:rsid w:val="08CB2A51"/>
    <w:rsid w:val="08DB4C49"/>
    <w:rsid w:val="08F31FA8"/>
    <w:rsid w:val="08FA6E92"/>
    <w:rsid w:val="09151F1E"/>
    <w:rsid w:val="09242161"/>
    <w:rsid w:val="09B434E5"/>
    <w:rsid w:val="09BA4874"/>
    <w:rsid w:val="09D65B51"/>
    <w:rsid w:val="09E33DCA"/>
    <w:rsid w:val="09E35B78"/>
    <w:rsid w:val="09EF09C1"/>
    <w:rsid w:val="09FE29B2"/>
    <w:rsid w:val="0A1E3055"/>
    <w:rsid w:val="0A2148F3"/>
    <w:rsid w:val="0A6E5D8A"/>
    <w:rsid w:val="0A856C30"/>
    <w:rsid w:val="0A9F4195"/>
    <w:rsid w:val="0AA7129C"/>
    <w:rsid w:val="0ADD081A"/>
    <w:rsid w:val="0AE95411"/>
    <w:rsid w:val="0B022976"/>
    <w:rsid w:val="0B161F7E"/>
    <w:rsid w:val="0B221CE0"/>
    <w:rsid w:val="0B266665"/>
    <w:rsid w:val="0B8E420A"/>
    <w:rsid w:val="0BA92339"/>
    <w:rsid w:val="0BBE064B"/>
    <w:rsid w:val="0BDC4F75"/>
    <w:rsid w:val="0C2F3263"/>
    <w:rsid w:val="0C452B1A"/>
    <w:rsid w:val="0C476893"/>
    <w:rsid w:val="0C4A1EDF"/>
    <w:rsid w:val="0C5C7E64"/>
    <w:rsid w:val="0C606CCC"/>
    <w:rsid w:val="0CAC2B9A"/>
    <w:rsid w:val="0CBE467B"/>
    <w:rsid w:val="0CC25F19"/>
    <w:rsid w:val="0CE9794A"/>
    <w:rsid w:val="0D35493D"/>
    <w:rsid w:val="0D490AEC"/>
    <w:rsid w:val="0D6B4803"/>
    <w:rsid w:val="0D6E60A1"/>
    <w:rsid w:val="0D9A50E8"/>
    <w:rsid w:val="0DC419D8"/>
    <w:rsid w:val="0DDF2AFB"/>
    <w:rsid w:val="0DE00415"/>
    <w:rsid w:val="0E1053AA"/>
    <w:rsid w:val="0E245572"/>
    <w:rsid w:val="0E303356"/>
    <w:rsid w:val="0E4F1A2E"/>
    <w:rsid w:val="0E6B0652"/>
    <w:rsid w:val="0E6F20D1"/>
    <w:rsid w:val="0E8B4B54"/>
    <w:rsid w:val="0E941B37"/>
    <w:rsid w:val="0EA855E3"/>
    <w:rsid w:val="0EBB5316"/>
    <w:rsid w:val="0EED1247"/>
    <w:rsid w:val="0EF10B9E"/>
    <w:rsid w:val="0F114F36"/>
    <w:rsid w:val="0F2C1655"/>
    <w:rsid w:val="0F2C6214"/>
    <w:rsid w:val="0F2D5820"/>
    <w:rsid w:val="0F420B30"/>
    <w:rsid w:val="0F515D25"/>
    <w:rsid w:val="0F8B118C"/>
    <w:rsid w:val="0F9C6EF5"/>
    <w:rsid w:val="0FE8038D"/>
    <w:rsid w:val="101C0036"/>
    <w:rsid w:val="1034712E"/>
    <w:rsid w:val="10482BD9"/>
    <w:rsid w:val="1068327B"/>
    <w:rsid w:val="108D0014"/>
    <w:rsid w:val="108F25B6"/>
    <w:rsid w:val="109E0A4B"/>
    <w:rsid w:val="109F497A"/>
    <w:rsid w:val="10A162CC"/>
    <w:rsid w:val="10B14C22"/>
    <w:rsid w:val="10E53570"/>
    <w:rsid w:val="10E723F2"/>
    <w:rsid w:val="115D0906"/>
    <w:rsid w:val="118B5473"/>
    <w:rsid w:val="11906397"/>
    <w:rsid w:val="11B15721"/>
    <w:rsid w:val="11C269BB"/>
    <w:rsid w:val="11CC15E8"/>
    <w:rsid w:val="11F254F3"/>
    <w:rsid w:val="12105979"/>
    <w:rsid w:val="1222745A"/>
    <w:rsid w:val="126D4B79"/>
    <w:rsid w:val="12A85BB1"/>
    <w:rsid w:val="12AF3725"/>
    <w:rsid w:val="12B431C4"/>
    <w:rsid w:val="12E15AD9"/>
    <w:rsid w:val="1319085D"/>
    <w:rsid w:val="131B45D5"/>
    <w:rsid w:val="132316DC"/>
    <w:rsid w:val="132F62D2"/>
    <w:rsid w:val="13494CDD"/>
    <w:rsid w:val="13516249"/>
    <w:rsid w:val="13521EB6"/>
    <w:rsid w:val="13824654"/>
    <w:rsid w:val="138E51C3"/>
    <w:rsid w:val="13C609E5"/>
    <w:rsid w:val="13C95DDF"/>
    <w:rsid w:val="13DB3D64"/>
    <w:rsid w:val="13E36D0B"/>
    <w:rsid w:val="141C0605"/>
    <w:rsid w:val="14357DB9"/>
    <w:rsid w:val="144067F4"/>
    <w:rsid w:val="146C6853"/>
    <w:rsid w:val="14811BA7"/>
    <w:rsid w:val="14BC1DE8"/>
    <w:rsid w:val="14C706B7"/>
    <w:rsid w:val="14D7277E"/>
    <w:rsid w:val="15311E8E"/>
    <w:rsid w:val="1537146E"/>
    <w:rsid w:val="15415E49"/>
    <w:rsid w:val="154D2A40"/>
    <w:rsid w:val="154F02E9"/>
    <w:rsid w:val="155B50A2"/>
    <w:rsid w:val="1571672E"/>
    <w:rsid w:val="15802E15"/>
    <w:rsid w:val="15804BC3"/>
    <w:rsid w:val="15973CBB"/>
    <w:rsid w:val="15A46B04"/>
    <w:rsid w:val="15AB60E4"/>
    <w:rsid w:val="15B50D11"/>
    <w:rsid w:val="15B668C0"/>
    <w:rsid w:val="15D05B4B"/>
    <w:rsid w:val="160A26DF"/>
    <w:rsid w:val="163360DA"/>
    <w:rsid w:val="16753FFC"/>
    <w:rsid w:val="16922E00"/>
    <w:rsid w:val="16BD51C4"/>
    <w:rsid w:val="16D276A1"/>
    <w:rsid w:val="16EB0DF9"/>
    <w:rsid w:val="16F413C5"/>
    <w:rsid w:val="16FB6BF7"/>
    <w:rsid w:val="17025F34"/>
    <w:rsid w:val="171001C9"/>
    <w:rsid w:val="17203C32"/>
    <w:rsid w:val="1740460A"/>
    <w:rsid w:val="17800EAB"/>
    <w:rsid w:val="17824C23"/>
    <w:rsid w:val="17852965"/>
    <w:rsid w:val="1787048B"/>
    <w:rsid w:val="178757A6"/>
    <w:rsid w:val="17AA4179"/>
    <w:rsid w:val="17E23FEB"/>
    <w:rsid w:val="17E56F60"/>
    <w:rsid w:val="17FD24FB"/>
    <w:rsid w:val="18023FB5"/>
    <w:rsid w:val="182774AF"/>
    <w:rsid w:val="18397C4D"/>
    <w:rsid w:val="184E2D57"/>
    <w:rsid w:val="18736C61"/>
    <w:rsid w:val="18754787"/>
    <w:rsid w:val="188A2F7E"/>
    <w:rsid w:val="18A312F5"/>
    <w:rsid w:val="18CB25F9"/>
    <w:rsid w:val="18D55226"/>
    <w:rsid w:val="18DF60A5"/>
    <w:rsid w:val="18E45469"/>
    <w:rsid w:val="19010DAE"/>
    <w:rsid w:val="19362169"/>
    <w:rsid w:val="19874772"/>
    <w:rsid w:val="19B7492C"/>
    <w:rsid w:val="19C05ED6"/>
    <w:rsid w:val="19CC6629"/>
    <w:rsid w:val="19D803FD"/>
    <w:rsid w:val="1A07140F"/>
    <w:rsid w:val="1A18361C"/>
    <w:rsid w:val="1A385A6D"/>
    <w:rsid w:val="1A5328A6"/>
    <w:rsid w:val="1ABF1CEA"/>
    <w:rsid w:val="1ACE0302"/>
    <w:rsid w:val="1AF67C98"/>
    <w:rsid w:val="1B502705"/>
    <w:rsid w:val="1B744BA6"/>
    <w:rsid w:val="1BB2184F"/>
    <w:rsid w:val="1C112A19"/>
    <w:rsid w:val="1C224C26"/>
    <w:rsid w:val="1C6E5776"/>
    <w:rsid w:val="1C992AC9"/>
    <w:rsid w:val="1CC7132A"/>
    <w:rsid w:val="1CEB14BC"/>
    <w:rsid w:val="1CF66774"/>
    <w:rsid w:val="1D0E353D"/>
    <w:rsid w:val="1D1463AF"/>
    <w:rsid w:val="1D1806F9"/>
    <w:rsid w:val="1D24052A"/>
    <w:rsid w:val="1D28001A"/>
    <w:rsid w:val="1D3F5364"/>
    <w:rsid w:val="1D464944"/>
    <w:rsid w:val="1D5976E8"/>
    <w:rsid w:val="1D62418B"/>
    <w:rsid w:val="1D8611E5"/>
    <w:rsid w:val="1DB7314C"/>
    <w:rsid w:val="1DE63A32"/>
    <w:rsid w:val="1E262080"/>
    <w:rsid w:val="1E42335E"/>
    <w:rsid w:val="1E4E595E"/>
    <w:rsid w:val="1E8219AC"/>
    <w:rsid w:val="1E85324A"/>
    <w:rsid w:val="1EA062D6"/>
    <w:rsid w:val="1EB77FDE"/>
    <w:rsid w:val="1EC2624D"/>
    <w:rsid w:val="1EE12B77"/>
    <w:rsid w:val="1EE837F5"/>
    <w:rsid w:val="1EF503D0"/>
    <w:rsid w:val="1EFC0E50"/>
    <w:rsid w:val="1F0625DD"/>
    <w:rsid w:val="1F06438B"/>
    <w:rsid w:val="1F176BD8"/>
    <w:rsid w:val="1F2760B0"/>
    <w:rsid w:val="1F4153C3"/>
    <w:rsid w:val="1F471F94"/>
    <w:rsid w:val="1F574BE7"/>
    <w:rsid w:val="1F5E41C7"/>
    <w:rsid w:val="1FAA740D"/>
    <w:rsid w:val="1FC72A32"/>
    <w:rsid w:val="1FCC16BC"/>
    <w:rsid w:val="1FD224BF"/>
    <w:rsid w:val="1FE50445"/>
    <w:rsid w:val="205253AE"/>
    <w:rsid w:val="20717F2A"/>
    <w:rsid w:val="209239FD"/>
    <w:rsid w:val="20B56069"/>
    <w:rsid w:val="20C91B14"/>
    <w:rsid w:val="210F3084"/>
    <w:rsid w:val="21182154"/>
    <w:rsid w:val="211A10FC"/>
    <w:rsid w:val="213A47C0"/>
    <w:rsid w:val="21442F49"/>
    <w:rsid w:val="214E5B76"/>
    <w:rsid w:val="217C0935"/>
    <w:rsid w:val="2188552B"/>
    <w:rsid w:val="219204A8"/>
    <w:rsid w:val="21B75E11"/>
    <w:rsid w:val="21BA145D"/>
    <w:rsid w:val="21BC537D"/>
    <w:rsid w:val="21BE2CFB"/>
    <w:rsid w:val="21C10A3D"/>
    <w:rsid w:val="21C81DCC"/>
    <w:rsid w:val="21C916A0"/>
    <w:rsid w:val="21D4251F"/>
    <w:rsid w:val="21D67C01"/>
    <w:rsid w:val="21EF55AB"/>
    <w:rsid w:val="22183A83"/>
    <w:rsid w:val="22327245"/>
    <w:rsid w:val="227427BA"/>
    <w:rsid w:val="22833F45"/>
    <w:rsid w:val="22A419E0"/>
    <w:rsid w:val="22B42350"/>
    <w:rsid w:val="22C95DFC"/>
    <w:rsid w:val="22CE3412"/>
    <w:rsid w:val="22F15352"/>
    <w:rsid w:val="23143A47"/>
    <w:rsid w:val="232272BA"/>
    <w:rsid w:val="23241284"/>
    <w:rsid w:val="232B2612"/>
    <w:rsid w:val="235002CB"/>
    <w:rsid w:val="235C3843"/>
    <w:rsid w:val="237076FE"/>
    <w:rsid w:val="237862B5"/>
    <w:rsid w:val="23B048C6"/>
    <w:rsid w:val="23B40A5E"/>
    <w:rsid w:val="23C245F9"/>
    <w:rsid w:val="24264B88"/>
    <w:rsid w:val="242A28CA"/>
    <w:rsid w:val="24373239"/>
    <w:rsid w:val="2474515A"/>
    <w:rsid w:val="248024EA"/>
    <w:rsid w:val="24855D52"/>
    <w:rsid w:val="24A86222"/>
    <w:rsid w:val="24D46CDA"/>
    <w:rsid w:val="24DD793C"/>
    <w:rsid w:val="256A2BF5"/>
    <w:rsid w:val="2584425C"/>
    <w:rsid w:val="2589216E"/>
    <w:rsid w:val="25A26067"/>
    <w:rsid w:val="25BF5294"/>
    <w:rsid w:val="25D24FC7"/>
    <w:rsid w:val="25E84712"/>
    <w:rsid w:val="260809E9"/>
    <w:rsid w:val="26543C2E"/>
    <w:rsid w:val="265C6F87"/>
    <w:rsid w:val="2663549E"/>
    <w:rsid w:val="268564DD"/>
    <w:rsid w:val="26977FBF"/>
    <w:rsid w:val="26CC19EC"/>
    <w:rsid w:val="26FD2518"/>
    <w:rsid w:val="271B474C"/>
    <w:rsid w:val="271E248E"/>
    <w:rsid w:val="27473793"/>
    <w:rsid w:val="275D513D"/>
    <w:rsid w:val="27713481"/>
    <w:rsid w:val="277F117F"/>
    <w:rsid w:val="277F4CDB"/>
    <w:rsid w:val="278D4784"/>
    <w:rsid w:val="27CC7C71"/>
    <w:rsid w:val="27CE5769"/>
    <w:rsid w:val="27DF39CB"/>
    <w:rsid w:val="27F84A8D"/>
    <w:rsid w:val="28053236"/>
    <w:rsid w:val="28292E99"/>
    <w:rsid w:val="282D0BDB"/>
    <w:rsid w:val="283D6944"/>
    <w:rsid w:val="285162F7"/>
    <w:rsid w:val="28A80261"/>
    <w:rsid w:val="28AC5B67"/>
    <w:rsid w:val="28AD1D1C"/>
    <w:rsid w:val="28DB0637"/>
    <w:rsid w:val="28E55011"/>
    <w:rsid w:val="29114058"/>
    <w:rsid w:val="298727C9"/>
    <w:rsid w:val="29BF1D06"/>
    <w:rsid w:val="2A0E2346"/>
    <w:rsid w:val="2A263B34"/>
    <w:rsid w:val="2A356FC9"/>
    <w:rsid w:val="2A4C2E6E"/>
    <w:rsid w:val="2A612DBE"/>
    <w:rsid w:val="2A81520E"/>
    <w:rsid w:val="2AAD26AE"/>
    <w:rsid w:val="2AF34750"/>
    <w:rsid w:val="2B073965"/>
    <w:rsid w:val="2B2D0EF2"/>
    <w:rsid w:val="2B3C1135"/>
    <w:rsid w:val="2B5244B4"/>
    <w:rsid w:val="2B540015"/>
    <w:rsid w:val="2B674404"/>
    <w:rsid w:val="2B69017C"/>
    <w:rsid w:val="2B6F32B8"/>
    <w:rsid w:val="2B7B6001"/>
    <w:rsid w:val="2B915868"/>
    <w:rsid w:val="2BAF3823"/>
    <w:rsid w:val="2BB1567F"/>
    <w:rsid w:val="2BFF288E"/>
    <w:rsid w:val="2C1C51EE"/>
    <w:rsid w:val="2C293467"/>
    <w:rsid w:val="2C332538"/>
    <w:rsid w:val="2C3A5674"/>
    <w:rsid w:val="2C4E1120"/>
    <w:rsid w:val="2C5658DF"/>
    <w:rsid w:val="2C6B1CD2"/>
    <w:rsid w:val="2C7D37B3"/>
    <w:rsid w:val="2CAE7E10"/>
    <w:rsid w:val="2CBE62A5"/>
    <w:rsid w:val="2CC211BA"/>
    <w:rsid w:val="2CD51841"/>
    <w:rsid w:val="2CE37ABA"/>
    <w:rsid w:val="2CE71B53"/>
    <w:rsid w:val="2CE90E48"/>
    <w:rsid w:val="2CEF46B1"/>
    <w:rsid w:val="2CF00429"/>
    <w:rsid w:val="2CF41CC7"/>
    <w:rsid w:val="2D320A41"/>
    <w:rsid w:val="2D46629B"/>
    <w:rsid w:val="2D6D3827"/>
    <w:rsid w:val="2D727090"/>
    <w:rsid w:val="2D80355B"/>
    <w:rsid w:val="2D8172D3"/>
    <w:rsid w:val="2DA35475"/>
    <w:rsid w:val="2DAC07F4"/>
    <w:rsid w:val="2DB33930"/>
    <w:rsid w:val="2DB63420"/>
    <w:rsid w:val="2DF31F7F"/>
    <w:rsid w:val="2E1819E5"/>
    <w:rsid w:val="2E24482E"/>
    <w:rsid w:val="2E262354"/>
    <w:rsid w:val="2E4C168F"/>
    <w:rsid w:val="2E67296D"/>
    <w:rsid w:val="2E823302"/>
    <w:rsid w:val="2E954DE4"/>
    <w:rsid w:val="2EB45BB2"/>
    <w:rsid w:val="2EC8340B"/>
    <w:rsid w:val="2ED3590C"/>
    <w:rsid w:val="2EE1627B"/>
    <w:rsid w:val="2EEB534C"/>
    <w:rsid w:val="2F176141"/>
    <w:rsid w:val="2F4A2072"/>
    <w:rsid w:val="2F4B1946"/>
    <w:rsid w:val="2F633134"/>
    <w:rsid w:val="2F725125"/>
    <w:rsid w:val="2FC64215"/>
    <w:rsid w:val="2FCF4325"/>
    <w:rsid w:val="2FED0C50"/>
    <w:rsid w:val="2FF40230"/>
    <w:rsid w:val="30000983"/>
    <w:rsid w:val="301829BD"/>
    <w:rsid w:val="30185CCC"/>
    <w:rsid w:val="301A5EE8"/>
    <w:rsid w:val="302F1268"/>
    <w:rsid w:val="303341BC"/>
    <w:rsid w:val="303A20E7"/>
    <w:rsid w:val="303D1BD7"/>
    <w:rsid w:val="305459C9"/>
    <w:rsid w:val="307A6987"/>
    <w:rsid w:val="309A2B85"/>
    <w:rsid w:val="309A4933"/>
    <w:rsid w:val="30BA3228"/>
    <w:rsid w:val="30FC739C"/>
    <w:rsid w:val="3185546C"/>
    <w:rsid w:val="31B71515"/>
    <w:rsid w:val="31C746CA"/>
    <w:rsid w:val="31CA749A"/>
    <w:rsid w:val="31CD0D39"/>
    <w:rsid w:val="31DC0F7C"/>
    <w:rsid w:val="31E3230A"/>
    <w:rsid w:val="320C360F"/>
    <w:rsid w:val="32565BFD"/>
    <w:rsid w:val="32877139"/>
    <w:rsid w:val="329A50BF"/>
    <w:rsid w:val="329D755D"/>
    <w:rsid w:val="32B67A1F"/>
    <w:rsid w:val="32D82BC2"/>
    <w:rsid w:val="33042538"/>
    <w:rsid w:val="33134E71"/>
    <w:rsid w:val="33152997"/>
    <w:rsid w:val="332826CA"/>
    <w:rsid w:val="333C6176"/>
    <w:rsid w:val="33743B62"/>
    <w:rsid w:val="338673F1"/>
    <w:rsid w:val="33870B56"/>
    <w:rsid w:val="33AB50A9"/>
    <w:rsid w:val="33C05C80"/>
    <w:rsid w:val="33E07163"/>
    <w:rsid w:val="33E25C38"/>
    <w:rsid w:val="33E365F1"/>
    <w:rsid w:val="33E660E2"/>
    <w:rsid w:val="34117602"/>
    <w:rsid w:val="343B467F"/>
    <w:rsid w:val="34586FDF"/>
    <w:rsid w:val="345B087E"/>
    <w:rsid w:val="346C2A8B"/>
    <w:rsid w:val="34821AC9"/>
    <w:rsid w:val="349D0E96"/>
    <w:rsid w:val="34B955A4"/>
    <w:rsid w:val="34D523DE"/>
    <w:rsid w:val="34EC3BCC"/>
    <w:rsid w:val="350D601C"/>
    <w:rsid w:val="351B1DBB"/>
    <w:rsid w:val="3538296D"/>
    <w:rsid w:val="35586B6B"/>
    <w:rsid w:val="356D6BB3"/>
    <w:rsid w:val="35747E49"/>
    <w:rsid w:val="358D4A67"/>
    <w:rsid w:val="35BC534C"/>
    <w:rsid w:val="35F25212"/>
    <w:rsid w:val="36050AA1"/>
    <w:rsid w:val="36054F45"/>
    <w:rsid w:val="361361A2"/>
    <w:rsid w:val="36A02BCE"/>
    <w:rsid w:val="36BD75CE"/>
    <w:rsid w:val="36EE3C2B"/>
    <w:rsid w:val="370D7608"/>
    <w:rsid w:val="37321D6A"/>
    <w:rsid w:val="37533A8E"/>
    <w:rsid w:val="37737C8C"/>
    <w:rsid w:val="3776777C"/>
    <w:rsid w:val="377E4FAF"/>
    <w:rsid w:val="37906A90"/>
    <w:rsid w:val="37A12A17"/>
    <w:rsid w:val="37B409D1"/>
    <w:rsid w:val="37C2045E"/>
    <w:rsid w:val="37D2524A"/>
    <w:rsid w:val="37E1109A"/>
    <w:rsid w:val="37E34E12"/>
    <w:rsid w:val="37E961A0"/>
    <w:rsid w:val="37FE39FA"/>
    <w:rsid w:val="382F62A9"/>
    <w:rsid w:val="38397128"/>
    <w:rsid w:val="384B0C09"/>
    <w:rsid w:val="38606463"/>
    <w:rsid w:val="386A5533"/>
    <w:rsid w:val="38AA5930"/>
    <w:rsid w:val="38B22A36"/>
    <w:rsid w:val="38B544F0"/>
    <w:rsid w:val="38BD1B07"/>
    <w:rsid w:val="38EA6BBB"/>
    <w:rsid w:val="38F1355F"/>
    <w:rsid w:val="393500E5"/>
    <w:rsid w:val="395C1320"/>
    <w:rsid w:val="39A64349"/>
    <w:rsid w:val="39C649EB"/>
    <w:rsid w:val="39C80763"/>
    <w:rsid w:val="39E3734B"/>
    <w:rsid w:val="39ED58C6"/>
    <w:rsid w:val="39FF372A"/>
    <w:rsid w:val="3A12378C"/>
    <w:rsid w:val="3A414F2A"/>
    <w:rsid w:val="3A5E4C24"/>
    <w:rsid w:val="3A6164C2"/>
    <w:rsid w:val="3A987C2E"/>
    <w:rsid w:val="3AB74334"/>
    <w:rsid w:val="3AB962FE"/>
    <w:rsid w:val="3ACC7DDF"/>
    <w:rsid w:val="3AD66EB0"/>
    <w:rsid w:val="3ADD589B"/>
    <w:rsid w:val="3AE35129"/>
    <w:rsid w:val="3B0E03F8"/>
    <w:rsid w:val="3B0F1368"/>
    <w:rsid w:val="3B187F55"/>
    <w:rsid w:val="3B3B389F"/>
    <w:rsid w:val="3B4756B8"/>
    <w:rsid w:val="3B9A612F"/>
    <w:rsid w:val="3B9B5A04"/>
    <w:rsid w:val="3BAE3989"/>
    <w:rsid w:val="3BB05953"/>
    <w:rsid w:val="3BC431AC"/>
    <w:rsid w:val="3C3253AD"/>
    <w:rsid w:val="3C495460"/>
    <w:rsid w:val="3C5207B8"/>
    <w:rsid w:val="3C5938F5"/>
    <w:rsid w:val="3C686727"/>
    <w:rsid w:val="3C744382"/>
    <w:rsid w:val="3C756255"/>
    <w:rsid w:val="3CD15B81"/>
    <w:rsid w:val="3CD1792F"/>
    <w:rsid w:val="3CE5162C"/>
    <w:rsid w:val="3D196D3B"/>
    <w:rsid w:val="3D3305EA"/>
    <w:rsid w:val="3D402D06"/>
    <w:rsid w:val="3D5B544A"/>
    <w:rsid w:val="3DA45043"/>
    <w:rsid w:val="3DAC3EF8"/>
    <w:rsid w:val="3DB1150E"/>
    <w:rsid w:val="3DDD0555"/>
    <w:rsid w:val="3DDD2303"/>
    <w:rsid w:val="3E1C2E2C"/>
    <w:rsid w:val="3E23240C"/>
    <w:rsid w:val="3E432AAE"/>
    <w:rsid w:val="3E677EB8"/>
    <w:rsid w:val="3E7E7642"/>
    <w:rsid w:val="3E88226F"/>
    <w:rsid w:val="3E8D3D29"/>
    <w:rsid w:val="3EA572C5"/>
    <w:rsid w:val="3EB92D70"/>
    <w:rsid w:val="3ED61798"/>
    <w:rsid w:val="3EF773F5"/>
    <w:rsid w:val="3EF9316D"/>
    <w:rsid w:val="3F0062A9"/>
    <w:rsid w:val="3F0A7128"/>
    <w:rsid w:val="3F153D9D"/>
    <w:rsid w:val="3F4343E8"/>
    <w:rsid w:val="3F4C7741"/>
    <w:rsid w:val="3F620D12"/>
    <w:rsid w:val="3F760C61"/>
    <w:rsid w:val="3FA05CDE"/>
    <w:rsid w:val="3FBD5246"/>
    <w:rsid w:val="3FC221B7"/>
    <w:rsid w:val="3FC27A03"/>
    <w:rsid w:val="3FFD4EDF"/>
    <w:rsid w:val="404623E2"/>
    <w:rsid w:val="405745EF"/>
    <w:rsid w:val="405B3CA7"/>
    <w:rsid w:val="4084115C"/>
    <w:rsid w:val="409A08EC"/>
    <w:rsid w:val="40A2448B"/>
    <w:rsid w:val="40D23C76"/>
    <w:rsid w:val="41120516"/>
    <w:rsid w:val="4113345B"/>
    <w:rsid w:val="41135982"/>
    <w:rsid w:val="41232723"/>
    <w:rsid w:val="412D70FE"/>
    <w:rsid w:val="41344930"/>
    <w:rsid w:val="414C7ECC"/>
    <w:rsid w:val="41962EF5"/>
    <w:rsid w:val="419E624E"/>
    <w:rsid w:val="41A01FC6"/>
    <w:rsid w:val="41B15F81"/>
    <w:rsid w:val="41CE268F"/>
    <w:rsid w:val="41ED051A"/>
    <w:rsid w:val="41F83BB0"/>
    <w:rsid w:val="420662CD"/>
    <w:rsid w:val="42134546"/>
    <w:rsid w:val="425B77E2"/>
    <w:rsid w:val="427174BE"/>
    <w:rsid w:val="42876CE2"/>
    <w:rsid w:val="42B51AA1"/>
    <w:rsid w:val="42B86E9B"/>
    <w:rsid w:val="42BF022A"/>
    <w:rsid w:val="42C13FA2"/>
    <w:rsid w:val="42C45840"/>
    <w:rsid w:val="430F7403"/>
    <w:rsid w:val="43144A19"/>
    <w:rsid w:val="43354818"/>
    <w:rsid w:val="434A21E9"/>
    <w:rsid w:val="434F7AA6"/>
    <w:rsid w:val="438A6A89"/>
    <w:rsid w:val="438D657A"/>
    <w:rsid w:val="439416B6"/>
    <w:rsid w:val="439873F8"/>
    <w:rsid w:val="43F81C45"/>
    <w:rsid w:val="44022AC4"/>
    <w:rsid w:val="440B5E1C"/>
    <w:rsid w:val="441B5933"/>
    <w:rsid w:val="442567B2"/>
    <w:rsid w:val="44453DDE"/>
    <w:rsid w:val="445F6430"/>
    <w:rsid w:val="446E1F07"/>
    <w:rsid w:val="44735770"/>
    <w:rsid w:val="447A4D50"/>
    <w:rsid w:val="447C0AC8"/>
    <w:rsid w:val="447F4114"/>
    <w:rsid w:val="448E4357"/>
    <w:rsid w:val="44AB6CB7"/>
    <w:rsid w:val="44F71EFD"/>
    <w:rsid w:val="45036AF3"/>
    <w:rsid w:val="4517434D"/>
    <w:rsid w:val="4545710C"/>
    <w:rsid w:val="457235DD"/>
    <w:rsid w:val="458A0FC3"/>
    <w:rsid w:val="458D0AB3"/>
    <w:rsid w:val="45B7168C"/>
    <w:rsid w:val="45BB1D3B"/>
    <w:rsid w:val="45CA13BF"/>
    <w:rsid w:val="45F4468E"/>
    <w:rsid w:val="46195EA3"/>
    <w:rsid w:val="46405B25"/>
    <w:rsid w:val="466C691A"/>
    <w:rsid w:val="46B34549"/>
    <w:rsid w:val="46CE4EDF"/>
    <w:rsid w:val="472745EF"/>
    <w:rsid w:val="479D0583"/>
    <w:rsid w:val="47B41ED5"/>
    <w:rsid w:val="47D05CB3"/>
    <w:rsid w:val="47D06A35"/>
    <w:rsid w:val="47EA7AF7"/>
    <w:rsid w:val="4847319B"/>
    <w:rsid w:val="486024AF"/>
    <w:rsid w:val="486C49B0"/>
    <w:rsid w:val="488F68F0"/>
    <w:rsid w:val="4897323F"/>
    <w:rsid w:val="48B15FD5"/>
    <w:rsid w:val="48CA1A5F"/>
    <w:rsid w:val="48E22EC4"/>
    <w:rsid w:val="49040193"/>
    <w:rsid w:val="492603D9"/>
    <w:rsid w:val="493C6A78"/>
    <w:rsid w:val="4A111CB3"/>
    <w:rsid w:val="4A1778D2"/>
    <w:rsid w:val="4A275032"/>
    <w:rsid w:val="4A3C6604"/>
    <w:rsid w:val="4A6A3171"/>
    <w:rsid w:val="4A7E6C1C"/>
    <w:rsid w:val="4A8F2BD7"/>
    <w:rsid w:val="4A934476"/>
    <w:rsid w:val="4A995804"/>
    <w:rsid w:val="4ABF170F"/>
    <w:rsid w:val="4AC72371"/>
    <w:rsid w:val="4AE81078"/>
    <w:rsid w:val="4B296B88"/>
    <w:rsid w:val="4B4B6AFE"/>
    <w:rsid w:val="4B69167A"/>
    <w:rsid w:val="4B6D2F19"/>
    <w:rsid w:val="4B810772"/>
    <w:rsid w:val="4B840262"/>
    <w:rsid w:val="4B901993"/>
    <w:rsid w:val="4B991F60"/>
    <w:rsid w:val="4B9A5CD8"/>
    <w:rsid w:val="4BB5041C"/>
    <w:rsid w:val="4BD25472"/>
    <w:rsid w:val="4BF7130F"/>
    <w:rsid w:val="4C3457E4"/>
    <w:rsid w:val="4C370E7A"/>
    <w:rsid w:val="4C465518"/>
    <w:rsid w:val="4C51283A"/>
    <w:rsid w:val="4C5916EF"/>
    <w:rsid w:val="4C5D11DF"/>
    <w:rsid w:val="4C891FD4"/>
    <w:rsid w:val="4C9170DB"/>
    <w:rsid w:val="4CA961D2"/>
    <w:rsid w:val="4CE0596C"/>
    <w:rsid w:val="4D0F7FFF"/>
    <w:rsid w:val="4D1A70D0"/>
    <w:rsid w:val="4D277999"/>
    <w:rsid w:val="4D3D2DBF"/>
    <w:rsid w:val="4D714816"/>
    <w:rsid w:val="4D7F6F33"/>
    <w:rsid w:val="4E0D09E3"/>
    <w:rsid w:val="4E10402F"/>
    <w:rsid w:val="4E184ECF"/>
    <w:rsid w:val="4E246BF6"/>
    <w:rsid w:val="4E6F51FA"/>
    <w:rsid w:val="4E7B3B9E"/>
    <w:rsid w:val="4ECD1F20"/>
    <w:rsid w:val="4F0A0A7E"/>
    <w:rsid w:val="4F2204BE"/>
    <w:rsid w:val="4F4F5912"/>
    <w:rsid w:val="4F5543EF"/>
    <w:rsid w:val="4F622668"/>
    <w:rsid w:val="4FB9432B"/>
    <w:rsid w:val="4FCB6460"/>
    <w:rsid w:val="4FF77255"/>
    <w:rsid w:val="4FFB33B9"/>
    <w:rsid w:val="4FFC486B"/>
    <w:rsid w:val="5006393C"/>
    <w:rsid w:val="500A342C"/>
    <w:rsid w:val="501222E0"/>
    <w:rsid w:val="5019366F"/>
    <w:rsid w:val="50324731"/>
    <w:rsid w:val="50342257"/>
    <w:rsid w:val="50610B72"/>
    <w:rsid w:val="506B7C43"/>
    <w:rsid w:val="508F0A57"/>
    <w:rsid w:val="50A0169A"/>
    <w:rsid w:val="50B43398"/>
    <w:rsid w:val="50C35389"/>
    <w:rsid w:val="51142088"/>
    <w:rsid w:val="512A6844"/>
    <w:rsid w:val="51383FC9"/>
    <w:rsid w:val="513D513B"/>
    <w:rsid w:val="515406D7"/>
    <w:rsid w:val="51764AF1"/>
    <w:rsid w:val="517843C5"/>
    <w:rsid w:val="51D07D5D"/>
    <w:rsid w:val="51DF4444"/>
    <w:rsid w:val="51E97071"/>
    <w:rsid w:val="5212481A"/>
    <w:rsid w:val="52377DDC"/>
    <w:rsid w:val="52412A09"/>
    <w:rsid w:val="52500E9E"/>
    <w:rsid w:val="525564B4"/>
    <w:rsid w:val="528079D5"/>
    <w:rsid w:val="5294522F"/>
    <w:rsid w:val="52AE4858"/>
    <w:rsid w:val="52AF3E17"/>
    <w:rsid w:val="52D01FDF"/>
    <w:rsid w:val="52E2243E"/>
    <w:rsid w:val="52E87329"/>
    <w:rsid w:val="52EF6909"/>
    <w:rsid w:val="52F201A7"/>
    <w:rsid w:val="530D444F"/>
    <w:rsid w:val="53165C44"/>
    <w:rsid w:val="531E132F"/>
    <w:rsid w:val="53346A12"/>
    <w:rsid w:val="534F1156"/>
    <w:rsid w:val="5373753A"/>
    <w:rsid w:val="537B38A5"/>
    <w:rsid w:val="538452A3"/>
    <w:rsid w:val="538C4158"/>
    <w:rsid w:val="53933738"/>
    <w:rsid w:val="53B37937"/>
    <w:rsid w:val="53E21FCA"/>
    <w:rsid w:val="53E765FA"/>
    <w:rsid w:val="53FC752F"/>
    <w:rsid w:val="542425E2"/>
    <w:rsid w:val="548C422E"/>
    <w:rsid w:val="548D0188"/>
    <w:rsid w:val="54C6369A"/>
    <w:rsid w:val="55110DB9"/>
    <w:rsid w:val="55214D74"/>
    <w:rsid w:val="555B64D8"/>
    <w:rsid w:val="556F5ADF"/>
    <w:rsid w:val="55713605"/>
    <w:rsid w:val="557355CF"/>
    <w:rsid w:val="557B4484"/>
    <w:rsid w:val="558F3421"/>
    <w:rsid w:val="559455FC"/>
    <w:rsid w:val="55BB0D24"/>
    <w:rsid w:val="55C41DD4"/>
    <w:rsid w:val="55DE219A"/>
    <w:rsid w:val="55F36710"/>
    <w:rsid w:val="55F601F2"/>
    <w:rsid w:val="56051FA0"/>
    <w:rsid w:val="560B1CAC"/>
    <w:rsid w:val="561F7505"/>
    <w:rsid w:val="565A053D"/>
    <w:rsid w:val="567315FF"/>
    <w:rsid w:val="567C6706"/>
    <w:rsid w:val="56C34335"/>
    <w:rsid w:val="57120E18"/>
    <w:rsid w:val="571921A6"/>
    <w:rsid w:val="573F1F55"/>
    <w:rsid w:val="574D00A2"/>
    <w:rsid w:val="574E2D7B"/>
    <w:rsid w:val="576158FB"/>
    <w:rsid w:val="5774562F"/>
    <w:rsid w:val="580544D9"/>
    <w:rsid w:val="582C7CB7"/>
    <w:rsid w:val="58450D79"/>
    <w:rsid w:val="5853793A"/>
    <w:rsid w:val="586E207E"/>
    <w:rsid w:val="58767185"/>
    <w:rsid w:val="587F428B"/>
    <w:rsid w:val="58913FBE"/>
    <w:rsid w:val="58934A68"/>
    <w:rsid w:val="58977368"/>
    <w:rsid w:val="58B008E9"/>
    <w:rsid w:val="58DE5456"/>
    <w:rsid w:val="591B0458"/>
    <w:rsid w:val="592F3F03"/>
    <w:rsid w:val="59597EA9"/>
    <w:rsid w:val="596040BD"/>
    <w:rsid w:val="597E2795"/>
    <w:rsid w:val="5991071A"/>
    <w:rsid w:val="59B241EC"/>
    <w:rsid w:val="59CF1DE7"/>
    <w:rsid w:val="59ED4EE0"/>
    <w:rsid w:val="59EF5441"/>
    <w:rsid w:val="5A0C0E5D"/>
    <w:rsid w:val="5A1D5B0A"/>
    <w:rsid w:val="5A494B51"/>
    <w:rsid w:val="5A4C2893"/>
    <w:rsid w:val="5A5534F6"/>
    <w:rsid w:val="5A582FE6"/>
    <w:rsid w:val="5A587827"/>
    <w:rsid w:val="5A5D1DF7"/>
    <w:rsid w:val="5A6C4CE3"/>
    <w:rsid w:val="5A932D1D"/>
    <w:rsid w:val="5AB20948"/>
    <w:rsid w:val="5AE40D1D"/>
    <w:rsid w:val="5AF80325"/>
    <w:rsid w:val="5B062A42"/>
    <w:rsid w:val="5B084A0C"/>
    <w:rsid w:val="5B1C2265"/>
    <w:rsid w:val="5B4517BC"/>
    <w:rsid w:val="5BC30933"/>
    <w:rsid w:val="5BD14DFE"/>
    <w:rsid w:val="5C1967A5"/>
    <w:rsid w:val="5C1E3DBB"/>
    <w:rsid w:val="5C361105"/>
    <w:rsid w:val="5C550BA8"/>
    <w:rsid w:val="5C902F0B"/>
    <w:rsid w:val="5C9A545C"/>
    <w:rsid w:val="5C9C18B0"/>
    <w:rsid w:val="5CA2679A"/>
    <w:rsid w:val="5CB564CD"/>
    <w:rsid w:val="5CB762E9"/>
    <w:rsid w:val="5CBF559E"/>
    <w:rsid w:val="5CC012C2"/>
    <w:rsid w:val="5CF05758"/>
    <w:rsid w:val="5D0E2082"/>
    <w:rsid w:val="5D26561D"/>
    <w:rsid w:val="5D355860"/>
    <w:rsid w:val="5D4E18AD"/>
    <w:rsid w:val="5D5C2DED"/>
    <w:rsid w:val="5D83037A"/>
    <w:rsid w:val="5D964551"/>
    <w:rsid w:val="5D9A2CAA"/>
    <w:rsid w:val="5DBE7604"/>
    <w:rsid w:val="5E087942"/>
    <w:rsid w:val="5E23390B"/>
    <w:rsid w:val="5E4E6BDA"/>
    <w:rsid w:val="5E510478"/>
    <w:rsid w:val="5E626464"/>
    <w:rsid w:val="5E7B5197"/>
    <w:rsid w:val="5E7E5033"/>
    <w:rsid w:val="5E7E6D93"/>
    <w:rsid w:val="5E850121"/>
    <w:rsid w:val="5E856373"/>
    <w:rsid w:val="5EB10F16"/>
    <w:rsid w:val="5EC40C4A"/>
    <w:rsid w:val="5EC450EE"/>
    <w:rsid w:val="5EC53BE9"/>
    <w:rsid w:val="5EE25574"/>
    <w:rsid w:val="5F0279C4"/>
    <w:rsid w:val="5F0805D5"/>
    <w:rsid w:val="5F904FD0"/>
    <w:rsid w:val="5F954394"/>
    <w:rsid w:val="5FDA624B"/>
    <w:rsid w:val="5FF53085"/>
    <w:rsid w:val="60274719"/>
    <w:rsid w:val="602F47E9"/>
    <w:rsid w:val="603D5158"/>
    <w:rsid w:val="609E22A7"/>
    <w:rsid w:val="60AA0313"/>
    <w:rsid w:val="60B13450"/>
    <w:rsid w:val="60D86C2E"/>
    <w:rsid w:val="60E5134B"/>
    <w:rsid w:val="60F5158E"/>
    <w:rsid w:val="61007F33"/>
    <w:rsid w:val="61086E32"/>
    <w:rsid w:val="6110461A"/>
    <w:rsid w:val="6118527D"/>
    <w:rsid w:val="6126799A"/>
    <w:rsid w:val="615C33BC"/>
    <w:rsid w:val="61AB4343"/>
    <w:rsid w:val="61AD00BB"/>
    <w:rsid w:val="61BA4CBE"/>
    <w:rsid w:val="61C64CD9"/>
    <w:rsid w:val="61D455C2"/>
    <w:rsid w:val="61E0223F"/>
    <w:rsid w:val="61F53810"/>
    <w:rsid w:val="6200468F"/>
    <w:rsid w:val="620677CB"/>
    <w:rsid w:val="620A71B1"/>
    <w:rsid w:val="622F287E"/>
    <w:rsid w:val="624B51DE"/>
    <w:rsid w:val="62586279"/>
    <w:rsid w:val="6299419B"/>
    <w:rsid w:val="62C3746A"/>
    <w:rsid w:val="62DE42A4"/>
    <w:rsid w:val="63035AB9"/>
    <w:rsid w:val="63247F09"/>
    <w:rsid w:val="63312626"/>
    <w:rsid w:val="63400ABB"/>
    <w:rsid w:val="638B61DA"/>
    <w:rsid w:val="63AF6516"/>
    <w:rsid w:val="63B079EF"/>
    <w:rsid w:val="640227E8"/>
    <w:rsid w:val="640D4E41"/>
    <w:rsid w:val="64340620"/>
    <w:rsid w:val="64414AEB"/>
    <w:rsid w:val="64485E79"/>
    <w:rsid w:val="644F0FB6"/>
    <w:rsid w:val="64721148"/>
    <w:rsid w:val="64917820"/>
    <w:rsid w:val="64A82DBC"/>
    <w:rsid w:val="64D37E39"/>
    <w:rsid w:val="64F7067B"/>
    <w:rsid w:val="651B358E"/>
    <w:rsid w:val="656C203B"/>
    <w:rsid w:val="657131AE"/>
    <w:rsid w:val="65757142"/>
    <w:rsid w:val="65AD68DC"/>
    <w:rsid w:val="65B116C2"/>
    <w:rsid w:val="65B512EC"/>
    <w:rsid w:val="65D976D1"/>
    <w:rsid w:val="65E9368C"/>
    <w:rsid w:val="65FC6F1B"/>
    <w:rsid w:val="661912D6"/>
    <w:rsid w:val="662A7F2C"/>
    <w:rsid w:val="662B15AE"/>
    <w:rsid w:val="66544FA9"/>
    <w:rsid w:val="665B4C91"/>
    <w:rsid w:val="666D1BC7"/>
    <w:rsid w:val="66C0619B"/>
    <w:rsid w:val="66F44096"/>
    <w:rsid w:val="67073DC9"/>
    <w:rsid w:val="6712276E"/>
    <w:rsid w:val="671464E6"/>
    <w:rsid w:val="67346B89"/>
    <w:rsid w:val="675114E9"/>
    <w:rsid w:val="6759039D"/>
    <w:rsid w:val="677156E7"/>
    <w:rsid w:val="678C2521"/>
    <w:rsid w:val="67A96C2F"/>
    <w:rsid w:val="67D77C40"/>
    <w:rsid w:val="67E67E83"/>
    <w:rsid w:val="67EC2AFF"/>
    <w:rsid w:val="683B2007"/>
    <w:rsid w:val="684A65AD"/>
    <w:rsid w:val="685272C6"/>
    <w:rsid w:val="687B4116"/>
    <w:rsid w:val="688431F8"/>
    <w:rsid w:val="688B27D8"/>
    <w:rsid w:val="68A45648"/>
    <w:rsid w:val="68B57855"/>
    <w:rsid w:val="68DE0B5A"/>
    <w:rsid w:val="690019AD"/>
    <w:rsid w:val="690A194F"/>
    <w:rsid w:val="692073C4"/>
    <w:rsid w:val="6949691B"/>
    <w:rsid w:val="69646BD2"/>
    <w:rsid w:val="698739FF"/>
    <w:rsid w:val="698A0CE2"/>
    <w:rsid w:val="69B1626F"/>
    <w:rsid w:val="69BA15C7"/>
    <w:rsid w:val="69EE1271"/>
    <w:rsid w:val="69F17296"/>
    <w:rsid w:val="6A1B7B8C"/>
    <w:rsid w:val="6A2B5972"/>
    <w:rsid w:val="6A537326"/>
    <w:rsid w:val="6A7F14DA"/>
    <w:rsid w:val="6A8219B9"/>
    <w:rsid w:val="6ACD67BC"/>
    <w:rsid w:val="6AE12B83"/>
    <w:rsid w:val="6AE663EC"/>
    <w:rsid w:val="6B2F1B41"/>
    <w:rsid w:val="6B4A697B"/>
    <w:rsid w:val="6B5F7E02"/>
    <w:rsid w:val="6B7D0AFE"/>
    <w:rsid w:val="6B8D78C6"/>
    <w:rsid w:val="6B9E2823"/>
    <w:rsid w:val="6BB80B1D"/>
    <w:rsid w:val="6BB838E4"/>
    <w:rsid w:val="6BBA3B00"/>
    <w:rsid w:val="6BEC358E"/>
    <w:rsid w:val="6BFB3FB8"/>
    <w:rsid w:val="6C167B17"/>
    <w:rsid w:val="6C2814C5"/>
    <w:rsid w:val="6C2D549A"/>
    <w:rsid w:val="6C3F1D6B"/>
    <w:rsid w:val="6C547F14"/>
    <w:rsid w:val="6C5555D7"/>
    <w:rsid w:val="6C8A2F8F"/>
    <w:rsid w:val="6C8B0FF9"/>
    <w:rsid w:val="6C922387"/>
    <w:rsid w:val="6CA125CA"/>
    <w:rsid w:val="6CB467A2"/>
    <w:rsid w:val="6CB87914"/>
    <w:rsid w:val="6CBC7404"/>
    <w:rsid w:val="6CBF6EF4"/>
    <w:rsid w:val="6CD504C6"/>
    <w:rsid w:val="6CDC7AA6"/>
    <w:rsid w:val="6CDE646F"/>
    <w:rsid w:val="6CE8644B"/>
    <w:rsid w:val="6CED3A62"/>
    <w:rsid w:val="6D132CC6"/>
    <w:rsid w:val="6D4A2C62"/>
    <w:rsid w:val="6D5647EE"/>
    <w:rsid w:val="6D592EA5"/>
    <w:rsid w:val="6DC21E86"/>
    <w:rsid w:val="6DC26C9C"/>
    <w:rsid w:val="6DD4077E"/>
    <w:rsid w:val="6DE53D4A"/>
    <w:rsid w:val="6DEA61F3"/>
    <w:rsid w:val="6DF64B98"/>
    <w:rsid w:val="6E3942B6"/>
    <w:rsid w:val="6E5518BE"/>
    <w:rsid w:val="6E82467D"/>
    <w:rsid w:val="6E867CCA"/>
    <w:rsid w:val="6E931659"/>
    <w:rsid w:val="6EA44B79"/>
    <w:rsid w:val="6EBF31DC"/>
    <w:rsid w:val="6F1C062E"/>
    <w:rsid w:val="6F1C418A"/>
    <w:rsid w:val="6F1E6154"/>
    <w:rsid w:val="6F3B2025"/>
    <w:rsid w:val="6F5F1535"/>
    <w:rsid w:val="6F7C2E7B"/>
    <w:rsid w:val="6FB24AEE"/>
    <w:rsid w:val="6FBB1BF5"/>
    <w:rsid w:val="6FDD600F"/>
    <w:rsid w:val="6FE70C3C"/>
    <w:rsid w:val="6FF234A6"/>
    <w:rsid w:val="6FFD045F"/>
    <w:rsid w:val="7004359C"/>
    <w:rsid w:val="700C2451"/>
    <w:rsid w:val="70147557"/>
    <w:rsid w:val="702E23C7"/>
    <w:rsid w:val="704F7C81"/>
    <w:rsid w:val="705838E8"/>
    <w:rsid w:val="706109EE"/>
    <w:rsid w:val="706E4EB9"/>
    <w:rsid w:val="70812E3F"/>
    <w:rsid w:val="70926DFA"/>
    <w:rsid w:val="70932B72"/>
    <w:rsid w:val="709C1A26"/>
    <w:rsid w:val="70B14DA6"/>
    <w:rsid w:val="70C42D2B"/>
    <w:rsid w:val="70D35634"/>
    <w:rsid w:val="71096990"/>
    <w:rsid w:val="71241A1C"/>
    <w:rsid w:val="712F1B12"/>
    <w:rsid w:val="715E0A8A"/>
    <w:rsid w:val="715E4F2E"/>
    <w:rsid w:val="717E737E"/>
    <w:rsid w:val="718C1A9B"/>
    <w:rsid w:val="719B7F30"/>
    <w:rsid w:val="71B50965"/>
    <w:rsid w:val="71B52674"/>
    <w:rsid w:val="71CD79BE"/>
    <w:rsid w:val="71CE4E05"/>
    <w:rsid w:val="71EC253A"/>
    <w:rsid w:val="72165809"/>
    <w:rsid w:val="721970A7"/>
    <w:rsid w:val="722D66AE"/>
    <w:rsid w:val="723313B5"/>
    <w:rsid w:val="72457E9C"/>
    <w:rsid w:val="729624A5"/>
    <w:rsid w:val="72B656D1"/>
    <w:rsid w:val="72C04D9D"/>
    <w:rsid w:val="72E41463"/>
    <w:rsid w:val="72FE6518"/>
    <w:rsid w:val="73075151"/>
    <w:rsid w:val="73441F01"/>
    <w:rsid w:val="73505624"/>
    <w:rsid w:val="73972979"/>
    <w:rsid w:val="73D41CE2"/>
    <w:rsid w:val="74455F31"/>
    <w:rsid w:val="7447614D"/>
    <w:rsid w:val="74583EB6"/>
    <w:rsid w:val="749E3893"/>
    <w:rsid w:val="74A215D5"/>
    <w:rsid w:val="74BF3F35"/>
    <w:rsid w:val="74C23A26"/>
    <w:rsid w:val="74CF3A5A"/>
    <w:rsid w:val="751D6EAE"/>
    <w:rsid w:val="751E0D04"/>
    <w:rsid w:val="75502DDF"/>
    <w:rsid w:val="756E3266"/>
    <w:rsid w:val="759C4F67"/>
    <w:rsid w:val="75E02E70"/>
    <w:rsid w:val="75F220E9"/>
    <w:rsid w:val="75F6131C"/>
    <w:rsid w:val="761A519B"/>
    <w:rsid w:val="76257DC8"/>
    <w:rsid w:val="763224E5"/>
    <w:rsid w:val="764119F8"/>
    <w:rsid w:val="76452218"/>
    <w:rsid w:val="76460D1E"/>
    <w:rsid w:val="764C70B2"/>
    <w:rsid w:val="76546C8E"/>
    <w:rsid w:val="76766876"/>
    <w:rsid w:val="76B850E0"/>
    <w:rsid w:val="76B86E8E"/>
    <w:rsid w:val="76C417C0"/>
    <w:rsid w:val="76C6463F"/>
    <w:rsid w:val="76D57A40"/>
    <w:rsid w:val="76E539FB"/>
    <w:rsid w:val="7718792D"/>
    <w:rsid w:val="77690189"/>
    <w:rsid w:val="776E579F"/>
    <w:rsid w:val="77A25449"/>
    <w:rsid w:val="77CD6969"/>
    <w:rsid w:val="782E5248"/>
    <w:rsid w:val="783562BD"/>
    <w:rsid w:val="783E3BE0"/>
    <w:rsid w:val="7840713B"/>
    <w:rsid w:val="7863107C"/>
    <w:rsid w:val="787D3BB9"/>
    <w:rsid w:val="78815082"/>
    <w:rsid w:val="788B1B55"/>
    <w:rsid w:val="78AA049C"/>
    <w:rsid w:val="78BC253A"/>
    <w:rsid w:val="78C31B1A"/>
    <w:rsid w:val="78DD796B"/>
    <w:rsid w:val="78DE0702"/>
    <w:rsid w:val="79584959"/>
    <w:rsid w:val="79690914"/>
    <w:rsid w:val="7997722F"/>
    <w:rsid w:val="79D42231"/>
    <w:rsid w:val="79D57D57"/>
    <w:rsid w:val="79F44681"/>
    <w:rsid w:val="7A081EDB"/>
    <w:rsid w:val="7A1031EC"/>
    <w:rsid w:val="7A1A1FC7"/>
    <w:rsid w:val="7A4B0019"/>
    <w:rsid w:val="7A965738"/>
    <w:rsid w:val="7AAD65DE"/>
    <w:rsid w:val="7AD41DBD"/>
    <w:rsid w:val="7AD46261"/>
    <w:rsid w:val="7B1044DA"/>
    <w:rsid w:val="7B1F379B"/>
    <w:rsid w:val="7B2D4C8F"/>
    <w:rsid w:val="7B364826"/>
    <w:rsid w:val="7B3B008E"/>
    <w:rsid w:val="7B452A8D"/>
    <w:rsid w:val="7B735A7A"/>
    <w:rsid w:val="7BAB0D70"/>
    <w:rsid w:val="7BBF0CBF"/>
    <w:rsid w:val="7BCD518A"/>
    <w:rsid w:val="7BF5023D"/>
    <w:rsid w:val="7BFA3AA5"/>
    <w:rsid w:val="7C1A7CA3"/>
    <w:rsid w:val="7C29438A"/>
    <w:rsid w:val="7C4E5B9F"/>
    <w:rsid w:val="7C6E0D01"/>
    <w:rsid w:val="7C6F57E2"/>
    <w:rsid w:val="7CA37C99"/>
    <w:rsid w:val="7CA83501"/>
    <w:rsid w:val="7CB93960"/>
    <w:rsid w:val="7CC06A9D"/>
    <w:rsid w:val="7CCD3369"/>
    <w:rsid w:val="7CEF7382"/>
    <w:rsid w:val="7D0E5A5A"/>
    <w:rsid w:val="7D690EE2"/>
    <w:rsid w:val="7D6B2EAC"/>
    <w:rsid w:val="7D731D61"/>
    <w:rsid w:val="7D845D1C"/>
    <w:rsid w:val="7DA57A41"/>
    <w:rsid w:val="7DC12ACC"/>
    <w:rsid w:val="7DC4436B"/>
    <w:rsid w:val="7DC9372F"/>
    <w:rsid w:val="7DD547CA"/>
    <w:rsid w:val="7DD81BC4"/>
    <w:rsid w:val="7DDC7906"/>
    <w:rsid w:val="7E046E5D"/>
    <w:rsid w:val="7E123328"/>
    <w:rsid w:val="7E192908"/>
    <w:rsid w:val="7E424293"/>
    <w:rsid w:val="7E543940"/>
    <w:rsid w:val="7E584AB3"/>
    <w:rsid w:val="7E6214B1"/>
    <w:rsid w:val="7E694F12"/>
    <w:rsid w:val="7E7E09BD"/>
    <w:rsid w:val="7E9F26E2"/>
    <w:rsid w:val="7EB73ECF"/>
    <w:rsid w:val="7EBC6B26"/>
    <w:rsid w:val="7ED405DD"/>
    <w:rsid w:val="7F013C91"/>
    <w:rsid w:val="7F0731C1"/>
    <w:rsid w:val="7F0D1D41"/>
    <w:rsid w:val="7F2A644F"/>
    <w:rsid w:val="7F3379FA"/>
    <w:rsid w:val="7F5259A6"/>
    <w:rsid w:val="7F673200"/>
    <w:rsid w:val="7F710014"/>
    <w:rsid w:val="7FD840FD"/>
    <w:rsid w:val="7FEE56CF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 w:val="0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0" w:firstLine="0" w:firstLineChars="0"/>
      <w:jc w:val="left"/>
      <w:outlineLvl w:val="1"/>
    </w:pPr>
    <w:rPr>
      <w:rFonts w:ascii="Arial" w:hAnsi="Arial"/>
      <w:b/>
      <w:sz w:val="30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 w:val="0"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关键词"/>
    <w:basedOn w:val="1"/>
    <w:qFormat/>
    <w:uiPriority w:val="0"/>
    <w:pPr>
      <w:ind w:firstLine="0" w:firstLineChars="0"/>
    </w:pPr>
    <w:rPr>
      <w:rFonts w:eastAsia="宋体"/>
      <w:bCs/>
    </w:rPr>
  </w:style>
  <w:style w:type="paragraph" w:customStyle="1" w:styleId="16">
    <w:name w:val="参考文献"/>
    <w:basedOn w:val="1"/>
    <w:qFormat/>
    <w:uiPriority w:val="0"/>
    <w:pPr>
      <w:numPr>
        <w:ilvl w:val="0"/>
        <w:numId w:val="2"/>
      </w:numPr>
      <w:ind w:firstLine="0" w:firstLineChars="0"/>
      <w:jc w:val="left"/>
    </w:pPr>
    <w:rPr>
      <w:rFonts w:ascii="Times New Roman" w:hAnsi="Times New Roman"/>
    </w:rPr>
  </w:style>
  <w:style w:type="paragraph" w:customStyle="1" w:styleId="17">
    <w:name w:val="表格"/>
    <w:basedOn w:val="1"/>
    <w:qFormat/>
    <w:uiPriority w:val="0"/>
    <w:pPr>
      <w:ind w:firstLine="0" w:firstLineChars="0"/>
      <w:jc w:val="left"/>
    </w:pPr>
  </w:style>
  <w:style w:type="paragraph" w:customStyle="1" w:styleId="18">
    <w:name w:val="表格文字"/>
    <w:basedOn w:val="1"/>
    <w:qFormat/>
    <w:uiPriority w:val="0"/>
    <w:pPr>
      <w:ind w:firstLine="0" w:firstLineChars="0"/>
      <w:jc w:val="left"/>
    </w:pPr>
    <w:rPr>
      <w:rFonts w:hint="default"/>
    </w:rPr>
  </w:style>
  <w:style w:type="paragraph" w:customStyle="1" w:styleId="19">
    <w:name w:val="图片文字"/>
    <w:basedOn w:val="1"/>
    <w:qFormat/>
    <w:uiPriority w:val="0"/>
    <w:pPr>
      <w:ind w:firstLine="0" w:firstLineChars="0"/>
      <w:jc w:val="center"/>
    </w:pPr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5390</Words>
  <Characters>12022</Characters>
  <Lines>0</Lines>
  <Paragraphs>0</Paragraphs>
  <TotalTime>4</TotalTime>
  <ScaleCrop>false</ScaleCrop>
  <LinksUpToDate>false</LinksUpToDate>
  <CharactersWithSpaces>12650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2023-03-06T04:39:00Z</dcterms:created>
  <dc:creator>lyf</dc:creator>
  <cp:lastModifiedBy>LuYF-Lemon-love</cp:lastModifiedBy>
  <dcterms:modified xsi:type="dcterms:W3CDTF">2023-03-08T15:22:40Z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3E8242A5F97540B59D1474C32DD73ECA</vt:lpwstr>
  </property>
</Properties>
</file>