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bidi w:val="0"/>
        <w:rPr>
          <w:rFonts w:hint="default"/>
          <w:lang w:val="en-US" w:eastAsia="zh-CN"/>
        </w:rPr>
      </w:pPr>
      <w:r>
        <w:rPr>
          <w:rFonts w:hint="eastAsia"/>
          <w:lang w:val="en-US" w:eastAsia="zh-CN"/>
        </w:rPr>
        <w:t>阿尔茨海默病是一种起病隐匿的进行性发展的神经退行性疾病，痴呆表现为主要特征，给社会带来巨大医疗负担，因此迫切需要有效的治疗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评估了知识图谱嵌入模型在测试集的性能，选择RotatE模型作为药物重定位模型；最后，利用知识图谱嵌入模型进行链接预测得出10种治疗阿尔茨海默病的候选药物。除此之外，我们通过对实体和关系的嵌入分析和查阅文献的方法证明了本文的研究方法能够有效的预测治疗阿尔茨海默病的药物，为研究人员提供了全新的思路。本文的源代码可以从https://github.com/LuYF-Lemon-love/AD-KGE处获得。</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 xml:space="preserve"> 引言</w:t>
      </w:r>
    </w:p>
    <w:p>
      <w:pPr>
        <w:rPr>
          <w:rFonts w:hint="eastAsia"/>
          <w:lang w:val="en-US" w:eastAsia="zh-CN"/>
        </w:rPr>
      </w:pPr>
      <w:r>
        <w:rPr>
          <w:rFonts w:hint="eastAsia"/>
          <w:lang w:val="en-US" w:eastAsia="zh-CN"/>
        </w:rPr>
        <w:t>知识图谱（Knowledge Graph，KG）是一种基于图结构存储知识的数据库，主要用于网页搜索、问答系统、推荐任务</w:t>
      </w:r>
      <w:r>
        <w:rPr>
          <w:rFonts w:hint="eastAsia"/>
          <w:vertAlign w:val="superscript"/>
          <w:lang w:val="en-US" w:eastAsia="zh-CN"/>
        </w:rPr>
        <w:fldChar w:fldCharType="begin"/>
      </w:r>
      <w:r>
        <w:rPr>
          <w:rFonts w:hint="eastAsia"/>
          <w:vertAlign w:val="superscript"/>
          <w:lang w:val="en-US" w:eastAsia="zh-CN"/>
        </w:rPr>
        <w:instrText xml:space="preserve"> REF _Ref3069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。知识中的具体事物和抽象概念在 KG 中被表示为实体（entity），实体之间的联系被表示为关系（relation），进而知识被表示成格式为（头实体，关系，尾实体）的三元组。KG是一个由大量的三元组组成的有向图结构，KG中的节点（node）代表上面的实体，边（edge）表示实体间的关系。</w:t>
      </w:r>
    </w:p>
    <w:p>
      <w:pPr>
        <w:rPr>
          <w:rFonts w:hint="default"/>
          <w:lang w:val="en-US" w:eastAsia="zh-CN"/>
        </w:rPr>
      </w:pPr>
      <w:r>
        <w:rPr>
          <w:rFonts w:hint="default"/>
          <w:lang w:val="en-US" w:eastAsia="zh-CN"/>
        </w:rPr>
        <w:t>然而，许多KG都非常巨大，如药物再利用知识图谱（Drug Repurposing Knowledge Graph，DRKG）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包含97238个实体和5874261个三元组。如此巨大的KG，直接像关系数据库一样进行检索和多步推理非常耗时，无法达到现代应用的要求。而且知识图谱具有非常严重的长尾现象，有很多实体与其他实体间仅仅具有很少的关系，对于这些长尾实体，往往很难理解其含义，进而影响对其的推理。因此，如何表示KG并进而将其与深度学习联合是一个近些年热门的领域。</w:t>
      </w:r>
    </w:p>
    <w:p>
      <w:pPr>
        <w:rPr>
          <w:rFonts w:hint="default"/>
          <w:lang w:val="en-US" w:eastAsia="zh-CN"/>
        </w:rPr>
      </w:pPr>
      <w:r>
        <w:rPr>
          <w:rFonts w:hint="eastAsia"/>
          <w:lang w:val="en-US" w:eastAsia="zh-CN"/>
        </w:rPr>
        <w:t>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）是一种将实体和关系表示成低维稠密向量的技术，在这个向量空间内，语义相似的对象之间的距离很近。在过去几年中，研究人员提出了</w:t>
      </w:r>
      <w:r>
        <w:rPr>
          <w:rFonts w:hint="eastAsia"/>
          <w:lang w:val="en-US" w:eastAsia="zh-CN"/>
        </w:rPr>
        <w:t xml:space="preserve">很多 </w:t>
      </w:r>
      <w:r>
        <w:rPr>
          <w:rFonts w:hint="default"/>
          <w:lang w:val="en-US" w:eastAsia="zh-CN"/>
        </w:rPr>
        <w:t>KGE模型来学习实体和关系嵌入</w:t>
      </w:r>
      <w:r>
        <w:rPr>
          <w:rFonts w:hint="eastAsia"/>
          <w:lang w:val="en-US" w:eastAsia="zh-CN"/>
        </w:rPr>
        <w:t>向量，</w:t>
      </w:r>
      <w:r>
        <w:rPr>
          <w:rFonts w:hint="default"/>
          <w:lang w:val="en-US" w:eastAsia="zh-CN"/>
        </w:rPr>
        <w:t>包括但不限于TransE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、TransR</w:t>
      </w:r>
      <w:r>
        <w:rPr>
          <w:rFonts w:hint="default"/>
          <w:vertAlign w:val="superscript"/>
          <w:lang w:val="en-US" w:eastAsia="zh-CN"/>
        </w:rPr>
        <w:fldChar w:fldCharType="begin"/>
      </w:r>
      <w:r>
        <w:rPr>
          <w:rFonts w:hint="default"/>
          <w:vertAlign w:val="superscript"/>
          <w:lang w:val="en-US" w:eastAsia="zh-CN"/>
        </w:rPr>
        <w:instrText xml:space="preserve"> REF _Ref898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、RESCAL</w:t>
      </w:r>
      <w:r>
        <w:rPr>
          <w:rFonts w:hint="default"/>
          <w:vertAlign w:val="superscript"/>
          <w:lang w:val="en-US" w:eastAsia="zh-CN"/>
        </w:rPr>
        <w:fldChar w:fldCharType="begin"/>
      </w:r>
      <w:r>
        <w:rPr>
          <w:rFonts w:hint="default"/>
          <w:vertAlign w:val="superscript"/>
          <w:lang w:val="en-US" w:eastAsia="zh-CN"/>
        </w:rPr>
        <w:instrText xml:space="preserve"> REF _Ref7161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等。</w:t>
      </w:r>
    </w:p>
    <w:p>
      <w:pPr>
        <w:rPr>
          <w:rFonts w:hint="eastAsia"/>
          <w:lang w:val="en-US" w:eastAsia="zh-CN"/>
        </w:rPr>
      </w:pPr>
      <w:r>
        <w:rPr>
          <w:rFonts w:hint="eastAsia"/>
          <w:lang w:val="en-US" w:eastAsia="zh-CN"/>
        </w:rPr>
        <w:t>阿尔茨海默病（</w:t>
      </w:r>
      <w:r>
        <w:rPr>
          <w:rFonts w:hint="default" w:ascii="Times New Roman" w:hAnsi="Times New Roman" w:cs="Times New Roman"/>
          <w:lang w:val="en-US" w:eastAsia="zh-CN"/>
        </w:rPr>
        <w:t>Alzheimer’s disease</w:t>
      </w:r>
      <w:r>
        <w:rPr>
          <w:rFonts w:hint="eastAsia"/>
          <w:lang w:val="en-US" w:eastAsia="zh-CN"/>
        </w:rPr>
        <w:t>，</w:t>
      </w:r>
      <w:r>
        <w:rPr>
          <w:rFonts w:hint="default" w:ascii="Times New Roman" w:hAnsi="Times New Roman" w:cs="Times New Roman"/>
          <w:lang w:val="en-US" w:eastAsia="zh-CN"/>
        </w:rPr>
        <w:t>AD</w:t>
      </w:r>
      <w:r>
        <w:rPr>
          <w:rFonts w:hint="eastAsia"/>
          <w:lang w:val="en-US" w:eastAsia="zh-CN"/>
        </w:rPr>
        <w:t>）是一种常见的神经退行性疾病，无法治愈且不可逆转</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，其特征是伴有神经精神症状的渐进性严重痴呆</w:t>
      </w:r>
      <w:r>
        <w:rPr>
          <w:rFonts w:hint="eastAsia"/>
          <w:vertAlign w:val="superscript"/>
          <w:lang w:val="en-US" w:eastAsia="zh-CN"/>
        </w:rPr>
        <w:fldChar w:fldCharType="begin"/>
      </w:r>
      <w:r>
        <w:rPr>
          <w:rFonts w:hint="eastAsia"/>
          <w:vertAlign w:val="superscript"/>
          <w:lang w:val="en-US" w:eastAsia="zh-CN"/>
        </w:rPr>
        <w:instrText xml:space="preserve"> REF _Ref32133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。中国阿尔茨海默病报告2021 显示我国 60 岁及以上人群中有 983 万例 AD 患者</w:t>
      </w:r>
      <w:r>
        <w:rPr>
          <w:rFonts w:hint="eastAsia"/>
          <w:vertAlign w:val="superscript"/>
          <w:lang w:val="en-US" w:eastAsia="zh-CN"/>
        </w:rPr>
        <w:fldChar w:fldCharType="begin"/>
      </w:r>
      <w:r>
        <w:rPr>
          <w:rFonts w:hint="eastAsia"/>
          <w:vertAlign w:val="superscript"/>
          <w:lang w:val="en-US" w:eastAsia="zh-CN"/>
        </w:rPr>
        <w:instrText xml:space="preserve"> REF _Ref1053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，并且另一份研究报告称，我国 AD 患者的 2015 年治疗费用为 1 677.4 亿美元，到2050 年将高达 18871.8 亿美元</w:t>
      </w:r>
      <w:r>
        <w:rPr>
          <w:rFonts w:hint="eastAsia"/>
          <w:vertAlign w:val="superscript"/>
          <w:lang w:val="en-US" w:eastAsia="zh-CN"/>
        </w:rPr>
        <w:fldChar w:fldCharType="begin"/>
      </w:r>
      <w:r>
        <w:rPr>
          <w:rFonts w:hint="eastAsia"/>
          <w:vertAlign w:val="superscript"/>
          <w:lang w:val="en-US" w:eastAsia="zh-CN"/>
        </w:rPr>
        <w:instrText xml:space="preserve"> REF _Ref7454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，这充分说明了AD给社会带来了巨大的经济负担。因此，AD 的治疗药物开发迫在眉睫。然而，早在 2015 年，开发一种新药就需要花费26 亿美元和10-12 年</w:t>
      </w:r>
      <w:r>
        <w:rPr>
          <w:rFonts w:hint="eastAsia"/>
          <w:vertAlign w:val="superscript"/>
          <w:lang w:val="en-US" w:eastAsia="zh-CN"/>
        </w:rPr>
        <w:fldChar w:fldCharType="begin"/>
      </w:r>
      <w:r>
        <w:rPr>
          <w:rFonts w:hint="eastAsia"/>
          <w:vertAlign w:val="superscript"/>
          <w:lang w:val="en-US" w:eastAsia="zh-CN"/>
        </w:rPr>
        <w:instrText xml:space="preserve"> REF _Ref10703 \r \h </w:instrText>
      </w:r>
      <w:r>
        <w:rPr>
          <w:rFonts w:hint="eastAsia"/>
          <w:vertAlign w:val="superscript"/>
          <w:lang w:val="en-US" w:eastAsia="zh-CN"/>
        </w:rPr>
        <w:fldChar w:fldCharType="separate"/>
      </w:r>
      <w:r>
        <w:rPr>
          <w:rFonts w:hint="eastAsia"/>
          <w:vertAlign w:val="superscript"/>
          <w:lang w:val="en-US" w:eastAsia="zh-CN"/>
        </w:rPr>
        <w:t>[13-14]</w:t>
      </w:r>
      <w:r>
        <w:rPr>
          <w:rFonts w:hint="eastAsia"/>
          <w:vertAlign w:val="superscript"/>
          <w:lang w:val="en-US" w:eastAsia="zh-CN"/>
        </w:rPr>
        <w:fldChar w:fldCharType="end"/>
      </w:r>
      <w:r>
        <w:rPr>
          <w:rFonts w:hint="eastAsia"/>
          <w:lang w:val="en-US" w:eastAsia="zh-CN"/>
        </w:rPr>
        <w:t>。药物重定位是指将现有药物的适应症拓宽到其他疾病，从而能大大节省成本并缩短新药开发周期。</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建立了一个1500万个三元组的综合知识图谱，包括药物、基因、疾病、蛋白质、基因4种实体以及它们之间的 39 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 KGE 模型预测候选药物，并利用发现模式解释了KGE预测的合理性。目前也有研究人员利用KGE研究帕金森病的药物重定位，并取得了不错的效果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default"/>
          <w:lang w:val="en-US" w:eastAsia="zh-CN"/>
        </w:rPr>
        <w:t>提出了一种基于知识图谱的深度学习方法用于</w:t>
      </w:r>
      <w:r>
        <w:rPr>
          <w:rFonts w:hint="eastAsia"/>
          <w:lang w:val="en-US" w:eastAsia="zh-CN"/>
        </w:rPr>
        <w:t xml:space="preserve"> AD 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学习了</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 xml:space="preserve"> 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 xml:space="preserve"> 学习并预测有助于AD治疗或预防的候选物质，</w:t>
      </w:r>
      <w:r>
        <w:rPr>
          <w:rFonts w:hint="default"/>
          <w:lang w:val="en-US" w:eastAsia="zh-CN"/>
        </w:rPr>
        <w:t>以研究</w:t>
      </w:r>
      <w:r>
        <w:rPr>
          <w:rFonts w:hint="eastAsia"/>
          <w:lang w:val="en-US" w:eastAsia="zh-CN"/>
        </w:rPr>
        <w:t xml:space="preserve"> </w:t>
      </w:r>
      <w:r>
        <w:rPr>
          <w:rFonts w:hint="default"/>
          <w:lang w:val="en-US" w:eastAsia="zh-CN"/>
        </w:rPr>
        <w:t>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本文采用KGE模型研究了AD药物重定位。首先，利用多种KGE模型（TransE、DistMult、ComplEx和RotatE）在DRKG上学习实体和关系的嵌入向量，通过3种经典的知识图谱嵌入评价指标选择了RotatE模型作为我们最终的药物重定位模型；然后，在整个知识图谱上训练RotatE模型，并利用多种嵌入向量分析手段评价我们学习到的嵌入向量的质量；最终，通过链接预测技术找到10种治疗AD的候选药物</w:t>
      </w:r>
      <w:bookmarkStart w:id="42" w:name="_GoBack"/>
      <w:bookmarkEnd w:id="42"/>
      <w:r>
        <w:rPr>
          <w:rFonts w:hint="eastAsia"/>
          <w:lang w:val="en-US" w:eastAsia="zh-CN"/>
        </w:rPr>
        <w:t>。</w:t>
      </w:r>
    </w:p>
    <w:p>
      <w:pPr>
        <w:pStyle w:val="4"/>
        <w:tabs>
          <w:tab w:val="left" w:pos="381"/>
        </w:tabs>
        <w:bidi w:val="0"/>
        <w:rPr>
          <w:rFonts w:hint="eastAsia"/>
          <w:lang w:val="en-US" w:eastAsia="zh-CN"/>
        </w:rPr>
      </w:pPr>
      <w:r>
        <w:rPr>
          <w:rFonts w:hint="eastAsia"/>
          <w:lang w:val="en-US" w:eastAsia="zh-CN"/>
        </w:rPr>
        <w:tab/>
      </w:r>
      <w:r>
        <w:rPr>
          <w:rFonts w:hint="eastAsia"/>
          <w:lang w:val="en-US" w:eastAsia="zh-CN"/>
        </w:rPr>
        <w:t xml:space="preserve"> 方法</w:t>
      </w:r>
    </w:p>
    <w:p>
      <w:pPr>
        <w:pStyle w:val="5"/>
        <w:bidi w:val="0"/>
        <w:rPr>
          <w:rFonts w:hint="eastAsia"/>
          <w:lang w:val="en-US" w:eastAsia="zh-CN"/>
        </w:rPr>
      </w:pPr>
      <w:r>
        <w:rPr>
          <w:rFonts w:hint="eastAsia"/>
          <w:lang w:val="en-US" w:eastAsia="zh-CN"/>
        </w:rPr>
        <w:t xml:space="preserve"> 数据</w:t>
      </w:r>
    </w:p>
    <w:p>
      <w:pPr>
        <w:rPr>
          <w:rFonts w:hint="default"/>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 和 DGIdb 等六个现有数据库的信息，以及从最近发表的 Covid19 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。此外它还提供了一个TransE_l2的预训练KGE模型。</w:t>
      </w:r>
    </w:p>
    <w:p>
      <w:pPr>
        <w:pStyle w:val="5"/>
        <w:bidi w:val="0"/>
        <w:rPr>
          <w:rFonts w:hint="eastAsia"/>
          <w:lang w:val="en-US" w:eastAsia="zh-CN"/>
        </w:rPr>
      </w:pPr>
      <w:r>
        <w:rPr>
          <w:rFonts w:hint="eastAsia"/>
          <w:lang w:val="en-US" w:eastAsia="zh-CN"/>
        </w:rPr>
        <w:t xml:space="preserve"> 模型</w:t>
      </w:r>
    </w:p>
    <w:p>
      <w:pPr>
        <w:rPr>
          <w:rFonts w:hint="default"/>
          <w:lang w:val="en-US" w:eastAsia="zh-CN"/>
        </w:rPr>
      </w:pPr>
      <w:r>
        <w:rPr>
          <w:rFonts w:hint="eastAsia"/>
          <w:lang w:val="en-US" w:eastAsia="zh-CN"/>
        </w:rPr>
        <w:t>在本小节中，我们首先介绍一些KG和KGE数学符号，这些符号将应用于本研究的其他部分。表1列出了文章后续部分的概念和定义。</w:t>
      </w:r>
    </w:p>
    <w:p>
      <w:pPr>
        <w:pStyle w:val="17"/>
        <w:bidi w:val="0"/>
        <w:rPr>
          <w:rStyle w:val="14"/>
          <w:rFonts w:hint="default"/>
          <w:lang w:val="en-US" w:eastAsia="zh-CN"/>
        </w:rPr>
      </w:pPr>
      <w:r>
        <w:rPr>
          <w:rStyle w:val="14"/>
          <w:rFonts w:hint="eastAsia"/>
          <w:b/>
          <w:bCs/>
          <w:lang w:val="en-US" w:eastAsia="zh-CN"/>
        </w:rPr>
        <w:t xml:space="preserve">Table 1  </w:t>
      </w:r>
      <w:r>
        <w:rPr>
          <w:rStyle w:val="14"/>
          <w:rFonts w:hint="eastAsia"/>
          <w:lang w:val="en-US" w:eastAsia="zh-CN"/>
        </w:rPr>
        <w:t>The Notation and Definition of KG and KGE.</w:t>
      </w: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Name</w:t>
            </w:r>
          </w:p>
        </w:tc>
        <w:tc>
          <w:tcPr>
            <w:tcW w:w="2841" w:type="dxa"/>
            <w:tcBorders>
              <w:top w:val="single" w:color="auto" w:sz="18" w:space="0"/>
              <w:bottom w:val="single" w:color="auto" w:sz="12" w:space="0"/>
            </w:tcBorders>
            <w:vAlign w:val="center"/>
          </w:tcPr>
          <w:p>
            <w:pPr>
              <w:pStyle w:val="18"/>
              <w:bidi w:val="0"/>
              <w:jc w:val="center"/>
              <w:rPr>
                <w:rFonts w:hint="default"/>
                <w:lang w:val="en-US" w:eastAsia="zh-CN"/>
              </w:rPr>
            </w:pPr>
            <w:r>
              <w:rPr>
                <w:rFonts w:hint="eastAsia"/>
                <w:lang w:val="en-US" w:eastAsia="zh-CN"/>
              </w:rPr>
              <w:t>Notation</w:t>
            </w:r>
          </w:p>
        </w:tc>
        <w:tc>
          <w:tcPr>
            <w:tcW w:w="2841"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Definition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vAlign w:val="center"/>
          </w:tcPr>
          <w:p>
            <w:pPr>
              <w:pStyle w:val="18"/>
              <w:bidi w:val="0"/>
              <w:rPr>
                <w:rFonts w:hint="default"/>
                <w:lang w:val="en-US" w:eastAsia="zh-CN"/>
              </w:rPr>
            </w:pPr>
            <w:r>
              <w:rPr>
                <w:rFonts w:hint="eastAsia"/>
                <w:lang w:val="en-US" w:eastAsia="zh-CN"/>
              </w:rPr>
              <w:t>Knowledge Graph</w:t>
            </w:r>
          </w:p>
        </w:tc>
        <w:tc>
          <w:tcPr>
            <w:tcW w:w="2841" w:type="dxa"/>
            <w:tcBorders>
              <w:top w:val="single" w:color="auto" w:sz="12" w:space="0"/>
            </w:tcBorders>
            <w:vAlign w:val="center"/>
          </w:tcPr>
          <w:p>
            <w:pPr>
              <w:pStyle w:val="18"/>
              <w:bidi w:val="0"/>
              <w:jc w:val="center"/>
              <w:rPr>
                <w:rFonts w:hint="default"/>
                <w:b/>
                <w:bCs/>
                <w:lang w:val="en-US" w:eastAsia="zh-CN"/>
              </w:rPr>
            </w:pPr>
            <w:r>
              <w:rPr>
                <w:rFonts w:hint="eastAsia"/>
                <w:b/>
                <w:bCs/>
                <w:lang w:val="en-US" w:eastAsia="zh-CN"/>
              </w:rPr>
              <w:t>T</w:t>
            </w:r>
          </w:p>
        </w:tc>
        <w:tc>
          <w:tcPr>
            <w:tcW w:w="2841" w:type="dxa"/>
            <w:tcBorders>
              <w:top w:val="single" w:color="auto" w:sz="12" w:space="0"/>
            </w:tcBorders>
            <w:vAlign w:val="center"/>
          </w:tcPr>
          <w:p>
            <w:pPr>
              <w:pStyle w:val="18"/>
              <w:bidi w:val="0"/>
              <w:rPr>
                <w:rFonts w:hint="default"/>
                <w:lang w:val="en-US" w:eastAsia="zh-CN"/>
              </w:rPr>
            </w:pPr>
            <w:r>
              <w:rPr>
                <w:rFonts w:hint="eastAsia"/>
                <w:lang w:val="en-US" w:eastAsia="zh-CN"/>
              </w:rPr>
              <w:t xml:space="preserve">A set of triplets in the form </w:t>
            </w:r>
            <w:r>
              <w:rPr>
                <w:rFonts w:hint="eastAsia"/>
                <w:b/>
                <w:bCs/>
                <w:lang w:val="en-US" w:eastAsia="zh-CN"/>
              </w:rPr>
              <w:t>(h,r,t)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Set</w:t>
            </w:r>
          </w:p>
        </w:tc>
        <w:tc>
          <w:tcPr>
            <w:tcW w:w="2841" w:type="dxa"/>
            <w:vAlign w:val="center"/>
          </w:tcPr>
          <w:p>
            <w:pPr>
              <w:pStyle w:val="18"/>
              <w:bidi w:val="0"/>
              <w:jc w:val="center"/>
              <w:rPr>
                <w:rFonts w:hint="default"/>
                <w:b/>
                <w:bCs/>
                <w:lang w:val="en-US" w:eastAsia="zh-CN"/>
              </w:rPr>
            </w:pPr>
            <w:r>
              <w:rPr>
                <w:rFonts w:hint="eastAsia"/>
                <w:b/>
                <w:bCs/>
                <w:lang w:val="en-US" w:eastAsia="zh-CN"/>
              </w:rPr>
              <w:t>E</w:t>
            </w:r>
          </w:p>
        </w:tc>
        <w:tc>
          <w:tcPr>
            <w:tcW w:w="2841" w:type="dxa"/>
            <w:vAlign w:val="center"/>
          </w:tcPr>
          <w:p>
            <w:pPr>
              <w:pStyle w:val="18"/>
              <w:bidi w:val="0"/>
              <w:rPr>
                <w:rFonts w:hint="default"/>
                <w:lang w:val="en-US" w:eastAsia="zh-CN"/>
              </w:rPr>
            </w:pPr>
            <w:r>
              <w:rPr>
                <w:rFonts w:hint="eastAsia"/>
                <w:lang w:val="en-US" w:eastAsia="zh-CN"/>
              </w:rPr>
              <w:t>The set of entities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Set</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The set of relations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Vectors</w:t>
            </w:r>
          </w:p>
        </w:tc>
        <w:tc>
          <w:tcPr>
            <w:tcW w:w="2841" w:type="dxa"/>
            <w:vAlign w:val="center"/>
          </w:tcPr>
          <w:p>
            <w:pPr>
              <w:pStyle w:val="18"/>
              <w:bidi w:val="0"/>
              <w:jc w:val="center"/>
              <w:rPr>
                <w:rFonts w:hint="default"/>
                <w:b/>
                <w:bCs/>
                <w:lang w:val="en-US" w:eastAsia="zh-CN"/>
              </w:rPr>
            </w:pPr>
            <w:r>
              <w:rPr>
                <w:rFonts w:hint="eastAsia"/>
                <w:b/>
                <w:bCs/>
                <w:lang w:val="en-US" w:eastAsia="zh-CN"/>
              </w:rPr>
              <w:t>h, t</w:t>
            </w:r>
          </w:p>
        </w:tc>
        <w:tc>
          <w:tcPr>
            <w:tcW w:w="2841" w:type="dxa"/>
            <w:vAlign w:val="center"/>
          </w:tcPr>
          <w:p>
            <w:pPr>
              <w:pStyle w:val="18"/>
              <w:bidi w:val="0"/>
              <w:rPr>
                <w:rFonts w:hint="default"/>
                <w:lang w:val="en-US" w:eastAsia="zh-CN"/>
              </w:rPr>
            </w:pPr>
            <w:r>
              <w:rPr>
                <w:rFonts w:hint="eastAsia"/>
                <w:lang w:val="en-US" w:eastAsia="zh-CN"/>
              </w:rPr>
              <w:t xml:space="preserve">The entity vectors for head entity </w:t>
            </w:r>
            <w:r>
              <w:rPr>
                <w:rFonts w:hint="eastAsia"/>
                <w:b/>
                <w:bCs/>
                <w:lang w:val="en-US" w:eastAsia="zh-CN"/>
              </w:rPr>
              <w:t>h</w:t>
            </w:r>
            <w:r>
              <w:rPr>
                <w:rFonts w:hint="eastAsia"/>
                <w:lang w:val="en-US" w:eastAsia="zh-CN"/>
              </w:rPr>
              <w:t xml:space="preserve"> and tail entity </w:t>
            </w:r>
            <w:r>
              <w:rPr>
                <w:rFonts w:hint="eastAsia"/>
                <w:b/>
                <w:bCs/>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Vector</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 xml:space="preserve">The vector for relation </w:t>
            </w:r>
            <w:r>
              <w:rPr>
                <w:rFonts w:hint="eastAsia"/>
                <w:b/>
                <w:bCs/>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Scoring Function</w:t>
            </w:r>
          </w:p>
        </w:tc>
        <w:tc>
          <w:tcPr>
            <w:tcW w:w="2841" w:type="dxa"/>
            <w:vAlign w:val="center"/>
          </w:tcPr>
          <w:p>
            <w:pPr>
              <w:pStyle w:val="18"/>
              <w:bidi w:val="0"/>
              <w:jc w:val="center"/>
              <w:rPr>
                <w:rFonts w:hint="default"/>
                <w:b/>
                <w:bCs/>
                <w:lang w:val="en-US" w:eastAsia="zh-CN"/>
              </w:rPr>
            </w:pPr>
            <w:r>
              <w:rPr>
                <w:rFonts w:hint="eastAsia"/>
                <w:b/>
                <w:bCs/>
                <w:lang w:val="en-US" w:eastAsia="zh-CN"/>
              </w:rPr>
              <w:t>f(h, r, t)</w:t>
            </w:r>
          </w:p>
        </w:tc>
        <w:tc>
          <w:tcPr>
            <w:tcW w:w="2841" w:type="dxa"/>
            <w:vAlign w:val="center"/>
          </w:tcPr>
          <w:p>
            <w:pPr>
              <w:pStyle w:val="18"/>
              <w:bidi w:val="0"/>
              <w:rPr>
                <w:rFonts w:hint="default"/>
                <w:lang w:val="en-US" w:eastAsia="zh-CN"/>
              </w:rPr>
            </w:pPr>
            <w:r>
              <w:rPr>
                <w:rFonts w:hint="eastAsia"/>
                <w:lang w:val="en-US" w:eastAsia="zh-CN"/>
              </w:rPr>
              <w:t xml:space="preserve">The scoring function for the triple </w:t>
            </w:r>
            <w:r>
              <w:rPr>
                <w:rFonts w:hint="eastAsia"/>
                <w:b/>
                <w:bCs/>
                <w:lang w:val="en-US" w:eastAsia="zh-CN"/>
              </w:rPr>
              <w:t>(h, r,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8" w:space="0"/>
            </w:tcBorders>
            <w:vAlign w:val="center"/>
          </w:tcPr>
          <w:p>
            <w:pPr>
              <w:pStyle w:val="18"/>
              <w:bidi w:val="0"/>
              <w:rPr>
                <w:rFonts w:hint="default"/>
                <w:lang w:val="en-US" w:eastAsia="zh-CN"/>
              </w:rPr>
            </w:pPr>
            <w:r>
              <w:rPr>
                <w:rFonts w:hint="eastAsia"/>
                <w:lang w:val="en-US" w:eastAsia="zh-CN"/>
              </w:rPr>
              <w:t>Loss Function</w:t>
            </w:r>
          </w:p>
        </w:tc>
        <w:tc>
          <w:tcPr>
            <w:tcW w:w="2841" w:type="dxa"/>
            <w:tcBorders>
              <w:bottom w:val="single" w:color="auto" w:sz="18" w:space="0"/>
            </w:tcBorders>
            <w:vAlign w:val="center"/>
          </w:tcPr>
          <w:p>
            <w:pPr>
              <w:pStyle w:val="18"/>
              <w:bidi w:val="0"/>
              <w:jc w:val="center"/>
              <w:rPr>
                <w:rFonts w:hint="default"/>
                <w:b/>
                <w:bCs/>
                <w:lang w:val="en-US" w:eastAsia="zh-CN"/>
              </w:rPr>
            </w:pPr>
            <m:oMathPara>
              <m:oMath>
                <m:r>
                  <m:rPr>
                    <m:sty m:val="p"/>
                    <m:scr m:val="script"/>
                  </m:rPr>
                  <w:rPr>
                    <w:rFonts w:ascii="Cambria Math" w:hAnsi="Cambria Math"/>
                    <w:lang w:val="en-US"/>
                  </w:rPr>
                  <m:t>ℒ</m:t>
                </m:r>
              </m:oMath>
            </m:oMathPara>
          </w:p>
        </w:tc>
        <w:tc>
          <w:tcPr>
            <w:tcW w:w="2841" w:type="dxa"/>
            <w:tcBorders>
              <w:bottom w:val="single" w:color="auto" w:sz="18" w:space="0"/>
            </w:tcBorders>
            <w:vAlign w:val="center"/>
          </w:tcPr>
          <w:p>
            <w:pPr>
              <w:pStyle w:val="18"/>
              <w:bidi w:val="0"/>
              <w:rPr>
                <w:rFonts w:hint="default"/>
                <w:lang w:val="en-US" w:eastAsia="zh-CN"/>
              </w:rPr>
            </w:pPr>
            <w:r>
              <w:rPr>
                <w:rFonts w:hint="eastAsia"/>
                <w:lang w:val="en-US" w:eastAsia="zh-CN"/>
              </w:rPr>
              <w:t>The loss function of the model</w:t>
            </w:r>
          </w:p>
        </w:tc>
      </w:tr>
    </w:tbl>
    <w:p>
      <w:pPr>
        <w:bidi w:val="0"/>
        <w:rPr>
          <w:rFonts w:hint="eastAsia"/>
          <w:lang w:val="en-US" w:eastAsia="zh-CN"/>
        </w:rPr>
      </w:pPr>
      <w:r>
        <w:rPr>
          <w:rFonts w:hint="eastAsia"/>
          <w:lang w:val="en-US" w:eastAsia="zh-CN"/>
        </w:rPr>
        <w:t>KG一般被标记为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 KG 中的关系集合。KGE模型旨在将KG建模为低维向量空间。在这个向量空间中，头实体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成立的概率的评分函数。表2列出了一些KGE模型的评分函数。</w:t>
      </w:r>
    </w:p>
    <w:p>
      <w:pPr>
        <w:pStyle w:val="17"/>
        <w:bidi w:val="0"/>
        <w:rPr>
          <w:rFonts w:hint="default"/>
          <w:lang w:val="en-US" w:eastAsia="zh-CN"/>
        </w:rPr>
      </w:pPr>
      <w:r>
        <w:rPr>
          <w:rFonts w:hint="default"/>
          <w:b/>
          <w:bCs/>
          <w:lang w:val="en-US" w:eastAsia="zh-CN"/>
        </w:rPr>
        <w:t>Table 2</w:t>
      </w:r>
      <w:r>
        <w:rPr>
          <w:rFonts w:hint="default"/>
          <w:lang w:val="en-US" w:eastAsia="zh-CN"/>
        </w:rPr>
        <w:t xml:space="preserve">  The brief introduction of some typical KGE models</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188"/>
        <w:gridCol w:w="2158"/>
        <w:gridCol w:w="2709"/>
        <w:gridCol w:w="130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bottom w:val="single" w:color="auto" w:sz="12" w:space="0"/>
            </w:tcBorders>
          </w:tcPr>
          <w:p>
            <w:pPr>
              <w:pStyle w:val="18"/>
              <w:bidi w:val="0"/>
              <w:rPr>
                <w:rFonts w:hint="default"/>
                <w:lang w:val="en-US" w:eastAsia="zh-CN"/>
              </w:rPr>
            </w:pPr>
            <w:r>
              <w:rPr>
                <w:rFonts w:hint="eastAsia"/>
                <w:lang w:val="en-US" w:eastAsia="zh-CN"/>
              </w:rPr>
              <w:t>Models</w:t>
            </w:r>
          </w:p>
        </w:tc>
        <w:tc>
          <w:tcPr>
            <w:tcW w:w="1188" w:type="dxa"/>
            <w:tcBorders>
              <w:bottom w:val="single" w:color="auto" w:sz="12" w:space="0"/>
            </w:tcBorders>
          </w:tcPr>
          <w:p>
            <w:pPr>
              <w:pStyle w:val="18"/>
              <w:bidi w:val="0"/>
              <w:rPr>
                <w:rFonts w:hint="default"/>
                <w:lang w:val="en-US" w:eastAsia="zh-CN"/>
              </w:rPr>
            </w:pPr>
            <w:r>
              <w:rPr>
                <w:rFonts w:hint="eastAsia"/>
                <w:lang w:val="en-US" w:eastAsia="zh-CN"/>
              </w:rPr>
              <w:t>Entity</w:t>
            </w:r>
          </w:p>
        </w:tc>
        <w:tc>
          <w:tcPr>
            <w:tcW w:w="2158" w:type="dxa"/>
            <w:tcBorders>
              <w:bottom w:val="single" w:color="auto" w:sz="12" w:space="0"/>
            </w:tcBorders>
          </w:tcPr>
          <w:p>
            <w:pPr>
              <w:pStyle w:val="18"/>
              <w:bidi w:val="0"/>
              <w:jc w:val="center"/>
              <w:rPr>
                <w:rFonts w:hint="default"/>
                <w:lang w:val="en-US" w:eastAsia="zh-CN"/>
              </w:rPr>
            </w:pPr>
            <w:r>
              <w:rPr>
                <w:rFonts w:hint="eastAsia"/>
                <w:lang w:val="en-US" w:eastAsia="zh-CN"/>
              </w:rPr>
              <w:t>Relation</w:t>
            </w:r>
          </w:p>
        </w:tc>
        <w:tc>
          <w:tcPr>
            <w:tcW w:w="2709" w:type="dxa"/>
            <w:tcBorders>
              <w:bottom w:val="single" w:color="auto" w:sz="12" w:space="0"/>
            </w:tcBorders>
          </w:tcPr>
          <w:p>
            <w:pPr>
              <w:pStyle w:val="18"/>
              <w:bidi w:val="0"/>
              <w:jc w:val="center"/>
              <w:rPr>
                <w:rFonts w:hint="default"/>
                <w:lang w:val="en-US" w:eastAsia="zh-CN"/>
              </w:rPr>
            </w:pPr>
            <w:r>
              <w:rPr>
                <w:rFonts w:hint="eastAsia"/>
                <w:lang w:val="en-US" w:eastAsia="zh-CN"/>
              </w:rPr>
              <w:t>Score Function</w:t>
            </w:r>
          </w:p>
        </w:tc>
        <w:tc>
          <w:tcPr>
            <w:tcW w:w="1309" w:type="dxa"/>
            <w:tcBorders>
              <w:bottom w:val="single" w:color="auto" w:sz="12" w:space="0"/>
            </w:tcBorders>
          </w:tcPr>
          <w:p>
            <w:pPr>
              <w:pStyle w:val="18"/>
              <w:bidi w:val="0"/>
              <w:rPr>
                <w:rFonts w:hint="default"/>
                <w:lang w:val="en-US" w:eastAsia="zh-CN"/>
              </w:rPr>
            </w:pPr>
            <w:r>
              <w:rPr>
                <w:rFonts w:hint="eastAsia"/>
                <w:lang w:val="en-US" w:eastAsia="zh-CN"/>
              </w:rPr>
              <w:t>Complexity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w:t>
            </w:r>
          </w:p>
        </w:tc>
        <w:tc>
          <w:tcPr>
            <w:tcW w:w="118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op w:val="single" w:color="auto" w:sz="12" w:space="0"/>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−||ℎ + r − 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op w:val="single" w:color="auto" w:sz="12" w:space="0"/>
              <w:tl2br w:val="nil"/>
              <w:tr2bl w:val="nil"/>
            </w:tcBorders>
          </w:tcPr>
          <w:p>
            <w:pPr>
              <w:pStyle w:val="18"/>
              <w:bidi w:val="0"/>
              <w:rPr>
                <w:rFonts w:hint="default" w:eastAsiaTheme="minorEastAsia"/>
                <w:lang w:val="en-US" w:eastAsia="zh-CN"/>
              </w:rPr>
            </w:pPr>
            <m:oMathPara>
              <m:oMath>
                <m:r>
                  <m:rPr/>
                  <w:rPr>
                    <w:rFonts w:ascii="Cambria Math" w:hAnsi="Cambria Math"/>
                    <w:lang w:val="en-US"/>
                  </w:rPr>
                  <m:t>Ο</m:t>
                </m:r>
                <m:r>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TransR</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k</m:t>
                    </m:r>
                    <m:ctrlPr>
                      <w:rPr>
                        <w:rFonts w:ascii="Cambria Math" w:hAnsi="Cambria Math" w:cs="微软雅黑"/>
                        <w:i/>
                        <w:lang w:val="en-US"/>
                      </w:rPr>
                    </m:ctrlPr>
                  </m:sup>
                </m:sSup>
                <m:r>
                  <m:rPr/>
                  <w:rPr>
                    <w:rFonts w:hint="default" w:ascii="Cambria Math" w:hAnsi="Cambria Math" w:cs="微软雅黑"/>
                    <w:lang w:val="en-US" w:eastAsia="zh-CN"/>
                  </w:rPr>
                  <m:t xml:space="preserve">,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k</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 xml:space="preserve">ℎ + r − </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RESCAL</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d</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eastAsia" w:eastAsiaTheme="minorEastAsia"/>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Sub>
                <m:r>
                  <m:rPr/>
                  <w:rPr>
                    <w:rFonts w:hint="default" w:ascii="Cambria Math" w:hAnsi="Cambria Math"/>
                    <w:lang w:val="en-US" w:eastAsia="zh-CN"/>
                  </w:rPr>
                  <m:t>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DistMult</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ComplEx</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ℎ</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RotatE</w:t>
            </w:r>
          </w:p>
        </w:tc>
        <w:tc>
          <w:tcPr>
            <w:tcW w:w="1188" w:type="dxa"/>
            <w:tcBorders>
              <w:tl2br w:val="nil"/>
              <w:tr2bl w:val="nil"/>
            </w:tcBorders>
            <w:vAlign w:val="top"/>
          </w:tcPr>
          <w:p>
            <w:pPr>
              <w:pStyle w:val="18"/>
              <w:bidi w:val="0"/>
              <w:ind w:firstLine="0" w:firstLineChars="0"/>
              <w:rPr>
                <w:rFonts w:hint="default" w:asciiTheme="minorAscii" w:hAnsiTheme="minorAscii" w:eastAsiaTheme="minorEastAsia" w:cstheme="minorBidi"/>
                <w:kern w:val="2"/>
                <w:sz w:val="24"/>
                <w:szCs w:val="24"/>
                <w:lang w:val="en-US" w:eastAsia="zh-CN" w:bidi="ar-SA"/>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r>
                  <m:rPr/>
                  <w:rPr>
                    <w:rFonts w:hint="default" w:ascii="Cambria Math" w:hAnsi="Cambria Math" w:cs="微软雅黑"/>
                    <w:lang w:val="en-US" w:eastAsia="zh-CN"/>
                  </w:rPr>
                  <m:t>,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m:oMathPara>
          </w:p>
        </w:tc>
        <w:tc>
          <w:tcPr>
            <w:tcW w:w="2709" w:type="dxa"/>
            <w:tcBorders>
              <w:tl2br w:val="nil"/>
              <w:tr2bl w:val="nil"/>
            </w:tcBorders>
          </w:tcPr>
          <w:p>
            <w:pPr>
              <w:pStyle w:val="18"/>
              <w:bidi w:val="0"/>
              <w:rPr>
                <w:rFonts w:hint="default" w:eastAsiaTheme="minorEastAsia"/>
                <w:lang w:val="en-US" w:eastAsia="zh-CN"/>
              </w:rPr>
            </w:pPr>
            <m:oMathPara>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||ℎ∘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bl>
    <w:p>
      <w:pPr>
        <w:bidi w:val="0"/>
        <w:rPr>
          <w:rFonts w:hint="eastAsia"/>
          <w:lang w:val="en-US" w:eastAsia="zh-CN"/>
        </w:rPr>
      </w:pPr>
      <w:r>
        <w:rPr>
          <w:rFonts w:hint="eastAsia"/>
          <w:lang w:val="en-US" w:eastAsia="zh-CN"/>
        </w:rPr>
        <w:t>TransE是一个具有代表性的平移模型，它假设实体和关系属于同一向量空间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w:t>
      </w:r>
    </w:p>
    <w:p>
      <w:pPr>
        <w:bidi w:val="0"/>
        <w:rPr>
          <w:rFonts w:hint="eastAsia"/>
          <w:lang w:val="en-US" w:eastAsia="zh-CN"/>
        </w:rPr>
      </w:pPr>
      <w:r>
        <w:rPr>
          <w:rFonts w:hint="eastAsia"/>
          <w:lang w:val="en-US" w:eastAsia="zh-CN"/>
        </w:rPr>
        <w:t>TransE只能建模1对1的关系类型，TransR通过从实体向量空间</w:t>
      </w:r>
      <m:oMath>
        <m:sSup>
          <m:sSupPr>
            <m:ctrlPr>
              <w:rPr>
                <w:rFonts w:ascii="Cambria Math" w:hAnsi="Cambria Math"/>
                <w:lang w:val="en-US"/>
              </w:rPr>
            </m:ctrlPr>
          </m:sSupPr>
          <m:e>
            <m:r>
              <m:rPr>
                <m:sty m:val="p"/>
              </m:rPr>
              <w:rPr>
                <w:rFonts w:hint="eastAsia" w:ascii="Cambria Math" w:hAnsi="Cambria Math"/>
                <w:lang w:val="en-US" w:eastAsia="zh-CN"/>
              </w:rPr>
              <m:t>h, t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分离出关系的向量空间</w:t>
      </w:r>
      <m:oMath>
        <m:sSup>
          <m:sSupPr>
            <m:ctrlPr>
              <w:rPr>
                <w:rFonts w:ascii="Cambria Math" w:hAnsi="Cambria Math"/>
                <w:lang w:val="en-US"/>
              </w:rPr>
            </m:ctrlPr>
          </m:sSupPr>
          <m:e>
            <m:r>
              <m:rPr>
                <m:sty m:val="p"/>
              </m:rPr>
              <w:rPr>
                <w:rFonts w:hint="eastAsia" w:ascii="Cambria Math" w:hAnsi="Cambria Math"/>
                <w:lang w:val="en-US" w:eastAsia="zh-CN"/>
              </w:rPr>
              <m:t>r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k</m:t>
            </m:r>
            <m:ctrlPr>
              <w:rPr>
                <w:rFonts w:ascii="Cambria Math" w:hAnsi="Cambria Math"/>
                <w:lang w:val="en-US"/>
              </w:rPr>
            </m:ctrlPr>
          </m:sup>
        </m:sSup>
      </m:oMath>
      <w:r>
        <w:rPr>
          <w:rFonts w:hint="eastAsia"/>
          <w:lang w:val="en-US" w:eastAsia="zh-CN"/>
        </w:rPr>
        <w:t>来解决这个问题。TransR通过学习一个关系投影矩阵</w:t>
      </w:r>
      <m:oMath>
        <m:sSub>
          <m:sSubPr>
            <m:ctrlPr>
              <w:rPr>
                <w:rFonts w:hint="default" w:ascii="Cambria Math" w:hAnsi="Cambria Math"/>
                <w:lang w:val="en-US" w:eastAsia="zh-CN"/>
              </w:rPr>
            </m:ctrlPr>
          </m:sSubPr>
          <m:e>
            <m:r>
              <m:rPr>
                <m:sty m:val="p"/>
              </m:rPr>
              <w:rPr>
                <w:rFonts w:hint="default" w:ascii="Cambria Math" w:hAnsi="Cambria Math"/>
                <w:lang w:val="en-US" w:eastAsia="zh-CN"/>
              </w:rPr>
              <m:t>M</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eastAsia" w:ascii="Cambria Math" w:hAnsi="Cambria Math"/>
            <w:lang w:val="en-US" w:eastAsia="zh-CN"/>
          </w:rPr>
          <m:t>∈</m:t>
        </m:r>
        <m:sSup>
          <m:sSupPr>
            <m:ctrlPr>
              <w:rPr>
                <w:rFonts w:hint="eastAsia" w:ascii="Cambria Math" w:hAnsi="Cambria Math"/>
                <w:lang w:val="en-US" w:eastAsia="zh-CN"/>
              </w:rPr>
            </m:ctrlPr>
          </m:sSupPr>
          <m:e>
            <m:r>
              <m:rPr>
                <m:sty m:val="p"/>
              </m:rPr>
              <w:rPr>
                <w:rFonts w:hint="default" w:ascii="Cambria Math" w:hAnsi="Cambria Math"/>
                <w:lang w:val="en-US" w:eastAsia="zh-CN"/>
              </w:rPr>
              <m:t>R</m:t>
            </m:r>
            <m:ctrlPr>
              <w:rPr>
                <w:rFonts w:hint="eastAsia" w:ascii="Cambria Math" w:hAnsi="Cambria Math"/>
                <w:lang w:val="en-US" w:eastAsia="zh-CN"/>
              </w:rPr>
            </m:ctrlPr>
          </m:e>
          <m:sup>
            <m:r>
              <m:rPr>
                <m:sty m:val="p"/>
              </m:rPr>
              <w:rPr>
                <w:rFonts w:hint="default" w:ascii="Cambria Math" w:hAnsi="Cambria Math"/>
                <w:lang w:val="en-US" w:eastAsia="zh-CN"/>
              </w:rPr>
              <m:t>k</m:t>
            </m:r>
            <m:r>
              <m:rPr>
                <m:sty m:val="p"/>
              </m:rPr>
              <w:rPr>
                <w:rFonts w:ascii="Cambria Math" w:hAnsi="Cambria Math"/>
                <w:lang w:val="en-US"/>
              </w:rPr>
              <m:t>×</m:t>
            </m:r>
            <m:r>
              <m:rPr>
                <m:sty m:val="p"/>
              </m:rPr>
              <w:rPr>
                <w:rFonts w:hint="default" w:ascii="Cambria Math" w:hAnsi="Cambria Math"/>
                <w:lang w:val="en-US" w:eastAsia="zh-CN"/>
              </w:rPr>
              <m:t>d</m:t>
            </m:r>
            <m:ctrlPr>
              <w:rPr>
                <w:rFonts w:hint="eastAsia" w:ascii="Cambria Math" w:hAnsi="Cambria Math"/>
                <w:lang w:val="en-US" w:eastAsia="zh-CN"/>
              </w:rPr>
            </m:ctrlPr>
          </m:sup>
        </m:sSup>
      </m:oMath>
      <w:r>
        <w:rPr>
          <w:rFonts w:hint="eastAsia"/>
          <w:lang w:val="en-US" w:eastAsia="zh-CN"/>
        </w:rPr>
        <w:t>将实体投影到不同的关系向量空间，进而捕获了不同关系的差异。然而TransR为了获得更强的表示能力，也将复杂度从</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lang w:val="en-US" w:eastAsia="zh-CN"/>
        </w:rPr>
        <w:t>提升为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d</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，导致训练时间急剧增加，因此我们并没有采取TransR作为药物重定位的候选模型。</w:t>
      </w:r>
    </w:p>
    <w:p>
      <w:pPr>
        <w:rPr>
          <w:rFonts w:hint="eastAsia" w:hAnsi="Cambria Math"/>
          <w:b w:val="0"/>
          <w:i w:val="0"/>
          <w:lang w:val="en-US" w:eastAsia="zh-CN"/>
        </w:rPr>
      </w:pPr>
      <w:r>
        <w:rPr>
          <w:rFonts w:hint="default" w:hAnsi="Cambria Math"/>
          <w:b w:val="0"/>
          <w:i w:val="0"/>
          <w:lang w:val="en-US" w:eastAsia="zh-CN"/>
        </w:rPr>
        <w:t>RESCAL是一个双线性模型，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default" w:hAnsi="Cambria Math"/>
          <w:b w:val="0"/>
          <w:i w:val="0"/>
          <w:lang w:val="en-US" w:eastAsia="zh-CN"/>
        </w:rPr>
        <w:t>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hAnsi="Cambria Math"/>
          <w:b w:val="0"/>
          <w:i w:val="0"/>
          <w:lang w:val="en-US" w:eastAsia="zh-CN"/>
        </w:rPr>
        <w:t>该模型也像TransR一样，复杂度为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w:r>
        <w:rPr>
          <w:rFonts w:hint="eastAsia" w:hAnsi="Cambria Math"/>
          <w:b w:val="0"/>
          <w:i w:val="0"/>
          <w:lang w:val="en-US" w:eastAsia="zh-CN"/>
        </w:rPr>
        <w:t>，这也是它的扩展模型主要改进的方向，我们也没有使用它作为药物重定位的候选模型。</w:t>
      </w:r>
    </w:p>
    <w:p>
      <w:pPr>
        <w:rPr>
          <w:rFonts w:hint="eastAsia" w:hAnsi="Cambria Math"/>
          <w:b w:val="0"/>
          <w:i w:val="0"/>
          <w:lang w:val="en-US" w:eastAsia="zh-CN"/>
        </w:rPr>
      </w:pPr>
      <w:r>
        <w:rPr>
          <w:rFonts w:hint="eastAsia" w:hAnsi="Cambria Math"/>
          <w:b w:val="0"/>
          <w:i w:val="0"/>
          <w:lang w:val="en-US" w:eastAsia="zh-CN"/>
        </w:rPr>
        <w:t>DistMult通过将</w:t>
      </w:r>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oMath>
      <w:r>
        <w:rPr>
          <w:rFonts w:hint="eastAsia" w:hAnsi="Cambria Math" w:cs="微软雅黑"/>
          <w:i w:val="0"/>
          <w:lang w:val="en-US" w:eastAsia="zh-CN"/>
        </w:rPr>
        <w:t>换成对角方阵简化了RESCAL模型，使得复杂度变成了</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hAnsi="Cambria Math"/>
          <w:b w:val="0"/>
          <w:i w:val="0"/>
          <w:lang w:val="en-US" w:eastAsia="zh-CN"/>
        </w:rPr>
        <w:t>，但是该模型的表现能力相较于RESCAL模型也大大减弱，无法达到理想的结果。</w:t>
      </w:r>
    </w:p>
    <w:p>
      <w:pPr>
        <w:rPr>
          <w:rFonts w:hint="eastAsia" w:hAnsi="Cambria Math"/>
          <w:b w:val="0"/>
          <w:i w:val="0"/>
          <w:lang w:val="en-US" w:eastAsia="zh-CN"/>
        </w:rPr>
      </w:pPr>
      <w:r>
        <w:rPr>
          <w:rFonts w:hint="eastAsia" w:hAnsi="Cambria Math"/>
          <w:b w:val="0"/>
          <w:i w:val="0"/>
          <w:lang w:val="en-US" w:eastAsia="zh-CN"/>
        </w:rPr>
        <w:t>由于DistMult使用的是对角方阵，因此仅仅能捕获对称关系。为了捕获反对称关系，ComplEx将向量空间从实数域扩展到复数域，极大的提升了模型的表现能力。</w:t>
      </w:r>
    </w:p>
    <w:p>
      <w:pPr>
        <w:rPr>
          <w:rFonts w:hint="eastAsia" w:hAnsi="Cambria Math" w:cs="微软雅黑"/>
          <w:i w:val="0"/>
          <w:lang w:val="en-US" w:eastAsia="zh-CN"/>
        </w:rPr>
      </w:pPr>
      <w:r>
        <w:rPr>
          <w:rFonts w:hint="eastAsia" w:hAnsi="Cambria Math"/>
          <w:b w:val="0"/>
          <w:i w:val="0"/>
          <w:lang w:val="en-US" w:eastAsia="zh-CN"/>
        </w:rPr>
        <w:t xml:space="preserve">受到TransE和欧拉恒等式的启发，RotatE将头实体和尾实体映射到复数向量空间，即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，将关系建模为从头部实体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的旋转。RotatE模型能够捕获对称、反对称、反转和组成四种类型关系，因此它最大限度的表示出KG的语义和结构信息。</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 xml:space="preserve"> 评估指标</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预测缺失的头实体h。我们可以通过链接预测给出需要评估三元组的排名。为了评估 KGE 模型的性能，我们使用三种经典指标：正确实体评分函数的平均排名（Mean Rank，MR），正确实体评分函数的平均倒数排名（Mean Reciprocal Rank，MRR）和正确实体评分函数的前N的比例即前N命中率Hits@N（N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分别表示预测缺失头实体和尾实体三元组的排名，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5"/>
        <w:bidi w:val="0"/>
        <w:rPr>
          <w:rFonts w:hint="eastAsia"/>
          <w:lang w:val="en-US" w:eastAsia="zh-CN"/>
        </w:rPr>
      </w:pPr>
      <w:r>
        <w:rPr>
          <w:rFonts w:hint="eastAsia"/>
          <w:lang w:val="en-US" w:eastAsia="zh-CN"/>
        </w:rPr>
        <w:t xml:space="preserve"> 实验设置</w:t>
      </w:r>
    </w:p>
    <w:p>
      <w:pPr>
        <w:rPr>
          <w:rFonts w:hint="eastAsia"/>
          <w:lang w:val="en-US" w:eastAsia="zh-CN"/>
        </w:rPr>
      </w:pPr>
      <w:r>
        <w:rPr>
          <w:rFonts w:hint="eastAsia"/>
          <w:lang w:val="en-US" w:eastAsia="zh-CN"/>
        </w:rPr>
        <w:t>我们将DRKG的三元组按照90%、5%、5%的比例划分为训练集、验证集和测试集，分别为5286834个，293713个和293714个。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 0.05, 0.1}中选择学习率lr；由于RotatE 模型实体维度是超参数嵌入维度hidden_dim的2倍，因此将其嵌入维度固定为200，从{200,400}中选择其他模型的嵌入维度hidden_dime；</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eastAsia"/>
          <w:lang w:val="en-US" w:eastAsia="zh-CN"/>
        </w:rPr>
      </w:pPr>
      <w:r>
        <w:rPr>
          <w:rFonts w:hint="eastAsia"/>
          <w:lang w:val="en-US" w:eastAsia="zh-CN"/>
        </w:rPr>
        <w:t xml:space="preserve">在药物重定位任务中，选择全部DRKG中的AD实体作为头实体（Disease::DOID:10652，Disease::MESH:C536599，Disease::MESH:D000544），选择DRKG中的治疗关系作为链接预测的关系（DRUGBANK::treats::Compound:Disease，GNBR::T::Compound:Disease，Hetionet::CtD::Compound:Disease），将Drugbank中所有被FDA批准的药物作为候选药物（分子量 </w:t>
      </w:r>
      <m:oMath>
        <m:r>
          <m:rPr>
            <m:sty m:val="p"/>
          </m:rPr>
          <w:rPr>
            <w:rFonts w:ascii="Cambria Math" w:hAnsi="Cambria Math"/>
            <w:lang w:val="en-US"/>
          </w:rPr>
          <m:t>≥</m:t>
        </m:r>
      </m:oMath>
      <w:r>
        <w:rPr>
          <w:rFonts w:hint="eastAsia"/>
          <w:lang w:val="en-US" w:eastAsia="zh-CN"/>
        </w:rPr>
        <w:t xml:space="preserve"> 250，共8104个），通过预测缺失尾实体的方法选择评分前50的药物作为初步AD的治疗药物。</w:t>
      </w:r>
    </w:p>
    <w:p>
      <w:pPr>
        <w:pStyle w:val="4"/>
        <w:tabs>
          <w:tab w:val="left" w:pos="365"/>
        </w:tabs>
        <w:bidi w:val="0"/>
        <w:rPr>
          <w:rFonts w:hint="eastAsia"/>
          <w:lang w:val="en-US" w:eastAsia="zh-CN"/>
        </w:rPr>
      </w:pPr>
      <w:r>
        <w:rPr>
          <w:rFonts w:hint="eastAsia"/>
          <w:lang w:val="en-US" w:eastAsia="zh-CN"/>
        </w:rPr>
        <w:tab/>
      </w:r>
      <w:r>
        <w:rPr>
          <w:rFonts w:hint="eastAsia"/>
          <w:lang w:val="en-US" w:eastAsia="zh-CN"/>
        </w:rPr>
        <w:t xml:space="preserve"> 结果</w:t>
      </w:r>
    </w:p>
    <w:p>
      <w:pPr>
        <w:pStyle w:val="5"/>
        <w:bidi w:val="0"/>
        <w:rPr>
          <w:rFonts w:hint="default"/>
          <w:lang w:val="en-US" w:eastAsia="zh-CN"/>
        </w:rPr>
      </w:pPr>
      <w:r>
        <w:rPr>
          <w:rFonts w:hint="eastAsia"/>
          <w:lang w:val="en-US" w:eastAsia="zh-CN"/>
        </w:rPr>
        <w:t xml:space="preserve"> KGE模型的对比</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0.621，RotatE模型次之0.614。对于Hits@1指标，ComplEx模型取得了最优结果0.537，RotatE模型次之0.515。对于Hits@3和Hits@10，RotatE模型取得了最优结果分别为0.681、0.780，ComplEx模型取得了次优结果分别为0.673、0.768。表3列出了KGE模型测试集的结果。</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bidi w:val="0"/>
        <w:rPr>
          <w:rFonts w:hint="eastAsia"/>
          <w:lang w:val="en-US" w:eastAsia="zh-CN"/>
        </w:rPr>
      </w:pPr>
      <w:r>
        <w:rPr>
          <w:rFonts w:hint="eastAsia"/>
          <w:lang w:val="en-US" w:eastAsia="zh-CN"/>
        </w:rPr>
        <w:t>通过比较KGE模型的评估结果，我们能得出以下结论。DistMult模型受限于只能建模对称关系，因此各项指标都没有最优和次优结果。TransE 模型的 MR 指标达到了最优结果，但是受限于只能建模一对一的关系，无法在其他指标上达到理想的水平。对于MR 指标RotatE模型和ComplEx呈现出截然不同的结果，RotaE模型接近于TransE模型取得的最优结果，但是ComplEx模型取得了最差结果，这可能是因为RotaE相较于ComplEx多捕获了</w:t>
      </w:r>
      <w:r>
        <w:rPr>
          <w:rFonts w:hint="eastAsia" w:hAnsi="Cambria Math" w:cs="微软雅黑"/>
          <w:i w:val="0"/>
          <w:lang w:val="en-US" w:eastAsia="zh-CN"/>
        </w:rPr>
        <w:t>反转和组成两类关系</w:t>
      </w:r>
      <w:r>
        <w:rPr>
          <w:rFonts w:hint="eastAsia"/>
          <w:lang w:val="en-US" w:eastAsia="zh-CN"/>
        </w:rPr>
        <w:t>。对于MRR和Hits@N两种指标，RotatE和ComplEx 模型各取得了2次最优和次优结果，且最优和次优结果也非常接近，充分说明将嵌入向量空间由实数域转换到复数域的必要性。考虑到MR结果，我们最终选择RotatE作为我们最终的药物重定位模型。</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bidi w:val="0"/>
        <w:rPr>
          <w:rFonts w:hint="eastAsia"/>
          <w:lang w:val="en-US" w:eastAsia="zh-CN"/>
        </w:rPr>
      </w:pPr>
      <w:r>
        <w:rPr>
          <w:rFonts w:hint="eastAsia"/>
          <w:lang w:val="en-US" w:eastAsia="zh-CN"/>
        </w:rPr>
        <w:t>表4列出了KGE的超参数，我们重新在整个DRKG上训练了RotatE模型，选择表4中RotatE的超参数作为模型的参数。</w:t>
      </w:r>
    </w:p>
    <w:p>
      <w:pPr>
        <w:pStyle w:val="5"/>
        <w:bidi w:val="0"/>
        <w:rPr>
          <w:rFonts w:hint="eastAsia"/>
          <w:lang w:val="en-US" w:eastAsia="zh-CN"/>
        </w:rPr>
      </w:pPr>
      <w:r>
        <w:rPr>
          <w:rFonts w:hint="eastAsia"/>
          <w:lang w:val="en-US" w:eastAsia="zh-CN"/>
        </w:rPr>
        <w:t xml:space="preserve"> RotatE模型的嵌入分析</w:t>
      </w:r>
    </w:p>
    <w:p>
      <w:pPr>
        <w:rPr>
          <w:rFonts w:hint="eastAsia"/>
          <w:lang w:val="en-US" w:eastAsia="zh-CN"/>
        </w:rPr>
      </w:pPr>
      <w:r>
        <w:rPr>
          <w:rFonts w:hint="eastAsia"/>
          <w:lang w:val="en-US" w:eastAsia="zh-CN"/>
        </w:rPr>
        <w:t>由于 DRKG 结合了来自不同数据源的信息，我们希望验证使用知识图嵌入技术可以生成有意义的实体和关系嵌入。我们采用t-SNE将关系嵌入向量降维和可视化处理。由于实体的数量众多，且RotatE实体维度是400，直接利用t-SNE降维和可视化处理会引入很多噪声，因此我们首先使用PCA将其降维到30，然后再利用t-SNE将其将降维到2D空间并可视化处理。我们还使用余弦距离计算关系嵌入向量间的相似度，并输出了最相似的10对关系和相似度得分分布的直方图。</w:t>
      </w:r>
    </w:p>
    <w:p>
      <w:pPr>
        <w:rPr>
          <w:rFonts w:hint="default"/>
          <w:lang w:val="en-US" w:eastAsia="zh-CN"/>
        </w:rPr>
      </w:pPr>
      <w:r>
        <w:rPr>
          <w:rFonts w:hint="eastAsia"/>
          <w:lang w:val="en-US" w:eastAsia="zh-CN"/>
        </w:rPr>
        <w:t>图1是关系2D空间的可视化图，可以发现关系广泛的分布在2D的空间中，即便来自相同源数据集的关系都没有出现聚集的现象，可以得出RotatE模型学习到了各个关系间差异的结论，这对于我们后面的药物重定位是很有意义的。</w:t>
      </w:r>
    </w:p>
    <w:p>
      <w:pPr>
        <w:rPr>
          <w:rFonts w:hint="default"/>
          <w:lang w:val="en-US" w:eastAsia="zh-CN"/>
        </w:rPr>
      </w:pPr>
      <w:r>
        <w:rPr>
          <w:rFonts w:hint="default"/>
          <w:lang w:val="en-US" w:eastAsia="zh-CN"/>
        </w:rPr>
        <w:drawing>
          <wp:inline distT="0" distB="0" distL="114300" distR="114300">
            <wp:extent cx="4676775" cy="2828925"/>
            <wp:effectExtent l="0" t="0" r="9525" b="9525"/>
            <wp:docPr id="1" name="图片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lation"/>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76775" cy="28289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Distribution of relation embeddings in 2D euclidean space</w:t>
      </w:r>
    </w:p>
    <w:p>
      <w:pPr>
        <w:bidi w:val="0"/>
        <w:rPr>
          <w:rFonts w:hint="eastAsia"/>
          <w:lang w:val="en-US" w:eastAsia="zh-CN"/>
        </w:rPr>
      </w:pPr>
      <w:r>
        <w:rPr>
          <w:rFonts w:hint="eastAsia"/>
          <w:lang w:val="en-US" w:eastAsia="zh-CN"/>
        </w:rPr>
        <w:t>图2显示了基于嵌入的不同关系类型之间的成对余弦相似性的详细分布。可以发现绝大多数关系嵌入向量都有很小的相似度，而且最相似的也只有0.2。</w:t>
      </w:r>
    </w:p>
    <w:p>
      <w:pPr>
        <w:bidi w:val="0"/>
        <w:rPr>
          <w:rFonts w:hint="default"/>
          <w:lang w:val="en-US" w:eastAsia="zh-CN"/>
        </w:rPr>
      </w:pPr>
      <w:r>
        <w:rPr>
          <w:rFonts w:hint="default"/>
          <w:lang w:val="en-US" w:eastAsia="zh-CN"/>
        </w:rPr>
        <w:drawing>
          <wp:inline distT="0" distB="0" distL="114300" distR="114300">
            <wp:extent cx="4381500" cy="3286125"/>
            <wp:effectExtent l="0" t="0" r="0" b="9525"/>
            <wp:docPr id="2" name="图片 2"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i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Histogram of cosine similarity between relations</w:t>
      </w:r>
    </w:p>
    <w:p>
      <w:pPr>
        <w:bidi w:val="0"/>
        <w:rPr>
          <w:rFonts w:hint="default"/>
          <w:lang w:val="en-US" w:eastAsia="zh-CN"/>
        </w:rPr>
      </w:pPr>
      <w:r>
        <w:rPr>
          <w:rFonts w:hint="eastAsia"/>
          <w:lang w:val="en-US" w:eastAsia="zh-CN"/>
        </w:rPr>
        <w:t>表5列出关系间余弦相似度最高的10对关系，可以发现所有关系对的相似得分都&lt;0.25，与图2的结果相互得到印证。而且我们选择的三种治疗关系并不在其中，即RotatE模型能够很好的将治疗关系和其他类型的关系区分开，这对于我们的药物重定位非常重要。</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Top 10 most similar relation pairs based on their cosine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2"/>
        <w:gridCol w:w="3608"/>
        <w:gridCol w:w="14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bottom w:val="single" w:color="auto" w:sz="12" w:space="0"/>
            </w:tcBorders>
          </w:tcPr>
          <w:p>
            <w:pPr>
              <w:pStyle w:val="18"/>
              <w:bidi w:val="0"/>
              <w:rPr>
                <w:rFonts w:hint="default"/>
                <w:lang w:val="en-US" w:eastAsia="zh-CN"/>
              </w:rPr>
            </w:pPr>
            <w:r>
              <w:rPr>
                <w:rFonts w:hint="eastAsia"/>
                <w:lang w:val="en-US" w:eastAsia="zh-CN"/>
              </w:rPr>
              <w:t>Relation 1</w:t>
            </w:r>
          </w:p>
        </w:tc>
        <w:tc>
          <w:tcPr>
            <w:tcW w:w="3608" w:type="dxa"/>
            <w:tcBorders>
              <w:bottom w:val="single" w:color="auto" w:sz="12" w:space="0"/>
            </w:tcBorders>
          </w:tcPr>
          <w:p>
            <w:pPr>
              <w:pStyle w:val="18"/>
              <w:bidi w:val="0"/>
              <w:rPr>
                <w:rFonts w:hint="default"/>
                <w:lang w:val="en-US" w:eastAsia="zh-CN"/>
              </w:rPr>
            </w:pPr>
            <w:r>
              <w:rPr>
                <w:rFonts w:hint="eastAsia"/>
                <w:lang w:val="en-US" w:eastAsia="zh-CN"/>
              </w:rPr>
              <w:t>Relation 2</w:t>
            </w:r>
          </w:p>
        </w:tc>
        <w:tc>
          <w:tcPr>
            <w:tcW w:w="1432"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Cosine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op w:val="single" w:color="auto" w:sz="12" w:space="0"/>
              <w:tl2br w:val="nil"/>
              <w:tr2bl w:val="nil"/>
            </w:tcBorders>
          </w:tcPr>
          <w:p>
            <w:pPr>
              <w:pStyle w:val="18"/>
              <w:bidi w:val="0"/>
              <w:rPr>
                <w:rFonts w:hint="default"/>
                <w:lang w:val="en-US" w:eastAsia="zh-CN"/>
              </w:rPr>
            </w:pPr>
            <w:r>
              <w:rPr>
                <w:rFonts w:hint="default"/>
                <w:lang w:val="en-US" w:eastAsia="zh-CN"/>
              </w:rPr>
              <w:t>Hetionet::DaG::Disease:Gene</w:t>
            </w:r>
          </w:p>
        </w:tc>
        <w:tc>
          <w:tcPr>
            <w:tcW w:w="3608" w:type="dxa"/>
            <w:tcBorders>
              <w:top w:val="single" w:color="auto" w:sz="12" w:space="0"/>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DRUGBANK::x-atc::Compound:Atc</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0.2331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GNBR::L::Gene:Disease</w:t>
            </w:r>
          </w:p>
        </w:tc>
        <w:tc>
          <w:tcPr>
            <w:tcW w:w="3608"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DGIDB::BLOCKER::Gene:Compound</w:t>
            </w:r>
          </w:p>
        </w:tc>
        <w:tc>
          <w:tcPr>
            <w:tcW w:w="3608" w:type="dxa"/>
            <w:tcBorders>
              <w:tl2br w:val="nil"/>
              <w:tr2bl w:val="nil"/>
            </w:tcBorders>
          </w:tcPr>
          <w:p>
            <w:pPr>
              <w:pStyle w:val="18"/>
              <w:bidi w:val="0"/>
              <w:rPr>
                <w:rFonts w:hint="default"/>
                <w:lang w:val="en-US" w:eastAsia="zh-CN"/>
              </w:rPr>
            </w:pPr>
            <w:r>
              <w:rPr>
                <w:rFonts w:hint="default"/>
                <w:lang w:val="en-US" w:eastAsia="zh-CN"/>
              </w:rPr>
              <w:t>GNBR::J::Gene:Disease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w:t>
            </w:r>
            <w:r>
              <w:rPr>
                <w:rFonts w:hint="eastAsia"/>
                <w:lang w:val="en-US" w:eastAsia="zh-CN"/>
              </w:rPr>
              <w:t>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DGIDB::AGONIST::Gene:Compound</w:t>
            </w:r>
          </w:p>
        </w:tc>
        <w:tc>
          <w:tcPr>
            <w:tcW w:w="3608" w:type="dxa"/>
            <w:tcBorders>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0.222</w:t>
            </w:r>
            <w:r>
              <w:rPr>
                <w:rFonts w:hint="eastAsia"/>
                <w:lang w:val="en-US" w:eastAsia="zh-CN"/>
              </w:rPr>
              <w:t>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DRUGBANK::enzyme::Compound:Gene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GNBR::Ud::Gene:Disease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0.219</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3608" w:type="dxa"/>
            <w:tcBorders>
              <w:tl2br w:val="nil"/>
              <w:tr2bl w:val="nil"/>
            </w:tcBorders>
          </w:tcPr>
          <w:p>
            <w:pPr>
              <w:pStyle w:val="18"/>
              <w:bidi w:val="0"/>
              <w:rPr>
                <w:rFonts w:hint="default"/>
                <w:lang w:val="en-US" w:eastAsia="zh-CN"/>
              </w:rPr>
            </w:pPr>
            <w:r>
              <w:rPr>
                <w:rFonts w:hint="default"/>
                <w:lang w:val="en-US" w:eastAsia="zh-CN"/>
              </w:rPr>
              <w:t>Hetionet::CbG::Compound:Gene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0.217</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GNBR::N::Compound:Gene</w:t>
            </w:r>
          </w:p>
        </w:tc>
        <w:tc>
          <w:tcPr>
            <w:tcW w:w="3608" w:type="dxa"/>
            <w:tcBorders>
              <w:tl2br w:val="nil"/>
              <w:tr2bl w:val="nil"/>
            </w:tcBorders>
          </w:tcPr>
          <w:p>
            <w:pPr>
              <w:pStyle w:val="18"/>
              <w:bidi w:val="0"/>
              <w:rPr>
                <w:rFonts w:hint="default"/>
                <w:lang w:val="en-US" w:eastAsia="zh-CN"/>
              </w:rPr>
            </w:pPr>
            <w:r>
              <w:rPr>
                <w:rFonts w:hint="default"/>
                <w:lang w:val="en-US" w:eastAsia="zh-CN"/>
              </w:rPr>
              <w:t>Hetionet::GcG::Gene:Gene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0.215</w:t>
            </w:r>
            <w:r>
              <w:rPr>
                <w:rFonts w:hint="eastAsia"/>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GNBR::W::Gene:Gene</w:t>
            </w:r>
          </w:p>
        </w:tc>
        <w:tc>
          <w:tcPr>
            <w:tcW w:w="3608" w:type="dxa"/>
            <w:tcBorders>
              <w:tl2br w:val="nil"/>
              <w:tr2bl w:val="nil"/>
            </w:tcBorders>
          </w:tcPr>
          <w:p>
            <w:pPr>
              <w:pStyle w:val="18"/>
              <w:bidi w:val="0"/>
              <w:rPr>
                <w:rFonts w:hint="default"/>
                <w:lang w:val="en-US" w:eastAsia="zh-CN"/>
              </w:rPr>
            </w:pPr>
            <w:r>
              <w:rPr>
                <w:rFonts w:hint="default"/>
                <w:lang w:val="en-US" w:eastAsia="zh-CN"/>
              </w:rPr>
              <w:t>Hetionet::CdG::Compound:Gene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GNBR::Z::Compound:Gene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0.2115</w:t>
            </w:r>
          </w:p>
        </w:tc>
      </w:tr>
    </w:tbl>
    <w:p>
      <w:pPr>
        <w:bidi w:val="0"/>
        <w:rPr>
          <w:rFonts w:hint="eastAsia"/>
          <w:lang w:val="en-US" w:eastAsia="zh-CN"/>
        </w:rPr>
      </w:pPr>
      <w:r>
        <w:rPr>
          <w:rFonts w:hint="eastAsia"/>
          <w:lang w:val="en-US" w:eastAsia="zh-CN"/>
        </w:rPr>
        <w:t>图3是实体2D空间的可视化图，不同的颜色表示不同的实体类型，观察到相同类别的实体正如我们期望的那样聚集到一起。</w:t>
      </w:r>
    </w:p>
    <w:p>
      <w:pPr>
        <w:bidi w:val="0"/>
        <w:rPr>
          <w:rFonts w:hint="default"/>
          <w:lang w:val="en-US" w:eastAsia="zh-CN"/>
        </w:rPr>
      </w:pPr>
      <w:r>
        <w:rPr>
          <w:rFonts w:hint="default"/>
          <w:lang w:val="en-US" w:eastAsia="zh-CN"/>
        </w:rPr>
        <w:drawing>
          <wp:inline distT="0" distB="0" distL="114300" distR="114300">
            <wp:extent cx="5269230" cy="2877820"/>
            <wp:effectExtent l="0" t="0" r="7620" b="17780"/>
            <wp:docPr id="3" name="图片 3"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tity"/>
                    <pic:cNvPicPr>
                      <a:picLocks noChangeAspect="1"/>
                    </pic:cNvPicPr>
                  </pic:nvPicPr>
                  <pic:blipFill>
                    <a:blip r:embed="rId10"/>
                    <a:stretch>
                      <a:fillRect/>
                    </a:stretch>
                  </pic:blipFill>
                  <pic:spPr>
                    <a:xfrm>
                      <a:off x="0" y="0"/>
                      <a:ext cx="5269230" cy="2877820"/>
                    </a:xfrm>
                    <a:prstGeom prst="rect">
                      <a:avLst/>
                    </a:prstGeom>
                  </pic:spPr>
                </pic:pic>
              </a:graphicData>
            </a:graphic>
          </wp:inline>
        </w:drawing>
      </w:r>
    </w:p>
    <w:p>
      <w:pPr>
        <w:pStyle w:val="19"/>
        <w:bidi w:val="0"/>
        <w:rPr>
          <w:rFonts w:hint="eastAsia"/>
          <w:lang w:val="en-US" w:eastAsia="zh-CN"/>
        </w:rPr>
      </w:pPr>
      <w:r>
        <w:rPr>
          <w:rFonts w:hint="eastAsia"/>
          <w:b/>
          <w:bCs/>
          <w:lang w:val="en-US" w:eastAsia="zh-CN"/>
        </w:rPr>
        <w:t>Figure 3</w:t>
      </w:r>
      <w:r>
        <w:rPr>
          <w:rFonts w:hint="eastAsia"/>
          <w:lang w:val="en-US" w:eastAsia="zh-CN"/>
        </w:rPr>
        <w:t xml:space="preserve">  Distribution of entity embeddings in 2D euclidean space</w:t>
      </w:r>
    </w:p>
    <w:p>
      <w:pPr>
        <w:bidi w:val="0"/>
        <w:rPr>
          <w:rFonts w:hint="eastAsia" w:hAnsi="Cambria Math"/>
          <w:i w:val="0"/>
          <w:lang w:val="en-US" w:eastAsia="zh-CN"/>
        </w:rPr>
      </w:pPr>
      <w:r>
        <w:rPr>
          <w:rFonts w:hint="eastAsia"/>
          <w:lang w:val="en-US" w:eastAsia="zh-CN"/>
        </w:rPr>
        <w:t>为了进一步分析RotatE模型学习到的关系嵌入向量的差异性，我们还分析了不同关系类型之间在链接预测时的相似程度，对于种子头实体</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，用链接预测找到关系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下最可能成立的前10尾实体，然后对关系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重复上述工作，并计算关系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的前十尾实体集合的 Jaccard相似系数（Jaccard similarity coefficient）。我们选择了100个随机头实体种子，然后报告了所有关系对的平均相似度，表6列出了基于链接预测相似度的前十关系对。Jaccard相似系数计算如下：</w:t>
      </w:r>
    </w:p>
    <w:p>
      <w:pPr>
        <w:bidi w:val="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J</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 </m:t>
          </m:r>
          <m:f>
            <m:fPr>
              <m:ctrlPr>
                <w:rPr>
                  <w:rFonts w:hint="default" w:ascii="Cambria Math" w:hAnsi="Cambria Math"/>
                  <w:i/>
                  <w:lang w:val="en-US" w:eastAsia="zh-CN"/>
                </w:rPr>
              </m:ctrlPr>
            </m:fPr>
            <m:num>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num>
            <m:den>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den>
          </m:f>
        </m:oMath>
      </m:oMathPara>
    </w:p>
    <w:p>
      <w:pPr>
        <w:bidi w:val="0"/>
        <w:rPr>
          <w:rFonts w:hint="eastAsia" w:hAnsi="Cambria Math"/>
          <w:i w:val="0"/>
          <w:lang w:val="en-US" w:eastAsia="zh-CN"/>
        </w:rPr>
      </w:pPr>
      <w:r>
        <w:rPr>
          <w:rFonts w:hint="eastAsia" w:hAnsi="Cambria Math"/>
          <w:i w:val="0"/>
          <w:lang w:val="en-US" w:eastAsia="zh-CN"/>
        </w:rPr>
        <w:t>其中</w:t>
      </w:r>
      <m:oMath>
        <m:r>
          <m:rPr>
            <m:sty m:val="p"/>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表示集合的基数，</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 xml:space="preserve"> 是两个关系对应的尾实体集合。</w:t>
      </w:r>
    </w:p>
    <w:p>
      <w:pPr>
        <w:pStyle w:val="17"/>
        <w:bidi w:val="0"/>
        <w:rPr>
          <w:rFonts w:hint="default"/>
          <w:lang w:val="en-US" w:eastAsia="zh-CN"/>
        </w:rPr>
      </w:pPr>
      <w:r>
        <w:rPr>
          <w:rFonts w:hint="eastAsia"/>
          <w:lang w:val="en-US" w:eastAsia="zh-CN"/>
        </w:rPr>
        <w:t>Table 6  Top 10 most similar relation pairs based on their link recommendation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7"/>
        <w:gridCol w:w="3725"/>
        <w:gridCol w:w="129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1</w:t>
            </w:r>
          </w:p>
        </w:tc>
        <w:tc>
          <w:tcPr>
            <w:tcW w:w="3725"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2</w:t>
            </w:r>
          </w:p>
        </w:tc>
        <w:tc>
          <w:tcPr>
            <w:tcW w:w="1290" w:type="dxa"/>
            <w:tcBorders>
              <w:bottom w:val="single" w:color="auto" w:sz="12" w:space="0"/>
            </w:tcBorders>
            <w:vAlign w:val="center"/>
          </w:tcPr>
          <w:p>
            <w:pPr>
              <w:pStyle w:val="18"/>
              <w:bidi w:val="0"/>
              <w:jc w:val="center"/>
              <w:rPr>
                <w:rFonts w:hint="default"/>
                <w:sz w:val="15"/>
                <w:szCs w:val="15"/>
                <w:lang w:val="en-US" w:eastAsia="zh-CN"/>
              </w:rPr>
            </w:pPr>
            <w:r>
              <w:rPr>
                <w:rFonts w:hint="eastAsia"/>
                <w:sz w:val="15"/>
                <w:szCs w:val="15"/>
                <w:lang w:val="en-US" w:eastAsia="zh-CN"/>
              </w:rPr>
              <w:t>Jaccard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3725"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op w:val="single" w:color="auto" w:sz="12" w:space="0"/>
              <w:tl2br w:val="nil"/>
              <w:tr2bl w:val="nil"/>
            </w:tcBorders>
            <w:vAlign w:val="center"/>
          </w:tcPr>
          <w:p>
            <w:pPr>
              <w:pStyle w:val="18"/>
              <w:bidi w:val="0"/>
              <w:jc w:val="center"/>
              <w:rPr>
                <w:rFonts w:hint="default"/>
                <w:sz w:val="15"/>
                <w:szCs w:val="15"/>
                <w:lang w:val="en-US" w:eastAsia="zh-CN"/>
              </w:rPr>
            </w:pPr>
            <w:r>
              <w:rPr>
                <w:rFonts w:hint="eastAsia"/>
                <w:sz w:val="15"/>
                <w:szCs w:val="15"/>
                <w:lang w:val="en-US" w:eastAsia="zh-CN"/>
              </w:rPr>
              <w:t>0.570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w:t>
            </w:r>
            <w:r>
              <w:rPr>
                <w:rFonts w:hint="eastAsia"/>
                <w:sz w:val="15"/>
                <w:szCs w:val="15"/>
                <w:lang w:val="en-US" w:eastAsia="zh-CN"/>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0.55</w:t>
            </w:r>
            <w:r>
              <w:rPr>
                <w:rFonts w:hint="eastAsia"/>
                <w:sz w:val="15"/>
                <w:szCs w:val="15"/>
                <w:lang w:val="en-US" w:eastAsia="zh-CN"/>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DRUGBANK::target::Compound:Gene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0.545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0.534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Hetionet::CbG::Compound:Gene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0.490</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hAnsi="Cambria Math"/>
          <w:i w:val="0"/>
          <w:lang w:val="en-US" w:eastAsia="zh-CN"/>
        </w:rPr>
      </w:pPr>
      <w:r>
        <w:rPr>
          <w:rFonts w:hint="eastAsia" w:hAnsi="Cambria Math"/>
          <w:i w:val="0"/>
          <w:lang w:val="en-US" w:eastAsia="zh-CN"/>
        </w:rPr>
        <w:t>可以发现我们的三种治疗关系依旧没有出现在前10的位置，更加说明RotatE模型能够将治疗关系能够与其他关系区分出来。</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i w:val="0"/>
          <w:lang w:val="en-US" w:eastAsia="zh-CN"/>
        </w:rPr>
      </w:pPr>
      <w:r>
        <w:rPr>
          <w:rFonts w:hint="eastAsia" w:hAnsi="Cambria Math"/>
          <w:i w:val="0"/>
          <w:lang w:val="en-US" w:eastAsia="zh-CN"/>
        </w:rPr>
        <w:t>通过上面对RotatE模型学习到的实体和关系嵌入向量的分析结果，我们认为DRKG不同数据源的信息被药物重定位模型很好的整合到了一起，并且生成了有意义的实体和关系嵌入向量。</w:t>
      </w:r>
    </w:p>
    <w:p>
      <w:pPr>
        <w:pStyle w:val="5"/>
        <w:bidi w:val="0"/>
        <w:rPr>
          <w:rFonts w:hint="eastAsia"/>
          <w:lang w:val="en-US" w:eastAsia="zh-CN"/>
        </w:rPr>
      </w:pPr>
      <w:r>
        <w:rPr>
          <w:rFonts w:hint="eastAsia"/>
          <w:lang w:val="en-US" w:eastAsia="zh-CN"/>
        </w:rPr>
        <w:t xml:space="preserve"> AD 药物重定位</w:t>
      </w:r>
    </w:p>
    <w:p>
      <w:pPr>
        <w:rPr>
          <w:rFonts w:hint="eastAsia"/>
          <w:lang w:val="en-US" w:eastAsia="zh-CN"/>
        </w:rPr>
      </w:pPr>
      <w:r>
        <w:rPr>
          <w:rFonts w:hint="eastAsia"/>
          <w:lang w:val="en-US" w:eastAsia="zh-CN"/>
        </w:rPr>
        <w:t>我们使用最终的RotatE模型进行AD药物重定位，由于RotatE模型的MR是63.51，所以将评分前50的作为初步的候选药物。初步的候选药物列表中，评分前10中只有第9名的药物不是DRKG已经存在的治疗AD的药物，证明该方法的有效性。然后我们排除了DRKG中原有的治疗AD的药物，最终剩余了17种治疗药物。</w:t>
      </w:r>
    </w:p>
    <w:p>
      <w:pPr>
        <w:rPr>
          <w:rFonts w:hint="eastAsia"/>
          <w:lang w:val="en-US" w:eastAsia="zh-CN"/>
        </w:rPr>
      </w:pPr>
      <w:r>
        <w:rPr>
          <w:rFonts w:hint="eastAsia"/>
          <w:lang w:val="en-US" w:eastAsia="zh-CN"/>
        </w:rPr>
        <w:t>我们将DRKG提供的TransE_l2预训练模型重复上面的步骤，排除了DRKG中已经存在的治疗AD的药物，最终剩余25种治疗药物，可以发现RotatE模型的效果要好于TransE模型。我们将上面两个模型得到的候选药物求交集，最终获得10种治疗AD的治疗药物，结果显示在表7中。</w:t>
      </w:r>
    </w:p>
    <w:p>
      <w:pPr>
        <w:pStyle w:val="17"/>
        <w:bidi w:val="0"/>
        <w:rPr>
          <w:rFonts w:hint="default"/>
          <w:lang w:val="en-US" w:eastAsia="zh-CN"/>
        </w:rPr>
      </w:pPr>
      <w:r>
        <w:rPr>
          <w:rFonts w:hint="eastAsia"/>
          <w:b/>
          <w:bCs/>
          <w:lang w:val="en-US" w:eastAsia="zh-CN"/>
        </w:rPr>
        <w:t>Table 7</w:t>
      </w:r>
      <w:r>
        <w:rPr>
          <w:rFonts w:hint="eastAsia"/>
          <w:lang w:val="en-US" w:eastAsia="zh-CN"/>
        </w:rPr>
        <w:t xml:space="preserve">  Candidate drugs obtained from drug repurposing.</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3"/>
        <w:gridCol w:w="1475"/>
        <w:gridCol w:w="54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bottom w:val="single" w:color="auto" w:sz="12" w:space="0"/>
            </w:tcBorders>
          </w:tcPr>
          <w:p>
            <w:pPr>
              <w:pStyle w:val="18"/>
              <w:bidi w:val="0"/>
              <w:rPr>
                <w:rFonts w:hint="default"/>
                <w:lang w:val="en-US" w:eastAsia="zh-CN"/>
              </w:rPr>
            </w:pPr>
            <w:r>
              <w:rPr>
                <w:rFonts w:hint="eastAsia"/>
                <w:lang w:val="en-US" w:eastAsia="zh-CN"/>
              </w:rPr>
              <w:t>Rank in RotatE</w:t>
            </w:r>
          </w:p>
        </w:tc>
        <w:tc>
          <w:tcPr>
            <w:tcW w:w="1475" w:type="dxa"/>
            <w:tcBorders>
              <w:bottom w:val="single" w:color="auto" w:sz="12" w:space="0"/>
            </w:tcBorders>
          </w:tcPr>
          <w:p>
            <w:pPr>
              <w:pStyle w:val="18"/>
              <w:bidi w:val="0"/>
              <w:rPr>
                <w:rFonts w:hint="default"/>
                <w:lang w:val="en-US" w:eastAsia="zh-CN"/>
              </w:rPr>
            </w:pPr>
            <w:r>
              <w:rPr>
                <w:rFonts w:hint="eastAsia"/>
                <w:lang w:val="en-US" w:eastAsia="zh-CN"/>
              </w:rPr>
              <w:t>Drug name</w:t>
            </w:r>
          </w:p>
        </w:tc>
        <w:tc>
          <w:tcPr>
            <w:tcW w:w="5434" w:type="dxa"/>
            <w:tcBorders>
              <w:bottom w:val="single" w:color="auto" w:sz="12" w:space="0"/>
            </w:tcBorders>
          </w:tcPr>
          <w:p>
            <w:pPr>
              <w:pStyle w:val="18"/>
              <w:bidi w:val="0"/>
              <w:rPr>
                <w:rFonts w:hint="default"/>
                <w:lang w:val="en-US" w:eastAsia="zh-CN"/>
              </w:rPr>
            </w:pPr>
            <w:r>
              <w:rPr>
                <w:rFonts w:hint="eastAsia"/>
                <w:lang w:val="en-US" w:eastAsia="zh-CN"/>
              </w:rPr>
              <w:t>L</w:t>
            </w:r>
            <w:r>
              <w:rPr>
                <w:rFonts w:hint="default"/>
                <w:lang w:val="en-US" w:eastAsia="zh-CN"/>
              </w:rPr>
              <w:t>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op w:val="single" w:color="auto" w:sz="12" w:space="0"/>
              <w:tl2br w:val="nil"/>
              <w:tr2bl w:val="nil"/>
            </w:tcBorders>
          </w:tcPr>
          <w:p>
            <w:pPr>
              <w:pStyle w:val="18"/>
              <w:bidi w:val="0"/>
              <w:rPr>
                <w:rFonts w:hint="default"/>
                <w:lang w:val="en-US" w:eastAsia="zh-CN"/>
              </w:rPr>
            </w:pPr>
            <w:r>
              <w:rPr>
                <w:rFonts w:hint="eastAsia"/>
                <w:lang w:val="en-US" w:eastAsia="zh-CN"/>
              </w:rPr>
              <w:t>9</w:t>
            </w:r>
          </w:p>
        </w:tc>
        <w:tc>
          <w:tcPr>
            <w:tcW w:w="1475" w:type="dxa"/>
            <w:tcBorders>
              <w:top w:val="single" w:color="auto" w:sz="12" w:space="0"/>
              <w:tl2br w:val="nil"/>
              <w:tr2bl w:val="nil"/>
            </w:tcBorders>
          </w:tcPr>
          <w:p>
            <w:pPr>
              <w:pStyle w:val="18"/>
              <w:bidi w:val="0"/>
              <w:rPr>
                <w:rFonts w:hint="default"/>
                <w:lang w:val="en-US" w:eastAsia="zh-CN"/>
              </w:rPr>
            </w:pPr>
            <w:r>
              <w:rPr>
                <w:rFonts w:hint="default"/>
                <w:lang w:val="en-US" w:eastAsia="zh-CN"/>
              </w:rPr>
              <w:t>Glutathione</w:t>
            </w:r>
          </w:p>
        </w:tc>
        <w:tc>
          <w:tcPr>
            <w:tcW w:w="5434" w:type="dxa"/>
            <w:tcBorders>
              <w:top w:val="single" w:color="auto" w:sz="12" w:space="0"/>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_Ref5124 \r \h </w:instrText>
            </w:r>
            <w:r>
              <w:rPr>
                <w:rFonts w:hint="default"/>
                <w:vertAlign w:val="superscript"/>
                <w:lang w:val="en-US" w:eastAsia="zh-CN"/>
              </w:rPr>
              <w:fldChar w:fldCharType="separate"/>
            </w:r>
            <w:r>
              <w:rPr>
                <w:rFonts w:hint="default"/>
                <w:vertAlign w:val="superscript"/>
                <w:lang w:val="en-US" w:eastAsia="zh-CN"/>
              </w:rPr>
              <w:t>[18]</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11</w:t>
            </w:r>
          </w:p>
        </w:tc>
        <w:tc>
          <w:tcPr>
            <w:tcW w:w="1475" w:type="dxa"/>
            <w:tcBorders>
              <w:tl2br w:val="nil"/>
              <w:tr2bl w:val="nil"/>
            </w:tcBorders>
          </w:tcPr>
          <w:p>
            <w:pPr>
              <w:pStyle w:val="18"/>
              <w:bidi w:val="0"/>
              <w:rPr>
                <w:rFonts w:hint="default"/>
                <w:lang w:val="en-US" w:eastAsia="zh-CN"/>
              </w:rPr>
            </w:pPr>
            <w:r>
              <w:rPr>
                <w:rFonts w:hint="default"/>
                <w:lang w:val="en-US" w:eastAsia="zh-CN"/>
              </w:rPr>
              <w:t>Haloperidol</w:t>
            </w:r>
          </w:p>
        </w:tc>
        <w:tc>
          <w:tcPr>
            <w:tcW w:w="5434"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_Ref10865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13</w:t>
            </w:r>
          </w:p>
        </w:tc>
        <w:tc>
          <w:tcPr>
            <w:tcW w:w="1475" w:type="dxa"/>
            <w:tcBorders>
              <w:tl2br w:val="nil"/>
              <w:tr2bl w:val="nil"/>
            </w:tcBorders>
          </w:tcPr>
          <w:p>
            <w:pPr>
              <w:pStyle w:val="18"/>
              <w:bidi w:val="0"/>
              <w:rPr>
                <w:rFonts w:hint="default"/>
                <w:lang w:val="en-US" w:eastAsia="zh-CN"/>
              </w:rPr>
            </w:pPr>
            <w:r>
              <w:rPr>
                <w:rFonts w:hint="default"/>
                <w:lang w:val="en-US" w:eastAsia="zh-CN"/>
              </w:rPr>
              <w:t>Capsaicin</w:t>
            </w:r>
          </w:p>
        </w:tc>
        <w:tc>
          <w:tcPr>
            <w:tcW w:w="5434" w:type="dxa"/>
            <w:tcBorders>
              <w:tl2br w:val="nil"/>
              <w:tr2bl w:val="nil"/>
            </w:tcBorders>
          </w:tcPr>
          <w:p>
            <w:pPr>
              <w:pStyle w:val="18"/>
              <w:bidi w:val="0"/>
              <w:rPr>
                <w:rFonts w:hint="default"/>
                <w:lang w:val="en-US" w:eastAsia="zh-CN"/>
              </w:rPr>
            </w:pPr>
            <w:r>
              <w:rPr>
                <w:rFonts w:hint="default"/>
                <w:lang w:val="en-US" w:eastAsia="zh-CN"/>
              </w:rPr>
              <w:t>In Alzheimer's disease, capsaicin reduces neurodegeneration and memory impairment</w:t>
            </w:r>
            <w:r>
              <w:rPr>
                <w:rFonts w:hint="default"/>
                <w:vertAlign w:val="superscript"/>
                <w:lang w:val="en-US" w:eastAsia="zh-CN"/>
              </w:rPr>
              <w:fldChar w:fldCharType="begin"/>
            </w:r>
            <w:r>
              <w:rPr>
                <w:rFonts w:hint="default"/>
                <w:vertAlign w:val="superscript"/>
                <w:lang w:val="en-US" w:eastAsia="zh-CN"/>
              </w:rPr>
              <w:instrText xml:space="preserve"> REF _Ref17634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16</w:t>
            </w:r>
          </w:p>
        </w:tc>
        <w:tc>
          <w:tcPr>
            <w:tcW w:w="1475" w:type="dxa"/>
            <w:tcBorders>
              <w:tl2br w:val="nil"/>
              <w:tr2bl w:val="nil"/>
            </w:tcBorders>
          </w:tcPr>
          <w:p>
            <w:pPr>
              <w:pStyle w:val="18"/>
              <w:bidi w:val="0"/>
              <w:rPr>
                <w:rFonts w:hint="default"/>
                <w:lang w:val="en-US" w:eastAsia="zh-CN"/>
              </w:rPr>
            </w:pPr>
            <w:r>
              <w:rPr>
                <w:rFonts w:hint="default"/>
                <w:lang w:val="en-US" w:eastAsia="zh-CN"/>
              </w:rPr>
              <w:t>Quercetin</w:t>
            </w:r>
          </w:p>
        </w:tc>
        <w:tc>
          <w:tcPr>
            <w:tcW w:w="5434" w:type="dxa"/>
            <w:tcBorders>
              <w:tl2br w:val="nil"/>
              <w:tr2bl w:val="nil"/>
            </w:tcBorders>
          </w:tcPr>
          <w:p>
            <w:pPr>
              <w:pStyle w:val="18"/>
              <w:bidi w:val="0"/>
              <w:rPr>
                <w:rFonts w:hint="default"/>
                <w:lang w:val="en-US" w:eastAsia="zh-CN"/>
              </w:rPr>
            </w:pPr>
            <w:r>
              <w:rPr>
                <w:rFonts w:hint="default"/>
                <w:lang w:val="en-US" w:eastAsia="zh-CN"/>
              </w:rPr>
              <w:t>Quercetin has demonstrated antioxidant, anti-inflammatory, hypoglycemic, and hypolipidemic activities, suggesting therapeutic potential against type 2 diabetes mellitus (T2DM) and Alzheimer's disease (AD)</w:t>
            </w:r>
            <w:r>
              <w:rPr>
                <w:rFonts w:hint="default"/>
                <w:vertAlign w:val="superscript"/>
                <w:lang w:val="en-US" w:eastAsia="zh-CN"/>
              </w:rPr>
              <w:fldChar w:fldCharType="begin"/>
            </w:r>
            <w:r>
              <w:rPr>
                <w:rFonts w:hint="default"/>
                <w:vertAlign w:val="superscript"/>
                <w:lang w:val="en-US" w:eastAsia="zh-CN"/>
              </w:rPr>
              <w:instrText xml:space="preserve"> REF _Ref20459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17</w:t>
            </w:r>
          </w:p>
        </w:tc>
        <w:tc>
          <w:tcPr>
            <w:tcW w:w="1475" w:type="dxa"/>
            <w:tcBorders>
              <w:tl2br w:val="nil"/>
              <w:tr2bl w:val="nil"/>
            </w:tcBorders>
          </w:tcPr>
          <w:p>
            <w:pPr>
              <w:pStyle w:val="18"/>
              <w:bidi w:val="0"/>
              <w:rPr>
                <w:rFonts w:hint="default"/>
                <w:lang w:val="en-US" w:eastAsia="zh-CN"/>
              </w:rPr>
            </w:pPr>
            <w:r>
              <w:rPr>
                <w:rFonts w:hint="default"/>
                <w:lang w:val="en-US" w:eastAsia="zh-CN"/>
              </w:rPr>
              <w:t>Estradiol</w:t>
            </w:r>
          </w:p>
        </w:tc>
        <w:tc>
          <w:tcPr>
            <w:tcW w:w="5434" w:type="dxa"/>
            <w:tcBorders>
              <w:tl2br w:val="nil"/>
              <w:tr2bl w:val="nil"/>
            </w:tcBorders>
          </w:tcPr>
          <w:p>
            <w:pPr>
              <w:pStyle w:val="18"/>
              <w:bidi w:val="0"/>
              <w:rPr>
                <w:rFonts w:hint="default"/>
                <w:lang w:val="en-US" w:eastAsia="zh-CN"/>
              </w:rPr>
            </w:pPr>
            <w:r>
              <w:rPr>
                <w:rFonts w:hint="default"/>
                <w:lang w:val="en-US" w:eastAsia="zh-CN"/>
              </w:rPr>
              <w:t>Mounting evidence indicates that the neurosteroid estradiol (17β-estradiol) plays a supporting role in neurogenesis, neuronal activity, and synaptic plasticity of AD. This effect may provide preventive and/or therapeutic approaches for AD</w:t>
            </w:r>
            <w:r>
              <w:rPr>
                <w:rFonts w:hint="default"/>
                <w:vertAlign w:val="superscript"/>
                <w:lang w:val="en-US" w:eastAsia="zh-CN"/>
              </w:rPr>
              <w:fldChar w:fldCharType="begin"/>
            </w:r>
            <w:r>
              <w:rPr>
                <w:rFonts w:hint="default"/>
                <w:vertAlign w:val="superscript"/>
                <w:lang w:val="en-US" w:eastAsia="zh-CN"/>
              </w:rPr>
              <w:instrText xml:space="preserve"> REF _Ref29557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18</w:t>
            </w:r>
          </w:p>
        </w:tc>
        <w:tc>
          <w:tcPr>
            <w:tcW w:w="1475" w:type="dxa"/>
            <w:tcBorders>
              <w:tl2br w:val="nil"/>
              <w:tr2bl w:val="nil"/>
            </w:tcBorders>
          </w:tcPr>
          <w:p>
            <w:pPr>
              <w:pStyle w:val="18"/>
              <w:bidi w:val="0"/>
              <w:rPr>
                <w:rFonts w:hint="default"/>
                <w:lang w:val="en-US" w:eastAsia="zh-CN"/>
              </w:rPr>
            </w:pPr>
            <w:r>
              <w:rPr>
                <w:rFonts w:hint="default"/>
                <w:lang w:val="en-US" w:eastAsia="zh-CN"/>
              </w:rPr>
              <w:t>Glucose</w:t>
            </w:r>
          </w:p>
        </w:tc>
        <w:tc>
          <w:tcPr>
            <w:tcW w:w="5434" w:type="dxa"/>
            <w:tcBorders>
              <w:tl2br w:val="nil"/>
              <w:tr2bl w:val="nil"/>
            </w:tcBorders>
          </w:tcPr>
          <w:p>
            <w:pPr>
              <w:pStyle w:val="18"/>
              <w:bidi w:val="0"/>
              <w:rPr>
                <w:rFonts w:hint="default"/>
                <w:lang w:val="en-US" w:eastAsia="zh-CN"/>
              </w:rPr>
            </w:pPr>
            <w:r>
              <w:rPr>
                <w:rFonts w:hint="default"/>
                <w:lang w:val="en-US" w:eastAsia="zh-CN"/>
              </w:rPr>
              <w:t>Specifically, decreased O-GlcNAcylation levels by glucose deficiency alter mitochondrial functions and together contribute to Alzheimer's disease pathogenesis</w:t>
            </w:r>
            <w:r>
              <w:rPr>
                <w:rFonts w:hint="default"/>
                <w:vertAlign w:val="superscript"/>
                <w:lang w:val="en-US" w:eastAsia="zh-CN"/>
              </w:rPr>
              <w:fldChar w:fldCharType="begin"/>
            </w:r>
            <w:r>
              <w:rPr>
                <w:rFonts w:hint="default"/>
                <w:vertAlign w:val="superscript"/>
                <w:lang w:val="en-US" w:eastAsia="zh-CN"/>
              </w:rPr>
              <w:instrText xml:space="preserve"> REF _Ref4313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21</w:t>
            </w:r>
          </w:p>
        </w:tc>
        <w:tc>
          <w:tcPr>
            <w:tcW w:w="1475" w:type="dxa"/>
            <w:tcBorders>
              <w:tl2br w:val="nil"/>
              <w:tr2bl w:val="nil"/>
            </w:tcBorders>
          </w:tcPr>
          <w:p>
            <w:pPr>
              <w:pStyle w:val="18"/>
              <w:bidi w:val="0"/>
              <w:rPr>
                <w:rFonts w:hint="default"/>
                <w:lang w:val="en-US" w:eastAsia="zh-CN"/>
              </w:rPr>
            </w:pPr>
            <w:r>
              <w:rPr>
                <w:rFonts w:hint="default"/>
                <w:lang w:val="en-US" w:eastAsia="zh-CN"/>
              </w:rPr>
              <w:t>Adenosine</w:t>
            </w:r>
          </w:p>
        </w:tc>
        <w:tc>
          <w:tcPr>
            <w:tcW w:w="5434" w:type="dxa"/>
            <w:tcBorders>
              <w:tl2br w:val="nil"/>
              <w:tr2bl w:val="nil"/>
            </w:tcBorders>
          </w:tcPr>
          <w:p>
            <w:pPr>
              <w:pStyle w:val="18"/>
              <w:bidi w:val="0"/>
              <w:rPr>
                <w:rFonts w:hint="default"/>
                <w:lang w:val="en-US" w:eastAsia="zh-CN"/>
              </w:rPr>
            </w:pPr>
            <w:r>
              <w:rPr>
                <w:rFonts w:hint="default"/>
                <w:lang w:val="en-US" w:eastAsia="zh-CN"/>
              </w:rPr>
              <w:t>Emerging evidence suggests adenosine G protein-coupled receptors (GPCRs) are promising therapeutic targets for Alzheimer's disease</w:t>
            </w:r>
            <w:r>
              <w:rPr>
                <w:rFonts w:hint="default"/>
                <w:vertAlign w:val="superscript"/>
                <w:lang w:val="en-US" w:eastAsia="zh-CN"/>
              </w:rPr>
              <w:fldChar w:fldCharType="begin"/>
            </w:r>
            <w:r>
              <w:rPr>
                <w:rFonts w:hint="default"/>
                <w:vertAlign w:val="superscript"/>
                <w:lang w:val="en-US" w:eastAsia="zh-CN"/>
              </w:rPr>
              <w:instrText xml:space="preserve"> REF _Ref28360 \r \h </w:instrText>
            </w:r>
            <w:r>
              <w:rPr>
                <w:rFonts w:hint="default"/>
                <w:vertAlign w:val="superscript"/>
                <w:lang w:val="en-US" w:eastAsia="zh-CN"/>
              </w:rPr>
              <w:fldChar w:fldCharType="separate"/>
            </w:r>
            <w:r>
              <w:rPr>
                <w:rFonts w:hint="default"/>
                <w:vertAlign w:val="superscript"/>
                <w:lang w:val="en-US" w:eastAsia="zh-CN"/>
              </w:rPr>
              <w:t>[24]</w:t>
            </w:r>
            <w:r>
              <w:rPr>
                <w:rFonts w:hint="default"/>
                <w:vertAlign w:val="superscript"/>
                <w:lang w:val="en-US" w:eastAsia="zh-CN"/>
              </w:rPr>
              <w:fldChar w:fldCharType="end"/>
            </w:r>
            <w:r>
              <w:rPr>
                <w:rFonts w:hint="default"/>
                <w:lang w:val="en-US" w:eastAsia="zh-CN"/>
              </w:rPr>
              <w:t xml:space="preserve">.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31</w:t>
            </w:r>
          </w:p>
        </w:tc>
        <w:tc>
          <w:tcPr>
            <w:tcW w:w="1475" w:type="dxa"/>
            <w:tcBorders>
              <w:tl2br w:val="nil"/>
              <w:tr2bl w:val="nil"/>
            </w:tcBorders>
          </w:tcPr>
          <w:p>
            <w:pPr>
              <w:pStyle w:val="18"/>
              <w:bidi w:val="0"/>
              <w:rPr>
                <w:rFonts w:hint="default"/>
                <w:lang w:val="en-US" w:eastAsia="zh-CN"/>
              </w:rPr>
            </w:pPr>
            <w:r>
              <w:rPr>
                <w:rFonts w:hint="default"/>
                <w:lang w:val="en-US" w:eastAsia="zh-CN"/>
              </w:rPr>
              <w:t>Cocaine</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39</w:t>
            </w:r>
          </w:p>
        </w:tc>
        <w:tc>
          <w:tcPr>
            <w:tcW w:w="1475" w:type="dxa"/>
            <w:tcBorders>
              <w:tl2br w:val="nil"/>
              <w:tr2bl w:val="nil"/>
            </w:tcBorders>
          </w:tcPr>
          <w:p>
            <w:pPr>
              <w:pStyle w:val="18"/>
              <w:bidi w:val="0"/>
              <w:rPr>
                <w:rFonts w:hint="default"/>
                <w:lang w:val="en-US" w:eastAsia="zh-CN"/>
              </w:rPr>
            </w:pPr>
            <w:r>
              <w:rPr>
                <w:rFonts w:hint="default"/>
                <w:lang w:val="en-US" w:eastAsia="zh-CN"/>
              </w:rPr>
              <w:t>Paclitaxel</w:t>
            </w:r>
          </w:p>
        </w:tc>
        <w:tc>
          <w:tcPr>
            <w:tcW w:w="5434" w:type="dxa"/>
            <w:tcBorders>
              <w:tl2br w:val="nil"/>
              <w:tr2bl w:val="nil"/>
            </w:tcBorders>
          </w:tcPr>
          <w:p>
            <w:pPr>
              <w:pStyle w:val="18"/>
              <w:bidi w:val="0"/>
              <w:rPr>
                <w:rFonts w:hint="default"/>
                <w:lang w:val="en-US" w:eastAsia="zh-CN"/>
              </w:rPr>
            </w:pPr>
            <w:r>
              <w:rPr>
                <w:rFonts w:hint="default"/>
                <w:lang w:val="en-US" w:eastAsia="zh-CN"/>
              </w:rPr>
              <w:t>In addition to NSAIDs, an anticancer drug, paclitaxel, has considerable potential as an AD treatment</w:t>
            </w:r>
            <w:r>
              <w:rPr>
                <w:rFonts w:hint="default"/>
                <w:vertAlign w:val="superscript"/>
                <w:lang w:val="en-US" w:eastAsia="zh-CN"/>
              </w:rPr>
              <w:fldChar w:fldCharType="begin"/>
            </w:r>
            <w:r>
              <w:rPr>
                <w:rFonts w:hint="default"/>
                <w:vertAlign w:val="superscript"/>
                <w:lang w:val="en-US" w:eastAsia="zh-CN"/>
              </w:rPr>
              <w:instrText xml:space="preserve"> REF _Ref32139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41</w:t>
            </w:r>
          </w:p>
        </w:tc>
        <w:tc>
          <w:tcPr>
            <w:tcW w:w="1475" w:type="dxa"/>
            <w:tcBorders>
              <w:tl2br w:val="nil"/>
              <w:tr2bl w:val="nil"/>
            </w:tcBorders>
          </w:tcPr>
          <w:p>
            <w:pPr>
              <w:pStyle w:val="18"/>
              <w:bidi w:val="0"/>
              <w:rPr>
                <w:rFonts w:hint="default"/>
                <w:lang w:val="en-US" w:eastAsia="zh-CN"/>
              </w:rPr>
            </w:pPr>
            <w:r>
              <w:rPr>
                <w:rFonts w:hint="default"/>
                <w:lang w:val="en-US" w:eastAsia="zh-CN"/>
              </w:rPr>
              <w:t>Cholesterol</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bl>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4"/>
        <w:bidi w:val="0"/>
        <w:rPr>
          <w:rFonts w:hint="eastAsia"/>
          <w:lang w:val="en-US" w:eastAsia="zh-CN"/>
        </w:rPr>
      </w:pPr>
      <w:r>
        <w:rPr>
          <w:rFonts w:hint="eastAsia"/>
          <w:lang w:val="en-US" w:eastAsia="zh-CN"/>
        </w:rPr>
        <w:t>参考文献</w:t>
      </w:r>
    </w:p>
    <w:p>
      <w:pPr>
        <w:pStyle w:val="16"/>
        <w:bidi w:val="0"/>
        <w:rPr>
          <w:rFonts w:hint="default"/>
          <w:lang w:val="en-US" w:eastAsia="zh-CN"/>
        </w:rPr>
      </w:pPr>
      <w:bookmarkStart w:id="0" w:name="_Ref3069"/>
      <w:bookmarkStart w:id="1" w:name="_Ref17215"/>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0"/>
      <w:r>
        <w:rPr>
          <w:rFonts w:hint="eastAsia"/>
          <w:lang w:val="en-US" w:eastAsia="zh-CN"/>
        </w:rPr>
        <w:t>https://aclanthology.org/P16-1200.</w:t>
      </w:r>
    </w:p>
    <w:p>
      <w:pPr>
        <w:pStyle w:val="16"/>
        <w:bidi w:val="0"/>
        <w:rPr>
          <w:rFonts w:hint="default"/>
          <w:lang w:val="en-US" w:eastAsia="zh-CN"/>
        </w:rPr>
      </w:pPr>
      <w:bookmarkStart w:id="2"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et al.DRKG - Drug Repurposing Knowledge Graph for Covid-19</w:t>
      </w:r>
      <w:r>
        <w:rPr>
          <w:rFonts w:hint="eastAsia"/>
          <w:lang w:val="en-US" w:eastAsia="zh-CN"/>
        </w:rPr>
        <w:t>[J]</w:t>
      </w:r>
      <w:r>
        <w:rPr>
          <w:rFonts w:hint="default"/>
          <w:lang w:val="en-US" w:eastAsia="zh-CN"/>
        </w:rPr>
        <w:t>.</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2"/>
    </w:p>
    <w:p>
      <w:pPr>
        <w:pStyle w:val="16"/>
        <w:bidi w:val="0"/>
        <w:rPr>
          <w:rFonts w:hint="default"/>
          <w:lang w:val="en-US" w:eastAsia="zh-CN"/>
        </w:rPr>
      </w:pPr>
      <w:bookmarkStart w:id="3" w:name="_Ref14443"/>
      <w:bookmarkStart w:id="4"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3"/>
      <w:r>
        <w:rPr>
          <w:rFonts w:hint="eastAsia"/>
          <w:lang w:val="en-US" w:eastAsia="zh-CN"/>
        </w:rPr>
        <w:t>https://proceedings.neurips.cc/paper/2013/file/1cecc7a77928ca8133fa24680a88d2f9-Paper.pdf.</w:t>
      </w:r>
      <w:bookmarkEnd w:id="4"/>
    </w:p>
    <w:p>
      <w:pPr>
        <w:pStyle w:val="16"/>
        <w:bidi w:val="0"/>
        <w:rPr>
          <w:rFonts w:hint="default"/>
          <w:lang w:val="en-US" w:eastAsia="zh-CN"/>
        </w:rPr>
      </w:pPr>
      <w:bookmarkStart w:id="5" w:name="_Ref14910"/>
      <w:bookmarkStart w:id="6" w:name="_Ref898"/>
      <w:r>
        <w:rPr>
          <w:rFonts w:hint="default"/>
          <w:lang w:val="en-US" w:eastAsia="zh-CN"/>
        </w:rPr>
        <w:t>Lin YK,Liu ZY,Sun MS,et al.Learning entity and relation embeddings for knowledge graph completion[C]</w:t>
      </w:r>
      <w:r>
        <w:rPr>
          <w:rFonts w:hint="eastAsia"/>
          <w:lang w:val="en-US" w:eastAsia="zh-CN"/>
        </w:rPr>
        <w:t>//Proceedings of the AAAI Conference on Artificial Intelligence</w:t>
      </w:r>
      <w:r>
        <w:rPr>
          <w:rFonts w:hint="default"/>
          <w:lang w:val="en-US" w:eastAsia="zh-CN"/>
        </w:rPr>
        <w:t>.Palo Alto,California</w:t>
      </w:r>
      <w:r>
        <w:rPr>
          <w:rFonts w:hint="eastAsia"/>
          <w:lang w:val="en-US" w:eastAsia="zh-CN"/>
        </w:rPr>
        <w:t>,</w:t>
      </w:r>
      <w:r>
        <w:rPr>
          <w:rFonts w:hint="default"/>
          <w:lang w:val="en-US" w:eastAsia="zh-CN"/>
        </w:rPr>
        <w:t>USA</w:t>
      </w:r>
      <w:r>
        <w:rPr>
          <w:rFonts w:hint="eastAsia"/>
          <w:lang w:val="en-US" w:eastAsia="zh-CN"/>
        </w:rPr>
        <w:t>:AAAI Press</w:t>
      </w:r>
      <w:r>
        <w:rPr>
          <w:rFonts w:hint="default"/>
          <w:lang w:val="en-US" w:eastAsia="zh-CN"/>
        </w:rPr>
        <w:t>,</w:t>
      </w:r>
      <w:r>
        <w:rPr>
          <w:rFonts w:hint="eastAsia"/>
          <w:lang w:val="en-US" w:eastAsia="zh-CN"/>
        </w:rPr>
        <w:t>2015,29(1)</w:t>
      </w:r>
      <w:r>
        <w:rPr>
          <w:rFonts w:hint="default"/>
          <w:lang w:val="en-US" w:eastAsia="zh-CN"/>
        </w:rPr>
        <w:t>.</w:t>
      </w:r>
      <w:bookmarkEnd w:id="5"/>
      <w:r>
        <w:rPr>
          <w:rFonts w:hint="eastAsia"/>
          <w:lang w:val="en-US" w:eastAsia="zh-CN"/>
        </w:rPr>
        <w:t>https://doi.org/10.1609/aaai.v29i1.9491.</w:t>
      </w:r>
      <w:bookmarkEnd w:id="6"/>
    </w:p>
    <w:p>
      <w:pPr>
        <w:pStyle w:val="16"/>
        <w:bidi w:val="0"/>
        <w:rPr>
          <w:rFonts w:hint="default"/>
          <w:lang w:val="en-US" w:eastAsia="zh-CN"/>
        </w:rPr>
      </w:pPr>
      <w:bookmarkStart w:id="7" w:name="_Ref15197"/>
      <w:bookmarkStart w:id="8" w:name="_Ref7161"/>
      <w:r>
        <w:rPr>
          <w:rFonts w:hint="default"/>
          <w:lang w:val="en-US" w:eastAsia="zh-CN"/>
        </w:rPr>
        <w:t>Maximilian N,Volker T,Hans-Peter K.A Three-way model for collective learning on multi-relational data[C]</w:t>
      </w:r>
      <w:r>
        <w:rPr>
          <w:rFonts w:hint="eastAsia"/>
          <w:lang w:val="en-US" w:eastAsia="zh-CN"/>
        </w:rPr>
        <w:t>//Proceedings of the 28th International Conference on Machine Learning (ICML-11)</w:t>
      </w:r>
      <w:r>
        <w:rPr>
          <w:rFonts w:hint="default"/>
          <w:lang w:val="en-US" w:eastAsia="zh-CN"/>
        </w:rPr>
        <w:t>.New York,NY,USA</w:t>
      </w:r>
      <w:r>
        <w:rPr>
          <w:rFonts w:hint="eastAsia"/>
          <w:lang w:val="en-US" w:eastAsia="zh-CN"/>
        </w:rPr>
        <w:t>:ACM</w:t>
      </w:r>
      <w:r>
        <w:rPr>
          <w:rFonts w:hint="default"/>
          <w:lang w:val="en-US" w:eastAsia="zh-CN"/>
        </w:rPr>
        <w:t>,2011</w:t>
      </w:r>
      <w:r>
        <w:rPr>
          <w:rFonts w:hint="eastAsia"/>
          <w:lang w:val="en-US" w:eastAsia="zh-CN"/>
        </w:rPr>
        <w:t>:809-816</w:t>
      </w:r>
      <w:r>
        <w:rPr>
          <w:rFonts w:hint="default"/>
          <w:lang w:val="en-US" w:eastAsia="zh-CN"/>
        </w:rPr>
        <w:t>.</w:t>
      </w:r>
      <w:bookmarkEnd w:id="7"/>
      <w:r>
        <w:rPr>
          <w:rFonts w:hint="eastAsia"/>
          <w:lang w:val="en-US" w:eastAsia="zh-CN"/>
        </w:rPr>
        <w:t>https://icml.cc/Conferences/2011/papers/438_icmlpaper.pdf.</w:t>
      </w:r>
      <w:bookmarkEnd w:id="8"/>
    </w:p>
    <w:p>
      <w:pPr>
        <w:pStyle w:val="16"/>
        <w:bidi w:val="0"/>
        <w:rPr>
          <w:rFonts w:hint="default"/>
          <w:lang w:val="en-US" w:eastAsia="zh-CN"/>
        </w:rPr>
      </w:pPr>
      <w:bookmarkStart w:id="9" w:name="_Ref15471"/>
      <w:bookmarkStart w:id="10"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9"/>
      <w:r>
        <w:rPr>
          <w:rFonts w:hint="eastAsia"/>
          <w:lang w:val="en-US" w:eastAsia="zh-CN"/>
        </w:rPr>
        <w:t>http://arxiv.org/abs/1412.6575.</w:t>
      </w:r>
      <w:bookmarkEnd w:id="10"/>
    </w:p>
    <w:p>
      <w:pPr>
        <w:pStyle w:val="16"/>
        <w:bidi w:val="0"/>
        <w:rPr>
          <w:rFonts w:hint="default"/>
          <w:lang w:val="en-US" w:eastAsia="zh-CN"/>
        </w:rPr>
      </w:pPr>
      <w:bookmarkStart w:id="11" w:name="_Ref15811"/>
      <w:bookmarkStart w:id="12"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11"/>
      <w:r>
        <w:rPr>
          <w:rFonts w:hint="eastAsia"/>
          <w:lang w:val="en-US" w:eastAsia="zh-CN"/>
        </w:rPr>
        <w:t>https://arxiv.org/abs/1606.06357.</w:t>
      </w:r>
      <w:bookmarkEnd w:id="12"/>
    </w:p>
    <w:p>
      <w:pPr>
        <w:pStyle w:val="16"/>
        <w:bidi w:val="0"/>
        <w:rPr>
          <w:rFonts w:hint="default"/>
          <w:lang w:val="en-US" w:eastAsia="zh-CN"/>
        </w:rPr>
      </w:pPr>
      <w:bookmarkStart w:id="13" w:name="_Ref16043"/>
      <w:bookmarkStart w:id="14"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13"/>
      <w:r>
        <w:rPr>
          <w:rFonts w:hint="eastAsia"/>
          <w:lang w:val="en-US" w:eastAsia="zh-CN"/>
        </w:rPr>
        <w:t xml:space="preserve"> https://openreview.net/forum?id=HkgEQnRqYQ.</w:t>
      </w:r>
      <w:bookmarkEnd w:id="14"/>
    </w:p>
    <w:p>
      <w:pPr>
        <w:pStyle w:val="16"/>
        <w:bidi w:val="0"/>
        <w:rPr>
          <w:rFonts w:hint="default"/>
          <w:lang w:val="en-US" w:eastAsia="zh-CN"/>
        </w:rPr>
      </w:pPr>
      <w:bookmarkStart w:id="15" w:name="_Ref17137"/>
      <w:bookmarkStart w:id="16" w:name="_Ref30422"/>
      <w:r>
        <w:rPr>
          <w:rFonts w:hint="eastAsia"/>
          <w:lang w:val="en-US" w:eastAsia="zh-CN"/>
        </w:rPr>
        <w:t>Nian Y,Hu XY,Zhang R,et al.Mining on Alzheimer's diseases related knowledge graph to identity potential AD-related semantic triples for drug repurposing[J].BMC Bioinformatics,2022,23(Suppl 6):407.</w:t>
      </w:r>
      <w:bookmarkEnd w:id="1"/>
      <w:bookmarkEnd w:id="15"/>
      <w:r>
        <w:rPr>
          <w:rFonts w:hint="eastAsia"/>
          <w:lang w:val="en-US" w:eastAsia="zh-CN"/>
        </w:rPr>
        <w:t>https://doi.org/10.1186/s12859-022-04934-1.</w:t>
      </w:r>
      <w:bookmarkEnd w:id="16"/>
    </w:p>
    <w:p>
      <w:pPr>
        <w:pStyle w:val="16"/>
        <w:bidi w:val="0"/>
        <w:rPr>
          <w:rFonts w:hint="default"/>
          <w:lang w:val="en-US" w:eastAsia="zh-CN"/>
        </w:rPr>
      </w:pPr>
      <w:bookmarkStart w:id="17" w:name="_Ref22401"/>
      <w:bookmarkStart w:id="18"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17"/>
      <w:r>
        <w:rPr>
          <w:rFonts w:hint="eastAsia"/>
          <w:lang w:val="en-US" w:eastAsia="zh-CN"/>
        </w:rPr>
        <w:t>https://doi.org/10.1074/mcp.R115.053330.</w:t>
      </w:r>
      <w:bookmarkEnd w:id="18"/>
    </w:p>
    <w:p>
      <w:pPr>
        <w:pStyle w:val="16"/>
        <w:bidi w:val="0"/>
        <w:rPr>
          <w:rFonts w:hint="default"/>
          <w:lang w:val="en-US" w:eastAsia="zh-CN"/>
        </w:rPr>
      </w:pPr>
      <w:bookmarkStart w:id="19"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,2021,20(04):317-337.https://doi.org/10.16150/j.1671-2870.2021.04.001.</w:t>
      </w:r>
      <w:bookmarkEnd w:id="19"/>
    </w:p>
    <w:p>
      <w:pPr>
        <w:pStyle w:val="16"/>
        <w:bidi w:val="0"/>
        <w:rPr>
          <w:rFonts w:hint="default"/>
          <w:lang w:val="en-US" w:eastAsia="zh-CN"/>
        </w:rPr>
      </w:pPr>
      <w:bookmarkStart w:id="20" w:name="_Ref1161"/>
      <w:bookmarkStart w:id="21" w:name="_Ref18773"/>
      <w:bookmarkStart w:id="22"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20"/>
      <w:r>
        <w:rPr>
          <w:rFonts w:hint="default"/>
          <w:lang w:val="en-US" w:eastAsia="zh-CN"/>
        </w:rPr>
        <w:fldChar w:fldCharType="end"/>
      </w:r>
      <w:bookmarkEnd w:id="21"/>
      <w:r>
        <w:rPr>
          <w:rFonts w:hint="eastAsia"/>
          <w:lang w:val="en-US" w:eastAsia="zh-CN"/>
        </w:rPr>
        <w:t>.</w:t>
      </w:r>
      <w:bookmarkEnd w:id="22"/>
    </w:p>
    <w:p>
      <w:pPr>
        <w:pStyle w:val="16"/>
        <w:bidi w:val="0"/>
        <w:rPr>
          <w:rFonts w:hint="default"/>
          <w:lang w:val="en-US" w:eastAsia="zh-CN"/>
        </w:rPr>
      </w:pPr>
      <w:bookmarkStart w:id="23" w:name="_Ref6490"/>
      <w:bookmarkStart w:id="24" w:name="_Ref21163"/>
      <w:bookmarkStart w:id="25"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23"/>
      <w:r>
        <w:rPr>
          <w:rFonts w:hint="eastAsia"/>
          <w:lang w:val="en-US" w:eastAsia="zh-CN"/>
        </w:rPr>
        <w:t>2015,372(20):1877-1879.</w:t>
      </w:r>
      <w:bookmarkEnd w:id="24"/>
      <w:r>
        <w:rPr>
          <w:rFonts w:hint="eastAsia"/>
          <w:lang w:val="en-US" w:eastAsia="zh-CN"/>
        </w:rPr>
        <w:t>https://doi.org/10.1056/NEJMp1500848.</w:t>
      </w:r>
      <w:bookmarkEnd w:id="25"/>
    </w:p>
    <w:p>
      <w:pPr>
        <w:pStyle w:val="16"/>
        <w:bidi w:val="0"/>
        <w:rPr>
          <w:rFonts w:hint="default"/>
          <w:lang w:val="en-US" w:eastAsia="zh-CN"/>
        </w:rPr>
      </w:pPr>
      <w:bookmarkStart w:id="26" w:name="_Ref6506"/>
      <w:bookmarkStart w:id="27"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26"/>
      <w:r>
        <w:rPr>
          <w:rFonts w:hint="default"/>
          <w:lang w:val="en-US" w:eastAsia="zh-CN"/>
        </w:rPr>
        <w:t>https://doi.org/10.1007/s10489-021-02454-8</w:t>
      </w:r>
      <w:r>
        <w:rPr>
          <w:rFonts w:hint="eastAsia"/>
          <w:lang w:val="en-US" w:eastAsia="zh-CN"/>
        </w:rPr>
        <w:t>.</w:t>
      </w:r>
      <w:bookmarkEnd w:id="27"/>
    </w:p>
    <w:p>
      <w:pPr>
        <w:pStyle w:val="16"/>
        <w:bidi w:val="0"/>
        <w:rPr>
          <w:rFonts w:hint="default"/>
          <w:lang w:val="en-US" w:eastAsia="zh-CN"/>
        </w:rPr>
      </w:pPr>
      <w:bookmarkStart w:id="28" w:name="_Ref5849"/>
      <w:bookmarkStart w:id="29"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.Repurpose Open Data to Discover Therapeutics for COVID-19 Using Deep Learning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8"/>
      <w:r>
        <w:rPr>
          <w:rFonts w:hint="eastAsia"/>
          <w:lang w:val="en-US" w:eastAsia="zh-CN"/>
        </w:rPr>
        <w:t>https://doi.org/10.1021/acs.jproteome.0c00316.</w:t>
      </w:r>
      <w:bookmarkEnd w:id="29"/>
    </w:p>
    <w:p>
      <w:pPr>
        <w:pStyle w:val="16"/>
        <w:bidi w:val="0"/>
        <w:rPr>
          <w:rFonts w:hint="default"/>
          <w:lang w:val="en-US" w:eastAsia="zh-CN"/>
        </w:rPr>
      </w:pPr>
      <w:bookmarkStart w:id="30" w:name="_Ref10372"/>
      <w:bookmarkStart w:id="31"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30"/>
      <w:r>
        <w:rPr>
          <w:rFonts w:hint="eastAsia"/>
          <w:lang w:val="en-US" w:eastAsia="zh-CN"/>
        </w:rPr>
        <w:t>,115(1):103696.https://doi.org/10.1016/j.jbi.2021.103696.</w:t>
      </w:r>
      <w:bookmarkEnd w:id="31"/>
    </w:p>
    <w:p>
      <w:pPr>
        <w:pStyle w:val="16"/>
        <w:bidi w:val="0"/>
        <w:rPr>
          <w:rFonts w:hint="default"/>
          <w:lang w:val="en-US" w:eastAsia="zh-CN"/>
        </w:rPr>
      </w:pPr>
      <w:bookmarkStart w:id="32" w:name="_Ref11952"/>
      <w:bookmarkStart w:id="33" w:name="_Ref19275"/>
      <w:r>
        <w:rPr>
          <w:rFonts w:hint="eastAsia"/>
          <w:lang w:val="en-US" w:eastAsia="zh-CN"/>
        </w:rPr>
        <w:t>李宗贤.基于知识图谱的帕金森病药物重定位[J].信息技术与信息化,2022,No.268(07):28-32.</w:t>
      </w:r>
      <w:bookmarkEnd w:id="32"/>
      <w:r>
        <w:rPr>
          <w:rFonts w:hint="eastAsia"/>
          <w:lang w:val="en-US" w:eastAsia="zh-CN"/>
        </w:rPr>
        <w:t>https://doi.org/10.3969/j.issn.1672-9528.2022.07.006.</w:t>
      </w:r>
      <w:bookmarkEnd w:id="33"/>
    </w:p>
    <w:p>
      <w:pPr>
        <w:pStyle w:val="16"/>
        <w:bidi w:val="0"/>
        <w:rPr>
          <w:rFonts w:hint="default"/>
          <w:lang w:val="en-US" w:eastAsia="zh-CN"/>
        </w:rPr>
      </w:pPr>
      <w:bookmarkStart w:id="34" w:name="_Ref5124"/>
      <w:r>
        <w:rPr>
          <w:rFonts w:hint="default"/>
          <w:lang w:val="en-US" w:eastAsia="zh-CN"/>
        </w:rPr>
        <w:t>Sliwinska S,Jeziorek M.The role of nutrition in Alzheimer's disease</w:t>
      </w:r>
      <w:r>
        <w:rPr>
          <w:rFonts w:hint="eastAsia"/>
          <w:lang w:val="en-US" w:eastAsia="zh-CN"/>
        </w:rPr>
        <w:t>[J]</w:t>
      </w:r>
      <w:r>
        <w:rPr>
          <w:rFonts w:hint="default"/>
          <w:lang w:val="en-US" w:eastAsia="zh-CN"/>
        </w:rPr>
        <w:t>.Roczniki Panstwowego Zakladu Higieny</w:t>
      </w:r>
      <w:r>
        <w:rPr>
          <w:rFonts w:hint="eastAsia"/>
          <w:lang w:val="en-US" w:eastAsia="zh-CN"/>
        </w:rPr>
        <w:t>,</w:t>
      </w:r>
      <w:r>
        <w:rPr>
          <w:rFonts w:hint="default"/>
          <w:lang w:val="en-US" w:eastAsia="zh-CN"/>
        </w:rPr>
        <w:t>2021</w:t>
      </w:r>
      <w:r>
        <w:rPr>
          <w:rFonts w:hint="eastAsia"/>
          <w:lang w:val="en-US" w:eastAsia="zh-CN"/>
        </w:rPr>
        <w:t>,</w:t>
      </w:r>
      <w:r>
        <w:rPr>
          <w:rFonts w:hint="default"/>
          <w:lang w:val="en-US" w:eastAsia="zh-CN"/>
        </w:rPr>
        <w:t>72(1):29-39.https://doi.org/10.32394/rpzh.2021.0154.</w:t>
      </w:r>
      <w:bookmarkEnd w:id="34"/>
    </w:p>
    <w:p>
      <w:pPr>
        <w:pStyle w:val="16"/>
        <w:bidi w:val="0"/>
        <w:rPr>
          <w:rFonts w:hint="default"/>
          <w:lang w:val="en-US" w:eastAsia="zh-CN"/>
        </w:rPr>
      </w:pPr>
      <w:bookmarkStart w:id="35" w:name="_Ref10865"/>
      <w:r>
        <w:rPr>
          <w:rFonts w:hint="default"/>
          <w:lang w:val="en-US" w:eastAsia="zh-CN"/>
        </w:rPr>
        <w:t>Koppel</w:t>
      </w:r>
      <w:r>
        <w:rPr>
          <w:rFonts w:hint="eastAsia"/>
          <w:lang w:val="en-US" w:eastAsia="zh-CN"/>
        </w:rPr>
        <w:t xml:space="preserve"> </w:t>
      </w:r>
      <w:r>
        <w:rPr>
          <w:rFonts w:hint="default"/>
          <w:lang w:val="en-US" w:eastAsia="zh-CN"/>
        </w:rPr>
        <w:t>J</w:t>
      </w:r>
      <w:r>
        <w:rPr>
          <w:rFonts w:hint="eastAsia"/>
          <w:lang w:val="en-US" w:eastAsia="zh-CN"/>
        </w:rPr>
        <w:t>,Jimenez H,Adrien L,et al.Haloperidol inactivates AMPK and reduces tau phosphorylation in a tau mouse model of Alzheimer's disease[J].Alzheimer's &amp; dementia,2016,2(2):121-130.https://doi.org/10.1016/j.trci.2016.05.003.</w:t>
      </w:r>
      <w:bookmarkEnd w:id="35"/>
    </w:p>
    <w:p>
      <w:pPr>
        <w:pStyle w:val="16"/>
        <w:bidi w:val="0"/>
        <w:rPr>
          <w:rFonts w:hint="default"/>
          <w:lang w:val="en-US" w:eastAsia="zh-CN"/>
        </w:rPr>
      </w:pPr>
      <w:bookmarkStart w:id="36" w:name="_Ref17634"/>
      <w:r>
        <w:rPr>
          <w:rFonts w:hint="default"/>
          <w:lang w:val="en-US" w:eastAsia="zh-CN"/>
        </w:rPr>
        <w:t xml:space="preserve">Pasierski M,Szulczyk B.Beneficial </w:t>
      </w:r>
      <w:r>
        <w:rPr>
          <w:rFonts w:hint="eastAsia"/>
          <w:lang w:val="en-US" w:eastAsia="zh-CN"/>
        </w:rPr>
        <w:t>e</w:t>
      </w:r>
      <w:r>
        <w:rPr>
          <w:rFonts w:hint="default"/>
          <w:lang w:val="en-US" w:eastAsia="zh-CN"/>
        </w:rPr>
        <w:t xml:space="preserve">ffects of </w:t>
      </w:r>
      <w:r>
        <w:rPr>
          <w:rFonts w:hint="eastAsia"/>
          <w:lang w:val="en-US" w:eastAsia="zh-CN"/>
        </w:rPr>
        <w:t>c</w:t>
      </w:r>
      <w:r>
        <w:rPr>
          <w:rFonts w:hint="default"/>
          <w:lang w:val="en-US" w:eastAsia="zh-CN"/>
        </w:rPr>
        <w:t xml:space="preserve">apsaicin in </w:t>
      </w:r>
      <w:r>
        <w:rPr>
          <w:rFonts w:hint="eastAsia"/>
          <w:lang w:val="en-US" w:eastAsia="zh-CN"/>
        </w:rPr>
        <w:t>d</w:t>
      </w:r>
      <w:r>
        <w:rPr>
          <w:rFonts w:hint="default"/>
          <w:lang w:val="en-US" w:eastAsia="zh-CN"/>
        </w:rPr>
        <w:t xml:space="preserve">isorders of the </w:t>
      </w:r>
      <w:r>
        <w:rPr>
          <w:rFonts w:hint="eastAsia"/>
          <w:lang w:val="en-US" w:eastAsia="zh-CN"/>
        </w:rPr>
        <w:t>c</w:t>
      </w:r>
      <w:r>
        <w:rPr>
          <w:rFonts w:hint="default"/>
          <w:lang w:val="en-US" w:eastAsia="zh-CN"/>
        </w:rPr>
        <w:t xml:space="preserve">entral </w:t>
      </w:r>
      <w:r>
        <w:rPr>
          <w:rFonts w:hint="eastAsia"/>
          <w:lang w:val="en-US" w:eastAsia="zh-CN"/>
        </w:rPr>
        <w:t>n</w:t>
      </w:r>
      <w:r>
        <w:rPr>
          <w:rFonts w:hint="default"/>
          <w:lang w:val="en-US" w:eastAsia="zh-CN"/>
        </w:rPr>
        <w:t xml:space="preserve">ervous </w:t>
      </w:r>
      <w:r>
        <w:rPr>
          <w:rFonts w:hint="eastAsia"/>
          <w:lang w:val="en-US" w:eastAsia="zh-CN"/>
        </w:rPr>
        <w:t>s</w:t>
      </w:r>
      <w:r>
        <w:rPr>
          <w:rFonts w:hint="default"/>
          <w:lang w:val="en-US" w:eastAsia="zh-CN"/>
        </w:rPr>
        <w:t>ystem</w:t>
      </w:r>
      <w:r>
        <w:rPr>
          <w:rFonts w:hint="eastAsia"/>
          <w:lang w:val="en-US" w:eastAsia="zh-CN"/>
        </w:rPr>
        <w:t>[J]</w:t>
      </w:r>
      <w:r>
        <w:rPr>
          <w:rFonts w:hint="default"/>
          <w:lang w:val="en-US" w:eastAsia="zh-CN"/>
        </w:rPr>
        <w:t>.Molecules</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27(8):2484.</w:t>
      </w:r>
      <w:r>
        <w:rPr>
          <w:rFonts w:hint="eastAsia"/>
          <w:lang w:val="en-US" w:eastAsia="zh-CN"/>
        </w:rPr>
        <w:t>https://doi.org/</w:t>
      </w:r>
      <w:r>
        <w:rPr>
          <w:rFonts w:hint="default"/>
          <w:lang w:val="en-US" w:eastAsia="zh-CN"/>
        </w:rPr>
        <w:t>10.3390/molecules27082484.</w:t>
      </w:r>
      <w:bookmarkEnd w:id="36"/>
    </w:p>
    <w:p>
      <w:pPr>
        <w:pStyle w:val="16"/>
        <w:bidi w:val="0"/>
        <w:rPr>
          <w:rFonts w:hint="default"/>
          <w:lang w:val="en-US" w:eastAsia="zh-CN"/>
        </w:rPr>
      </w:pPr>
      <w:bookmarkStart w:id="37" w:name="_Ref20459"/>
      <w:r>
        <w:rPr>
          <w:rFonts w:hint="default"/>
          <w:lang w:val="en-US" w:eastAsia="zh-CN"/>
        </w:rPr>
        <w:t>Zu G</w:t>
      </w:r>
      <w:r>
        <w:rPr>
          <w:rFonts w:hint="eastAsia"/>
          <w:lang w:val="en-US" w:eastAsia="zh-CN"/>
        </w:rPr>
        <w:t>X</w:t>
      </w:r>
      <w:r>
        <w:rPr>
          <w:rFonts w:hint="default"/>
          <w:lang w:val="en-US" w:eastAsia="zh-CN"/>
        </w:rPr>
        <w:t>,Sun K</w:t>
      </w:r>
      <w:r>
        <w:rPr>
          <w:rFonts w:hint="eastAsia"/>
          <w:lang w:val="en-US" w:eastAsia="zh-CN"/>
        </w:rPr>
        <w:t>Y</w:t>
      </w:r>
      <w:r>
        <w:rPr>
          <w:rFonts w:hint="default"/>
          <w:lang w:val="en-US" w:eastAsia="zh-CN"/>
        </w:rPr>
        <w:t>,Li L,</w:t>
      </w:r>
      <w:r>
        <w:rPr>
          <w:rFonts w:hint="eastAsia"/>
          <w:lang w:val="en-US" w:eastAsia="zh-CN"/>
        </w:rPr>
        <w:t>et al</w:t>
      </w:r>
      <w:r>
        <w:rPr>
          <w:rFonts w:hint="default"/>
          <w:lang w:val="en-US" w:eastAsia="zh-CN"/>
        </w:rPr>
        <w:t>.Mechanism of quercetin therapeutic targets for Alzheimer disease and type 2 diabetes mellitus</w:t>
      </w:r>
      <w:r>
        <w:rPr>
          <w:rFonts w:hint="eastAsia"/>
          <w:lang w:val="en-US" w:eastAsia="zh-CN"/>
        </w:rPr>
        <w:t>[J]</w:t>
      </w:r>
      <w:r>
        <w:rPr>
          <w:rFonts w:hint="default"/>
          <w:lang w:val="en-US" w:eastAsia="zh-CN"/>
        </w:rPr>
        <w:t>.S</w:t>
      </w:r>
      <w:r>
        <w:rPr>
          <w:rFonts w:hint="eastAsia"/>
          <w:lang w:val="en-US" w:eastAsia="zh-CN"/>
        </w:rPr>
        <w:t>cientific</w:t>
      </w:r>
      <w:r>
        <w:rPr>
          <w:rFonts w:hint="default"/>
          <w:lang w:val="en-US" w:eastAsia="zh-CN"/>
        </w:rPr>
        <w:t xml:space="preserve"> </w:t>
      </w:r>
      <w:r>
        <w:rPr>
          <w:rFonts w:hint="eastAsia"/>
          <w:lang w:val="en-US" w:eastAsia="zh-CN"/>
        </w:rPr>
        <w:t>reports,</w:t>
      </w:r>
      <w:r>
        <w:rPr>
          <w:rFonts w:hint="default"/>
          <w:lang w:val="en-US" w:eastAsia="zh-CN"/>
        </w:rPr>
        <w:t>2021</w:t>
      </w:r>
      <w:r>
        <w:rPr>
          <w:rFonts w:hint="eastAsia"/>
          <w:lang w:val="en-US" w:eastAsia="zh-CN"/>
        </w:rPr>
        <w:t>,</w:t>
      </w:r>
      <w:r>
        <w:rPr>
          <w:rFonts w:hint="default"/>
          <w:lang w:val="en-US" w:eastAsia="zh-CN"/>
        </w:rPr>
        <w:t>11(1):22959.</w:t>
      </w:r>
      <w:r>
        <w:rPr>
          <w:rFonts w:hint="eastAsia"/>
          <w:lang w:val="en-US" w:eastAsia="zh-CN"/>
        </w:rPr>
        <w:t>https://doi.org/</w:t>
      </w:r>
      <w:r>
        <w:rPr>
          <w:rFonts w:hint="default"/>
          <w:lang w:val="en-US" w:eastAsia="zh-CN"/>
        </w:rPr>
        <w:t>10.1038/s41598-021-02248-5.</w:t>
      </w:r>
      <w:bookmarkEnd w:id="37"/>
    </w:p>
    <w:p>
      <w:pPr>
        <w:pStyle w:val="16"/>
        <w:bidi w:val="0"/>
        <w:rPr>
          <w:rFonts w:hint="default"/>
          <w:lang w:val="en-US" w:eastAsia="zh-CN"/>
        </w:rPr>
      </w:pPr>
      <w:bookmarkStart w:id="38" w:name="_Ref29557"/>
      <w:r>
        <w:rPr>
          <w:rFonts w:hint="default"/>
          <w:lang w:val="en-US" w:eastAsia="zh-CN"/>
        </w:rPr>
        <w:t>Sahab-Negah S,Hajali V,Moradi HR,</w:t>
      </w:r>
      <w:r>
        <w:rPr>
          <w:rFonts w:hint="eastAsia"/>
          <w:lang w:val="en-US" w:eastAsia="zh-CN"/>
        </w:rPr>
        <w:t>et al</w:t>
      </w:r>
      <w:r>
        <w:rPr>
          <w:rFonts w:hint="default"/>
          <w:lang w:val="en-US" w:eastAsia="zh-CN"/>
        </w:rPr>
        <w:t xml:space="preserve">.The </w:t>
      </w:r>
      <w:r>
        <w:rPr>
          <w:rFonts w:hint="eastAsia"/>
          <w:lang w:val="en-US" w:eastAsia="zh-CN"/>
        </w:rPr>
        <w:t>i</w:t>
      </w:r>
      <w:r>
        <w:rPr>
          <w:rFonts w:hint="default"/>
          <w:lang w:val="en-US" w:eastAsia="zh-CN"/>
        </w:rPr>
        <w:t xml:space="preserve">mpact of </w:t>
      </w:r>
      <w:r>
        <w:rPr>
          <w:rFonts w:hint="eastAsia"/>
          <w:lang w:val="en-US" w:eastAsia="zh-CN"/>
        </w:rPr>
        <w:t>e</w:t>
      </w:r>
      <w:r>
        <w:rPr>
          <w:rFonts w:hint="default"/>
          <w:lang w:val="en-US" w:eastAsia="zh-CN"/>
        </w:rPr>
        <w:t xml:space="preserve">stradiol on </w:t>
      </w:r>
      <w:r>
        <w:rPr>
          <w:rFonts w:hint="eastAsia"/>
          <w:lang w:val="en-US" w:eastAsia="zh-CN"/>
        </w:rPr>
        <w:t>n</w:t>
      </w:r>
      <w:r>
        <w:rPr>
          <w:rFonts w:hint="default"/>
          <w:lang w:val="en-US" w:eastAsia="zh-CN"/>
        </w:rPr>
        <w:t xml:space="preserve">eurogenesis and </w:t>
      </w:r>
      <w:r>
        <w:rPr>
          <w:rFonts w:hint="eastAsia"/>
          <w:lang w:val="en-US" w:eastAsia="zh-CN"/>
        </w:rPr>
        <w:t>c</w:t>
      </w:r>
      <w:r>
        <w:rPr>
          <w:rFonts w:hint="default"/>
          <w:lang w:val="en-US" w:eastAsia="zh-CN"/>
        </w:rPr>
        <w:t xml:space="preserve">ognitive </w:t>
      </w:r>
      <w:r>
        <w:rPr>
          <w:rFonts w:hint="eastAsia"/>
          <w:lang w:val="en-US" w:eastAsia="zh-CN"/>
        </w:rPr>
        <w:t>f</w:t>
      </w:r>
      <w:r>
        <w:rPr>
          <w:rFonts w:hint="default"/>
          <w:lang w:val="en-US" w:eastAsia="zh-CN"/>
        </w:rPr>
        <w:t xml:space="preserve">unctions in Alzheimer's </w:t>
      </w:r>
      <w:r>
        <w:rPr>
          <w:rFonts w:hint="eastAsia"/>
          <w:lang w:val="en-US" w:eastAsia="zh-CN"/>
        </w:rPr>
        <w:t>d</w:t>
      </w:r>
      <w:r>
        <w:rPr>
          <w:rFonts w:hint="default"/>
          <w:lang w:val="en-US" w:eastAsia="zh-CN"/>
        </w:rPr>
        <w:t>isease</w:t>
      </w:r>
      <w:r>
        <w:rPr>
          <w:rFonts w:hint="eastAsia"/>
          <w:lang w:val="en-US" w:eastAsia="zh-CN"/>
        </w:rPr>
        <w:t>[J]</w:t>
      </w:r>
      <w:r>
        <w:rPr>
          <w:rFonts w:hint="default"/>
          <w:lang w:val="en-US" w:eastAsia="zh-CN"/>
        </w:rPr>
        <w:t>. Cell</w:t>
      </w:r>
      <w:r>
        <w:rPr>
          <w:rFonts w:hint="eastAsia"/>
          <w:lang w:val="en-US" w:eastAsia="zh-CN"/>
        </w:rPr>
        <w:t>ular</w:t>
      </w:r>
      <w:r>
        <w:rPr>
          <w:rFonts w:hint="default"/>
          <w:lang w:val="en-US" w:eastAsia="zh-CN"/>
        </w:rPr>
        <w:t xml:space="preserve"> </w:t>
      </w:r>
      <w:r>
        <w:rPr>
          <w:rFonts w:hint="eastAsia"/>
          <w:lang w:val="en-US" w:eastAsia="zh-CN"/>
        </w:rPr>
        <w:t>and m</w:t>
      </w:r>
      <w:r>
        <w:rPr>
          <w:rFonts w:hint="default"/>
          <w:lang w:val="en-US" w:eastAsia="zh-CN"/>
        </w:rPr>
        <w:t>ol</w:t>
      </w:r>
      <w:r>
        <w:rPr>
          <w:rFonts w:hint="eastAsia"/>
          <w:lang w:val="en-US" w:eastAsia="zh-CN"/>
        </w:rPr>
        <w:t>ecular</w:t>
      </w:r>
      <w:r>
        <w:rPr>
          <w:rFonts w:hint="default"/>
          <w:lang w:val="en-US" w:eastAsia="zh-CN"/>
        </w:rPr>
        <w:t xml:space="preserve"> </w:t>
      </w:r>
      <w:r>
        <w:rPr>
          <w:rFonts w:hint="eastAsia"/>
          <w:lang w:val="en-US" w:eastAsia="zh-CN"/>
        </w:rPr>
        <w:t>neurobiology,</w:t>
      </w:r>
      <w:r>
        <w:rPr>
          <w:rFonts w:hint="default"/>
          <w:lang w:val="en-US" w:eastAsia="zh-CN"/>
        </w:rPr>
        <w:t>2020</w:t>
      </w:r>
      <w:r>
        <w:rPr>
          <w:rFonts w:hint="eastAsia"/>
          <w:lang w:val="en-US" w:eastAsia="zh-CN"/>
        </w:rPr>
        <w:t>,</w:t>
      </w:r>
      <w:r>
        <w:rPr>
          <w:rFonts w:hint="default"/>
          <w:lang w:val="en-US" w:eastAsia="zh-CN"/>
        </w:rPr>
        <w:t>40(3):283-299.</w:t>
      </w:r>
      <w:r>
        <w:rPr>
          <w:rFonts w:hint="eastAsia"/>
          <w:lang w:val="en-US" w:eastAsia="zh-CN"/>
        </w:rPr>
        <w:t>https://</w:t>
      </w:r>
      <w:r>
        <w:rPr>
          <w:rFonts w:hint="default"/>
          <w:lang w:val="en-US" w:eastAsia="zh-CN"/>
        </w:rPr>
        <w:t>doi</w:t>
      </w:r>
      <w:r>
        <w:rPr>
          <w:rFonts w:hint="eastAsia"/>
          <w:lang w:val="en-US" w:eastAsia="zh-CN"/>
        </w:rPr>
        <w:t>.org/</w:t>
      </w:r>
      <w:r>
        <w:rPr>
          <w:rFonts w:hint="default"/>
          <w:lang w:val="en-US" w:eastAsia="zh-CN"/>
        </w:rPr>
        <w:t>10.1007/s10571-019-00733-0.</w:t>
      </w:r>
      <w:bookmarkEnd w:id="38"/>
    </w:p>
    <w:p>
      <w:pPr>
        <w:pStyle w:val="16"/>
        <w:bidi w:val="0"/>
        <w:rPr>
          <w:rFonts w:hint="default"/>
          <w:lang w:val="en-US" w:eastAsia="zh-CN"/>
        </w:rPr>
      </w:pPr>
      <w:bookmarkStart w:id="39" w:name="_Ref4313"/>
      <w:r>
        <w:rPr>
          <w:rFonts w:hint="default"/>
          <w:lang w:val="en-US" w:eastAsia="zh-CN"/>
        </w:rPr>
        <w:t>Huang CW,Rust NC,Wu HF,</w:t>
      </w:r>
      <w:r>
        <w:rPr>
          <w:rFonts w:hint="eastAsia"/>
          <w:lang w:val="en-US" w:eastAsia="zh-CN"/>
        </w:rPr>
        <w:t>et al</w:t>
      </w:r>
      <w:r>
        <w:rPr>
          <w:rFonts w:hint="default"/>
          <w:lang w:val="en-US" w:eastAsia="zh-CN"/>
        </w:rPr>
        <w:t>.Altered O-GlcNAcylation and mitochondrial dysfunction, a molecular link between brain glucose dysregulation and sporadic Alzheimer's disease</w:t>
      </w:r>
      <w:r>
        <w:rPr>
          <w:rFonts w:hint="eastAsia"/>
          <w:lang w:val="en-US" w:eastAsia="zh-CN"/>
        </w:rPr>
        <w:t>[J]</w:t>
      </w:r>
      <w:r>
        <w:rPr>
          <w:rFonts w:hint="default"/>
          <w:lang w:val="en-US" w:eastAsia="zh-CN"/>
        </w:rPr>
        <w:t xml:space="preserve">.Neural </w:t>
      </w:r>
      <w:r>
        <w:rPr>
          <w:rFonts w:hint="eastAsia"/>
          <w:lang w:val="en-US" w:eastAsia="zh-CN"/>
        </w:rPr>
        <w:t>r</w:t>
      </w:r>
      <w:r>
        <w:rPr>
          <w:rFonts w:hint="default"/>
          <w:lang w:val="en-US" w:eastAsia="zh-CN"/>
        </w:rPr>
        <w:t xml:space="preserve">egeneration </w:t>
      </w:r>
      <w:r>
        <w:rPr>
          <w:rFonts w:hint="eastAsia"/>
          <w:lang w:val="en-US" w:eastAsia="zh-CN"/>
        </w:rPr>
        <w:t>r</w:t>
      </w:r>
      <w:r>
        <w:rPr>
          <w:rFonts w:hint="default"/>
          <w:lang w:val="en-US" w:eastAsia="zh-CN"/>
        </w:rPr>
        <w:t>esearch</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18(4):779-783.</w:t>
      </w:r>
      <w:r>
        <w:rPr>
          <w:rFonts w:hint="eastAsia"/>
          <w:lang w:val="en-US" w:eastAsia="zh-CN"/>
        </w:rPr>
        <w:t>https://doi.org/</w:t>
      </w:r>
      <w:r>
        <w:rPr>
          <w:rFonts w:hint="default"/>
          <w:lang w:val="en-US" w:eastAsia="zh-CN"/>
        </w:rPr>
        <w:t>10.4103/1673-5374.354515.</w:t>
      </w:r>
      <w:bookmarkEnd w:id="39"/>
    </w:p>
    <w:p>
      <w:pPr>
        <w:pStyle w:val="16"/>
        <w:bidi w:val="0"/>
        <w:rPr>
          <w:rFonts w:hint="default"/>
          <w:lang w:val="en-US" w:eastAsia="zh-CN"/>
        </w:rPr>
      </w:pPr>
      <w:bookmarkStart w:id="40" w:name="_Ref28360"/>
      <w:r>
        <w:rPr>
          <w:rFonts w:hint="default"/>
          <w:lang w:val="en-US" w:eastAsia="zh-CN"/>
        </w:rPr>
        <w:t>Trinh PNH,Baltos JA,Hellyer SD,</w:t>
      </w:r>
      <w:r>
        <w:rPr>
          <w:rFonts w:hint="eastAsia"/>
          <w:lang w:val="en-US" w:eastAsia="zh-CN"/>
        </w:rPr>
        <w:t>et al</w:t>
      </w:r>
      <w:r>
        <w:rPr>
          <w:rFonts w:hint="default"/>
          <w:lang w:val="en-US" w:eastAsia="zh-CN"/>
        </w:rPr>
        <w:t>.Adenosine receptor signalling in Alzheimer's disease</w:t>
      </w:r>
      <w:r>
        <w:rPr>
          <w:rFonts w:hint="eastAsia"/>
          <w:lang w:val="en-US" w:eastAsia="zh-CN"/>
        </w:rPr>
        <w:t>[J]</w:t>
      </w:r>
      <w:r>
        <w:rPr>
          <w:rFonts w:hint="default"/>
          <w:lang w:val="en-US" w:eastAsia="zh-CN"/>
        </w:rPr>
        <w:t xml:space="preserve">.Purinergic </w:t>
      </w:r>
      <w:r>
        <w:rPr>
          <w:rFonts w:hint="eastAsia"/>
          <w:lang w:val="en-US" w:eastAsia="zh-CN"/>
        </w:rPr>
        <w:t>s</w:t>
      </w:r>
      <w:r>
        <w:rPr>
          <w:rFonts w:hint="default"/>
          <w:lang w:val="en-US" w:eastAsia="zh-CN"/>
        </w:rPr>
        <w:t>ignal</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18(3):359-381.</w:t>
      </w:r>
      <w:r>
        <w:rPr>
          <w:rFonts w:hint="eastAsia"/>
          <w:lang w:val="en-US" w:eastAsia="zh-CN"/>
        </w:rPr>
        <w:t>https://</w:t>
      </w:r>
      <w:r>
        <w:rPr>
          <w:rFonts w:hint="default"/>
          <w:lang w:val="en-US" w:eastAsia="zh-CN"/>
        </w:rPr>
        <w:t>doi</w:t>
      </w:r>
      <w:r>
        <w:rPr>
          <w:rFonts w:hint="eastAsia"/>
          <w:lang w:val="en-US" w:eastAsia="zh-CN"/>
        </w:rPr>
        <w:t>.org/</w:t>
      </w:r>
      <w:r>
        <w:rPr>
          <w:rFonts w:hint="default"/>
          <w:lang w:val="en-US" w:eastAsia="zh-CN"/>
        </w:rPr>
        <w:t>10.1007/s11302-022-09883-1.</w:t>
      </w:r>
      <w:bookmarkEnd w:id="40"/>
    </w:p>
    <w:p>
      <w:pPr>
        <w:pStyle w:val="16"/>
        <w:bidi w:val="0"/>
        <w:rPr>
          <w:rFonts w:hint="default"/>
          <w:lang w:val="en-US" w:eastAsia="zh-CN"/>
        </w:rPr>
      </w:pPr>
      <w:bookmarkStart w:id="41" w:name="_Ref32139"/>
      <w:r>
        <w:rPr>
          <w:rFonts w:hint="default"/>
          <w:lang w:val="en-US" w:eastAsia="zh-CN"/>
        </w:rPr>
        <w:t>Lehrer S,Rheinstein PH.Transspinal delivery of drugs by transdermal patch back-of-neck for Alzheimer's disease: a new route of administration</w:t>
      </w:r>
      <w:r>
        <w:rPr>
          <w:rFonts w:hint="eastAsia"/>
          <w:lang w:val="en-US" w:eastAsia="zh-CN"/>
        </w:rPr>
        <w:t>[J]</w:t>
      </w:r>
      <w:r>
        <w:rPr>
          <w:rFonts w:hint="default"/>
          <w:lang w:val="en-US" w:eastAsia="zh-CN"/>
        </w:rPr>
        <w:t>. Discov</w:t>
      </w:r>
      <w:r>
        <w:rPr>
          <w:rFonts w:hint="eastAsia"/>
          <w:lang w:val="en-US" w:eastAsia="zh-CN"/>
        </w:rPr>
        <w:t>ery</w:t>
      </w:r>
      <w:r>
        <w:rPr>
          <w:rFonts w:hint="default"/>
          <w:lang w:val="en-US" w:eastAsia="zh-CN"/>
        </w:rPr>
        <w:t xml:space="preserve"> Med</w:t>
      </w:r>
      <w:r>
        <w:rPr>
          <w:rFonts w:hint="eastAsia"/>
          <w:lang w:val="en-US" w:eastAsia="zh-CN"/>
        </w:rPr>
        <w:t>icine,</w:t>
      </w:r>
      <w:r>
        <w:rPr>
          <w:rFonts w:hint="default"/>
          <w:lang w:val="en-US" w:eastAsia="zh-CN"/>
        </w:rPr>
        <w:t>2019</w:t>
      </w:r>
      <w:r>
        <w:rPr>
          <w:rFonts w:hint="eastAsia"/>
          <w:lang w:val="en-US" w:eastAsia="zh-CN"/>
        </w:rPr>
        <w:t>,</w:t>
      </w:r>
      <w:r>
        <w:rPr>
          <w:rFonts w:hint="default"/>
          <w:lang w:val="en-US" w:eastAsia="zh-CN"/>
        </w:rPr>
        <w:t>27(146):37-43.</w:t>
      </w:r>
      <w:bookmarkEnd w:id="41"/>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FA54"/>
    <w:multiLevelType w:val="multilevel"/>
    <w:tmpl w:val="DC4FFA54"/>
    <w:lvl w:ilvl="0" w:tentative="0">
      <w:start w:val="1"/>
      <w:numFmt w:val="decimal"/>
      <w:pStyle w:val="4"/>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1D28EB70"/>
    <w:multiLevelType w:val="singleLevel"/>
    <w:tmpl w:val="1D28EB70"/>
    <w:lvl w:ilvl="0" w:tentative="0">
      <w:start w:val="1"/>
      <w:numFmt w:val="decimal"/>
      <w:pStyle w:val="16"/>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307A95"/>
    <w:rsid w:val="0046375D"/>
    <w:rsid w:val="005539A0"/>
    <w:rsid w:val="005574FC"/>
    <w:rsid w:val="005D2854"/>
    <w:rsid w:val="00641E35"/>
    <w:rsid w:val="0075485B"/>
    <w:rsid w:val="007A6F63"/>
    <w:rsid w:val="00835244"/>
    <w:rsid w:val="0089189B"/>
    <w:rsid w:val="00902C2A"/>
    <w:rsid w:val="009269A2"/>
    <w:rsid w:val="009A5857"/>
    <w:rsid w:val="009F1E28"/>
    <w:rsid w:val="00A602C2"/>
    <w:rsid w:val="00BD0D95"/>
    <w:rsid w:val="00CA7EEA"/>
    <w:rsid w:val="00CB3C62"/>
    <w:rsid w:val="00CF5500"/>
    <w:rsid w:val="00E6284A"/>
    <w:rsid w:val="00EC5827"/>
    <w:rsid w:val="00F907CF"/>
    <w:rsid w:val="010158D6"/>
    <w:rsid w:val="01080A12"/>
    <w:rsid w:val="01086C64"/>
    <w:rsid w:val="011473B7"/>
    <w:rsid w:val="011A24F4"/>
    <w:rsid w:val="01341807"/>
    <w:rsid w:val="01417758"/>
    <w:rsid w:val="014A2DD9"/>
    <w:rsid w:val="0151055B"/>
    <w:rsid w:val="015B2302"/>
    <w:rsid w:val="015B6D94"/>
    <w:rsid w:val="016140C6"/>
    <w:rsid w:val="0173585E"/>
    <w:rsid w:val="019462D8"/>
    <w:rsid w:val="019B1886"/>
    <w:rsid w:val="01A06E9D"/>
    <w:rsid w:val="01A324E9"/>
    <w:rsid w:val="01AA3877"/>
    <w:rsid w:val="01AF6686"/>
    <w:rsid w:val="01BE5948"/>
    <w:rsid w:val="01C506B1"/>
    <w:rsid w:val="01C95815"/>
    <w:rsid w:val="01D134FA"/>
    <w:rsid w:val="01D152A8"/>
    <w:rsid w:val="01D54D98"/>
    <w:rsid w:val="01D81E3B"/>
    <w:rsid w:val="01D86637"/>
    <w:rsid w:val="01DA1DA1"/>
    <w:rsid w:val="01EA0118"/>
    <w:rsid w:val="01FA65AD"/>
    <w:rsid w:val="01FB0577"/>
    <w:rsid w:val="020C008E"/>
    <w:rsid w:val="02281A05"/>
    <w:rsid w:val="024F36AF"/>
    <w:rsid w:val="02581525"/>
    <w:rsid w:val="027F4D04"/>
    <w:rsid w:val="028D5673"/>
    <w:rsid w:val="02B5248F"/>
    <w:rsid w:val="02B7449E"/>
    <w:rsid w:val="02B7624C"/>
    <w:rsid w:val="02C170CB"/>
    <w:rsid w:val="02CB1CF7"/>
    <w:rsid w:val="02D92666"/>
    <w:rsid w:val="02DF179D"/>
    <w:rsid w:val="02DF57A3"/>
    <w:rsid w:val="02E36583"/>
    <w:rsid w:val="02F367E1"/>
    <w:rsid w:val="03082F4B"/>
    <w:rsid w:val="03084CFA"/>
    <w:rsid w:val="031226B5"/>
    <w:rsid w:val="03192A63"/>
    <w:rsid w:val="03345AEF"/>
    <w:rsid w:val="033B6E7D"/>
    <w:rsid w:val="0341020B"/>
    <w:rsid w:val="03433852"/>
    <w:rsid w:val="034420A6"/>
    <w:rsid w:val="03561F09"/>
    <w:rsid w:val="03575C81"/>
    <w:rsid w:val="03661A20"/>
    <w:rsid w:val="0371289F"/>
    <w:rsid w:val="037B371D"/>
    <w:rsid w:val="03806F4C"/>
    <w:rsid w:val="03824AAC"/>
    <w:rsid w:val="03885E3A"/>
    <w:rsid w:val="03906A9D"/>
    <w:rsid w:val="03C30C20"/>
    <w:rsid w:val="03C84489"/>
    <w:rsid w:val="03DB240E"/>
    <w:rsid w:val="03F0629F"/>
    <w:rsid w:val="03F31506"/>
    <w:rsid w:val="03F4702C"/>
    <w:rsid w:val="03F60FF6"/>
    <w:rsid w:val="03FF434E"/>
    <w:rsid w:val="04003C23"/>
    <w:rsid w:val="04043713"/>
    <w:rsid w:val="041C6123"/>
    <w:rsid w:val="043C6EC6"/>
    <w:rsid w:val="0442248D"/>
    <w:rsid w:val="044C50BA"/>
    <w:rsid w:val="04581CB1"/>
    <w:rsid w:val="04702B56"/>
    <w:rsid w:val="04A10F62"/>
    <w:rsid w:val="04B50AF8"/>
    <w:rsid w:val="04B74C29"/>
    <w:rsid w:val="04C5780A"/>
    <w:rsid w:val="04C86418"/>
    <w:rsid w:val="04DC4690"/>
    <w:rsid w:val="05031C1C"/>
    <w:rsid w:val="05076650"/>
    <w:rsid w:val="050B287F"/>
    <w:rsid w:val="0517491F"/>
    <w:rsid w:val="052676B9"/>
    <w:rsid w:val="0539563E"/>
    <w:rsid w:val="05452235"/>
    <w:rsid w:val="054871A2"/>
    <w:rsid w:val="0560706F"/>
    <w:rsid w:val="056401E1"/>
    <w:rsid w:val="05685F23"/>
    <w:rsid w:val="056B77C2"/>
    <w:rsid w:val="05776166"/>
    <w:rsid w:val="05777F14"/>
    <w:rsid w:val="058D14E6"/>
    <w:rsid w:val="058D7738"/>
    <w:rsid w:val="059464DB"/>
    <w:rsid w:val="05A52CD4"/>
    <w:rsid w:val="05A76A4C"/>
    <w:rsid w:val="05B2463F"/>
    <w:rsid w:val="05BD626F"/>
    <w:rsid w:val="05C66BB1"/>
    <w:rsid w:val="05D35E60"/>
    <w:rsid w:val="05D9297D"/>
    <w:rsid w:val="05ED6429"/>
    <w:rsid w:val="05EF3F4F"/>
    <w:rsid w:val="05F652DD"/>
    <w:rsid w:val="05F73E89"/>
    <w:rsid w:val="05F81055"/>
    <w:rsid w:val="05FE23E4"/>
    <w:rsid w:val="060F2843"/>
    <w:rsid w:val="06113EC5"/>
    <w:rsid w:val="062005AC"/>
    <w:rsid w:val="06222576"/>
    <w:rsid w:val="06224324"/>
    <w:rsid w:val="062F6A41"/>
    <w:rsid w:val="06336531"/>
    <w:rsid w:val="0639166E"/>
    <w:rsid w:val="066761DB"/>
    <w:rsid w:val="06691F53"/>
    <w:rsid w:val="06695AAF"/>
    <w:rsid w:val="0676641E"/>
    <w:rsid w:val="06783F44"/>
    <w:rsid w:val="068648B3"/>
    <w:rsid w:val="069114AA"/>
    <w:rsid w:val="069A3EBB"/>
    <w:rsid w:val="06B036DE"/>
    <w:rsid w:val="06B55198"/>
    <w:rsid w:val="06CC1E75"/>
    <w:rsid w:val="06D05B2E"/>
    <w:rsid w:val="06D53145"/>
    <w:rsid w:val="06D80E87"/>
    <w:rsid w:val="06DF2215"/>
    <w:rsid w:val="06E11AE9"/>
    <w:rsid w:val="06F2019A"/>
    <w:rsid w:val="06F85085"/>
    <w:rsid w:val="06FC6923"/>
    <w:rsid w:val="070A169F"/>
    <w:rsid w:val="070B6B66"/>
    <w:rsid w:val="070E2AFA"/>
    <w:rsid w:val="07117DA5"/>
    <w:rsid w:val="07261BF2"/>
    <w:rsid w:val="072916E2"/>
    <w:rsid w:val="073065CD"/>
    <w:rsid w:val="073562D9"/>
    <w:rsid w:val="073F0F06"/>
    <w:rsid w:val="074107DA"/>
    <w:rsid w:val="07506C6F"/>
    <w:rsid w:val="07807554"/>
    <w:rsid w:val="078801B7"/>
    <w:rsid w:val="07950B26"/>
    <w:rsid w:val="07AB2899"/>
    <w:rsid w:val="07B45450"/>
    <w:rsid w:val="07BB67DE"/>
    <w:rsid w:val="07BE007D"/>
    <w:rsid w:val="07C72DDB"/>
    <w:rsid w:val="07CD206E"/>
    <w:rsid w:val="07D21D7A"/>
    <w:rsid w:val="07DE24CD"/>
    <w:rsid w:val="07E0464A"/>
    <w:rsid w:val="07E560A1"/>
    <w:rsid w:val="07ED44BE"/>
    <w:rsid w:val="07EF6488"/>
    <w:rsid w:val="07FC0BA5"/>
    <w:rsid w:val="07FC3E74"/>
    <w:rsid w:val="081C4DA3"/>
    <w:rsid w:val="081F264A"/>
    <w:rsid w:val="08236132"/>
    <w:rsid w:val="0825634E"/>
    <w:rsid w:val="08597C79"/>
    <w:rsid w:val="08597DA5"/>
    <w:rsid w:val="0869623A"/>
    <w:rsid w:val="08716E9D"/>
    <w:rsid w:val="08732C15"/>
    <w:rsid w:val="08744BDF"/>
    <w:rsid w:val="087D1CE6"/>
    <w:rsid w:val="088272FC"/>
    <w:rsid w:val="08872B64"/>
    <w:rsid w:val="08931509"/>
    <w:rsid w:val="089A2898"/>
    <w:rsid w:val="089B216C"/>
    <w:rsid w:val="08AC25CB"/>
    <w:rsid w:val="08B66FA6"/>
    <w:rsid w:val="08CB2A51"/>
    <w:rsid w:val="08CE609D"/>
    <w:rsid w:val="08DB4C49"/>
    <w:rsid w:val="08E27D9B"/>
    <w:rsid w:val="08E73603"/>
    <w:rsid w:val="08F31FA8"/>
    <w:rsid w:val="08FA6E92"/>
    <w:rsid w:val="09045F63"/>
    <w:rsid w:val="090D12BC"/>
    <w:rsid w:val="09120680"/>
    <w:rsid w:val="09151F1E"/>
    <w:rsid w:val="09242161"/>
    <w:rsid w:val="092D54BA"/>
    <w:rsid w:val="0946657C"/>
    <w:rsid w:val="095F13EB"/>
    <w:rsid w:val="09782267"/>
    <w:rsid w:val="098D7D07"/>
    <w:rsid w:val="099472E7"/>
    <w:rsid w:val="09A03EDE"/>
    <w:rsid w:val="09B110B8"/>
    <w:rsid w:val="09B434E5"/>
    <w:rsid w:val="09BA4874"/>
    <w:rsid w:val="09BB6E1E"/>
    <w:rsid w:val="09CA0F5B"/>
    <w:rsid w:val="09D65B51"/>
    <w:rsid w:val="09D9119E"/>
    <w:rsid w:val="09E33DCA"/>
    <w:rsid w:val="09E35B78"/>
    <w:rsid w:val="09EF09C1"/>
    <w:rsid w:val="09FE29B2"/>
    <w:rsid w:val="0A1E3055"/>
    <w:rsid w:val="0A2148F3"/>
    <w:rsid w:val="0A36214C"/>
    <w:rsid w:val="0A440A5C"/>
    <w:rsid w:val="0A466107"/>
    <w:rsid w:val="0A570314"/>
    <w:rsid w:val="0A621193"/>
    <w:rsid w:val="0A626A85"/>
    <w:rsid w:val="0A6E5D8A"/>
    <w:rsid w:val="0A6F38B0"/>
    <w:rsid w:val="0A6F565E"/>
    <w:rsid w:val="0A782765"/>
    <w:rsid w:val="0A7B2255"/>
    <w:rsid w:val="0A856C30"/>
    <w:rsid w:val="0A8E01DA"/>
    <w:rsid w:val="0A9F4195"/>
    <w:rsid w:val="0AA7129C"/>
    <w:rsid w:val="0ABD286D"/>
    <w:rsid w:val="0AC77248"/>
    <w:rsid w:val="0AD84438"/>
    <w:rsid w:val="0AD96F7B"/>
    <w:rsid w:val="0ADD081A"/>
    <w:rsid w:val="0AE0655C"/>
    <w:rsid w:val="0AE95411"/>
    <w:rsid w:val="0AF049F1"/>
    <w:rsid w:val="0AFF4C34"/>
    <w:rsid w:val="0B022976"/>
    <w:rsid w:val="0B073AE9"/>
    <w:rsid w:val="0B095AB3"/>
    <w:rsid w:val="0B161F7E"/>
    <w:rsid w:val="0B221CE0"/>
    <w:rsid w:val="0B266665"/>
    <w:rsid w:val="0B424B21"/>
    <w:rsid w:val="0B460AB5"/>
    <w:rsid w:val="0B4B60CB"/>
    <w:rsid w:val="0B6823E3"/>
    <w:rsid w:val="0B8E420A"/>
    <w:rsid w:val="0B9335CE"/>
    <w:rsid w:val="0B9510F4"/>
    <w:rsid w:val="0BA648D7"/>
    <w:rsid w:val="0BA92339"/>
    <w:rsid w:val="0BBE064B"/>
    <w:rsid w:val="0BC67500"/>
    <w:rsid w:val="0BCA5242"/>
    <w:rsid w:val="0BDC4F75"/>
    <w:rsid w:val="0BE36304"/>
    <w:rsid w:val="0BF26547"/>
    <w:rsid w:val="0C061FF2"/>
    <w:rsid w:val="0C2F3263"/>
    <w:rsid w:val="0C452B1A"/>
    <w:rsid w:val="0C476893"/>
    <w:rsid w:val="0C4A1EDF"/>
    <w:rsid w:val="0C5C7E64"/>
    <w:rsid w:val="0C606CCC"/>
    <w:rsid w:val="0C6236CC"/>
    <w:rsid w:val="0C654F6B"/>
    <w:rsid w:val="0C9A095A"/>
    <w:rsid w:val="0CAC2B9A"/>
    <w:rsid w:val="0CBE467B"/>
    <w:rsid w:val="0CC25F19"/>
    <w:rsid w:val="0CD8398F"/>
    <w:rsid w:val="0CE9794A"/>
    <w:rsid w:val="0CEA36C2"/>
    <w:rsid w:val="0CF4009D"/>
    <w:rsid w:val="0D181FDD"/>
    <w:rsid w:val="0D1B1ACD"/>
    <w:rsid w:val="0D295F98"/>
    <w:rsid w:val="0D3112F1"/>
    <w:rsid w:val="0D35493D"/>
    <w:rsid w:val="0D490AEC"/>
    <w:rsid w:val="0D501777"/>
    <w:rsid w:val="0D643474"/>
    <w:rsid w:val="0D6B4803"/>
    <w:rsid w:val="0D6E60A1"/>
    <w:rsid w:val="0D726DE4"/>
    <w:rsid w:val="0D9A50E8"/>
    <w:rsid w:val="0DC419D8"/>
    <w:rsid w:val="0DC43F13"/>
    <w:rsid w:val="0DD00B0A"/>
    <w:rsid w:val="0DDF2AFB"/>
    <w:rsid w:val="0DE00415"/>
    <w:rsid w:val="0DF06AB6"/>
    <w:rsid w:val="0E1053AA"/>
    <w:rsid w:val="0E172295"/>
    <w:rsid w:val="0E245572"/>
    <w:rsid w:val="0E26072A"/>
    <w:rsid w:val="0E303356"/>
    <w:rsid w:val="0E4F1A2E"/>
    <w:rsid w:val="0E545297"/>
    <w:rsid w:val="0E547045"/>
    <w:rsid w:val="0E586BB4"/>
    <w:rsid w:val="0E61656B"/>
    <w:rsid w:val="0E6B0652"/>
    <w:rsid w:val="0E6F20D1"/>
    <w:rsid w:val="0E7D2A40"/>
    <w:rsid w:val="0E8B4B54"/>
    <w:rsid w:val="0E941B37"/>
    <w:rsid w:val="0E9B4C74"/>
    <w:rsid w:val="0EA855E3"/>
    <w:rsid w:val="0EBB5316"/>
    <w:rsid w:val="0EBD2E3C"/>
    <w:rsid w:val="0EBE4E06"/>
    <w:rsid w:val="0ECD6DF7"/>
    <w:rsid w:val="0EDB32C2"/>
    <w:rsid w:val="0EE228A3"/>
    <w:rsid w:val="0EED1247"/>
    <w:rsid w:val="0EF10B9E"/>
    <w:rsid w:val="0F114F36"/>
    <w:rsid w:val="0F1F58A5"/>
    <w:rsid w:val="0F274759"/>
    <w:rsid w:val="0F2C1655"/>
    <w:rsid w:val="0F2C6214"/>
    <w:rsid w:val="0F2D5820"/>
    <w:rsid w:val="0F386966"/>
    <w:rsid w:val="0F420B30"/>
    <w:rsid w:val="0F474DFC"/>
    <w:rsid w:val="0F515D25"/>
    <w:rsid w:val="0F5C08A7"/>
    <w:rsid w:val="0F5D63CD"/>
    <w:rsid w:val="0F73799F"/>
    <w:rsid w:val="0F8676D2"/>
    <w:rsid w:val="0F8B118C"/>
    <w:rsid w:val="0F9C5147"/>
    <w:rsid w:val="0F9C6EF5"/>
    <w:rsid w:val="0FAE09D7"/>
    <w:rsid w:val="0FBD50BE"/>
    <w:rsid w:val="0FDD12BC"/>
    <w:rsid w:val="0FE8038D"/>
    <w:rsid w:val="0FE97C61"/>
    <w:rsid w:val="0FFE370C"/>
    <w:rsid w:val="101C0036"/>
    <w:rsid w:val="102D3FF1"/>
    <w:rsid w:val="1034712E"/>
    <w:rsid w:val="10482BD9"/>
    <w:rsid w:val="104D6442"/>
    <w:rsid w:val="1068327B"/>
    <w:rsid w:val="1077526D"/>
    <w:rsid w:val="108C6F6A"/>
    <w:rsid w:val="108D0014"/>
    <w:rsid w:val="108F25B6"/>
    <w:rsid w:val="109E0A4B"/>
    <w:rsid w:val="109F497A"/>
    <w:rsid w:val="10A162CC"/>
    <w:rsid w:val="10A2678D"/>
    <w:rsid w:val="10B14C22"/>
    <w:rsid w:val="10E072B6"/>
    <w:rsid w:val="10E50428"/>
    <w:rsid w:val="10E53570"/>
    <w:rsid w:val="10E723F2"/>
    <w:rsid w:val="10F92125"/>
    <w:rsid w:val="112F5B47"/>
    <w:rsid w:val="11366ED6"/>
    <w:rsid w:val="115D0906"/>
    <w:rsid w:val="11765524"/>
    <w:rsid w:val="118B5473"/>
    <w:rsid w:val="118C09AC"/>
    <w:rsid w:val="11906397"/>
    <w:rsid w:val="11A402E3"/>
    <w:rsid w:val="11B15721"/>
    <w:rsid w:val="11B524F0"/>
    <w:rsid w:val="11B60E78"/>
    <w:rsid w:val="11BD3153"/>
    <w:rsid w:val="11C269BB"/>
    <w:rsid w:val="11CC15E8"/>
    <w:rsid w:val="11F03528"/>
    <w:rsid w:val="11F254F3"/>
    <w:rsid w:val="120D5E88"/>
    <w:rsid w:val="12105979"/>
    <w:rsid w:val="12107727"/>
    <w:rsid w:val="1222745A"/>
    <w:rsid w:val="12391273"/>
    <w:rsid w:val="126D4B79"/>
    <w:rsid w:val="129E11D6"/>
    <w:rsid w:val="129E2F84"/>
    <w:rsid w:val="12A85BB1"/>
    <w:rsid w:val="12AF3725"/>
    <w:rsid w:val="12B431C4"/>
    <w:rsid w:val="12D40754"/>
    <w:rsid w:val="12DC585B"/>
    <w:rsid w:val="12E0359D"/>
    <w:rsid w:val="12E15AD9"/>
    <w:rsid w:val="12FE7EC7"/>
    <w:rsid w:val="13053004"/>
    <w:rsid w:val="130F5C30"/>
    <w:rsid w:val="1319085D"/>
    <w:rsid w:val="131B45D5"/>
    <w:rsid w:val="131E40C5"/>
    <w:rsid w:val="132316DC"/>
    <w:rsid w:val="13272F7A"/>
    <w:rsid w:val="132A4818"/>
    <w:rsid w:val="132F62D2"/>
    <w:rsid w:val="13494CDD"/>
    <w:rsid w:val="13516249"/>
    <w:rsid w:val="13521EB6"/>
    <w:rsid w:val="135950FD"/>
    <w:rsid w:val="13655850"/>
    <w:rsid w:val="13824654"/>
    <w:rsid w:val="138D7D05"/>
    <w:rsid w:val="138E51C3"/>
    <w:rsid w:val="13985C26"/>
    <w:rsid w:val="13A02D2C"/>
    <w:rsid w:val="13C46A1B"/>
    <w:rsid w:val="13C609E5"/>
    <w:rsid w:val="13C95DDF"/>
    <w:rsid w:val="13D50C28"/>
    <w:rsid w:val="13DB3D64"/>
    <w:rsid w:val="13E36D0B"/>
    <w:rsid w:val="13EB044B"/>
    <w:rsid w:val="13EC5F71"/>
    <w:rsid w:val="140E5EE8"/>
    <w:rsid w:val="141C0605"/>
    <w:rsid w:val="14357DB9"/>
    <w:rsid w:val="143C0CA7"/>
    <w:rsid w:val="143C4803"/>
    <w:rsid w:val="144067F4"/>
    <w:rsid w:val="14447B5C"/>
    <w:rsid w:val="14467430"/>
    <w:rsid w:val="146C6853"/>
    <w:rsid w:val="14706BA3"/>
    <w:rsid w:val="14755F67"/>
    <w:rsid w:val="14811BA7"/>
    <w:rsid w:val="14832432"/>
    <w:rsid w:val="14A10B0A"/>
    <w:rsid w:val="14A800EA"/>
    <w:rsid w:val="14AB7BDB"/>
    <w:rsid w:val="14BC1DE8"/>
    <w:rsid w:val="14BC76F2"/>
    <w:rsid w:val="14C706B7"/>
    <w:rsid w:val="14D578F3"/>
    <w:rsid w:val="14D7277E"/>
    <w:rsid w:val="1505553D"/>
    <w:rsid w:val="15311E8E"/>
    <w:rsid w:val="1537146E"/>
    <w:rsid w:val="15415E49"/>
    <w:rsid w:val="154D2A40"/>
    <w:rsid w:val="154F02E9"/>
    <w:rsid w:val="155142DE"/>
    <w:rsid w:val="155B50A2"/>
    <w:rsid w:val="1571672E"/>
    <w:rsid w:val="157601E9"/>
    <w:rsid w:val="157E709D"/>
    <w:rsid w:val="15802E15"/>
    <w:rsid w:val="15804BC3"/>
    <w:rsid w:val="158346B4"/>
    <w:rsid w:val="15973CBB"/>
    <w:rsid w:val="15A46B04"/>
    <w:rsid w:val="15A72150"/>
    <w:rsid w:val="15AB60E4"/>
    <w:rsid w:val="15B50D11"/>
    <w:rsid w:val="15B668C0"/>
    <w:rsid w:val="15BE17CA"/>
    <w:rsid w:val="15D05B4B"/>
    <w:rsid w:val="16047292"/>
    <w:rsid w:val="160A26DF"/>
    <w:rsid w:val="163360DA"/>
    <w:rsid w:val="16612C47"/>
    <w:rsid w:val="16730284"/>
    <w:rsid w:val="16753FFC"/>
    <w:rsid w:val="16851E37"/>
    <w:rsid w:val="168D68A7"/>
    <w:rsid w:val="16922E00"/>
    <w:rsid w:val="169326D4"/>
    <w:rsid w:val="16B5089D"/>
    <w:rsid w:val="16BD51C4"/>
    <w:rsid w:val="16C136E5"/>
    <w:rsid w:val="16D276A1"/>
    <w:rsid w:val="16DE1BA1"/>
    <w:rsid w:val="16EB0DF9"/>
    <w:rsid w:val="16F413C5"/>
    <w:rsid w:val="16FB6BF7"/>
    <w:rsid w:val="16FC64CC"/>
    <w:rsid w:val="1700420E"/>
    <w:rsid w:val="17025F34"/>
    <w:rsid w:val="17084E70"/>
    <w:rsid w:val="171001C9"/>
    <w:rsid w:val="17203C32"/>
    <w:rsid w:val="1726179A"/>
    <w:rsid w:val="1740460A"/>
    <w:rsid w:val="17457E73"/>
    <w:rsid w:val="174D6D27"/>
    <w:rsid w:val="17546308"/>
    <w:rsid w:val="175B7696"/>
    <w:rsid w:val="175E0F34"/>
    <w:rsid w:val="17604CAC"/>
    <w:rsid w:val="176522C3"/>
    <w:rsid w:val="17681DB3"/>
    <w:rsid w:val="17800EAB"/>
    <w:rsid w:val="17824C23"/>
    <w:rsid w:val="17852965"/>
    <w:rsid w:val="1787048B"/>
    <w:rsid w:val="178757A6"/>
    <w:rsid w:val="178C784F"/>
    <w:rsid w:val="17AA4179"/>
    <w:rsid w:val="17AD3EEE"/>
    <w:rsid w:val="17D86F39"/>
    <w:rsid w:val="17E23FEB"/>
    <w:rsid w:val="17E56F60"/>
    <w:rsid w:val="17F84EE5"/>
    <w:rsid w:val="17FD24FB"/>
    <w:rsid w:val="18013D26"/>
    <w:rsid w:val="18023FB5"/>
    <w:rsid w:val="18072320"/>
    <w:rsid w:val="181F6915"/>
    <w:rsid w:val="182774AF"/>
    <w:rsid w:val="18397C4D"/>
    <w:rsid w:val="183A54FD"/>
    <w:rsid w:val="18463837"/>
    <w:rsid w:val="184E2D57"/>
    <w:rsid w:val="18567E5D"/>
    <w:rsid w:val="18736C61"/>
    <w:rsid w:val="18754787"/>
    <w:rsid w:val="188A2F7E"/>
    <w:rsid w:val="18A1732B"/>
    <w:rsid w:val="18A312F5"/>
    <w:rsid w:val="18A8690B"/>
    <w:rsid w:val="18BA03EC"/>
    <w:rsid w:val="18C179CD"/>
    <w:rsid w:val="18CB25F9"/>
    <w:rsid w:val="18D55226"/>
    <w:rsid w:val="18DF60A5"/>
    <w:rsid w:val="18E45469"/>
    <w:rsid w:val="19010DAE"/>
    <w:rsid w:val="19081158"/>
    <w:rsid w:val="19362169"/>
    <w:rsid w:val="194D300E"/>
    <w:rsid w:val="195E346D"/>
    <w:rsid w:val="19605EFE"/>
    <w:rsid w:val="19874772"/>
    <w:rsid w:val="1997531B"/>
    <w:rsid w:val="19B65058"/>
    <w:rsid w:val="19B7492C"/>
    <w:rsid w:val="19C05ED6"/>
    <w:rsid w:val="19CC6629"/>
    <w:rsid w:val="19D803FD"/>
    <w:rsid w:val="19E716B5"/>
    <w:rsid w:val="19EE47F1"/>
    <w:rsid w:val="19F85670"/>
    <w:rsid w:val="1A051B3B"/>
    <w:rsid w:val="1A07140F"/>
    <w:rsid w:val="1A0E6C42"/>
    <w:rsid w:val="1A18361C"/>
    <w:rsid w:val="1A385A6D"/>
    <w:rsid w:val="1A4A57A0"/>
    <w:rsid w:val="1A530565"/>
    <w:rsid w:val="1A5328A6"/>
    <w:rsid w:val="1A5D54D3"/>
    <w:rsid w:val="1A6E76E0"/>
    <w:rsid w:val="1A880677"/>
    <w:rsid w:val="1A8E1B30"/>
    <w:rsid w:val="1AAC0209"/>
    <w:rsid w:val="1ABF1CEA"/>
    <w:rsid w:val="1ACE0302"/>
    <w:rsid w:val="1AD75285"/>
    <w:rsid w:val="1AF67C98"/>
    <w:rsid w:val="1B1F09DB"/>
    <w:rsid w:val="1B2F50C2"/>
    <w:rsid w:val="1B302BE8"/>
    <w:rsid w:val="1B3A2B6B"/>
    <w:rsid w:val="1B502705"/>
    <w:rsid w:val="1B744BA6"/>
    <w:rsid w:val="1B787D36"/>
    <w:rsid w:val="1B950C9D"/>
    <w:rsid w:val="1BB2184F"/>
    <w:rsid w:val="1BB750B7"/>
    <w:rsid w:val="1BD23C9F"/>
    <w:rsid w:val="1BD25A4D"/>
    <w:rsid w:val="1BE55780"/>
    <w:rsid w:val="1BF754B3"/>
    <w:rsid w:val="1BFC2ACA"/>
    <w:rsid w:val="1C0C71B1"/>
    <w:rsid w:val="1C0F6782"/>
    <w:rsid w:val="1C112A19"/>
    <w:rsid w:val="1C224C26"/>
    <w:rsid w:val="1C281B11"/>
    <w:rsid w:val="1C35495A"/>
    <w:rsid w:val="1C393D1E"/>
    <w:rsid w:val="1C3B7A96"/>
    <w:rsid w:val="1C6C5EA1"/>
    <w:rsid w:val="1C6E5776"/>
    <w:rsid w:val="1C992AC9"/>
    <w:rsid w:val="1C9B22E3"/>
    <w:rsid w:val="1C9E639F"/>
    <w:rsid w:val="1C9F6277"/>
    <w:rsid w:val="1CA05B4B"/>
    <w:rsid w:val="1CAC44F0"/>
    <w:rsid w:val="1CBD04AB"/>
    <w:rsid w:val="1CC7132A"/>
    <w:rsid w:val="1CC950A2"/>
    <w:rsid w:val="1CE7377A"/>
    <w:rsid w:val="1CEB14BC"/>
    <w:rsid w:val="1CF66774"/>
    <w:rsid w:val="1CFF2872"/>
    <w:rsid w:val="1D0E353D"/>
    <w:rsid w:val="1D1463AF"/>
    <w:rsid w:val="1D1806F9"/>
    <w:rsid w:val="1D24052A"/>
    <w:rsid w:val="1D28001A"/>
    <w:rsid w:val="1D306ECF"/>
    <w:rsid w:val="1D392227"/>
    <w:rsid w:val="1D3C5874"/>
    <w:rsid w:val="1D3F5364"/>
    <w:rsid w:val="1D464944"/>
    <w:rsid w:val="1D596426"/>
    <w:rsid w:val="1D5976E8"/>
    <w:rsid w:val="1D5F77B4"/>
    <w:rsid w:val="1D62418B"/>
    <w:rsid w:val="1D660B43"/>
    <w:rsid w:val="1D8611E5"/>
    <w:rsid w:val="1D8A2A83"/>
    <w:rsid w:val="1DAB29F9"/>
    <w:rsid w:val="1DB00010"/>
    <w:rsid w:val="1DB7314C"/>
    <w:rsid w:val="1DC046F7"/>
    <w:rsid w:val="1DE101C9"/>
    <w:rsid w:val="1DE32193"/>
    <w:rsid w:val="1DE63A32"/>
    <w:rsid w:val="1DEF0B38"/>
    <w:rsid w:val="1DFC3255"/>
    <w:rsid w:val="1DFE521F"/>
    <w:rsid w:val="1E262080"/>
    <w:rsid w:val="1E42335E"/>
    <w:rsid w:val="1E447858"/>
    <w:rsid w:val="1E4569AA"/>
    <w:rsid w:val="1E4E595E"/>
    <w:rsid w:val="1E544E3F"/>
    <w:rsid w:val="1E62130A"/>
    <w:rsid w:val="1E62755C"/>
    <w:rsid w:val="1E7E1EBC"/>
    <w:rsid w:val="1E8219AC"/>
    <w:rsid w:val="1E85324A"/>
    <w:rsid w:val="1E917E41"/>
    <w:rsid w:val="1E937715"/>
    <w:rsid w:val="1EA062D6"/>
    <w:rsid w:val="1EA2204E"/>
    <w:rsid w:val="1EB77FDE"/>
    <w:rsid w:val="1EC2624D"/>
    <w:rsid w:val="1ECF44C6"/>
    <w:rsid w:val="1EE12B77"/>
    <w:rsid w:val="1EE837F5"/>
    <w:rsid w:val="1EF503D0"/>
    <w:rsid w:val="1EFC0E50"/>
    <w:rsid w:val="1F0625DD"/>
    <w:rsid w:val="1F06438B"/>
    <w:rsid w:val="1F122D30"/>
    <w:rsid w:val="1F176BD8"/>
    <w:rsid w:val="1F1D3483"/>
    <w:rsid w:val="1F2760B0"/>
    <w:rsid w:val="1F282554"/>
    <w:rsid w:val="1F2D7B6A"/>
    <w:rsid w:val="1F3F164B"/>
    <w:rsid w:val="1F4153C3"/>
    <w:rsid w:val="1F471F94"/>
    <w:rsid w:val="1F494278"/>
    <w:rsid w:val="1F574BE7"/>
    <w:rsid w:val="1F5E41C7"/>
    <w:rsid w:val="1F6966C8"/>
    <w:rsid w:val="1F745799"/>
    <w:rsid w:val="1F9421BE"/>
    <w:rsid w:val="1F9C3EB3"/>
    <w:rsid w:val="1FA12306"/>
    <w:rsid w:val="1FAA740D"/>
    <w:rsid w:val="1FB802C7"/>
    <w:rsid w:val="1FC72A32"/>
    <w:rsid w:val="1FCC16BC"/>
    <w:rsid w:val="1FD224BF"/>
    <w:rsid w:val="1FD61FB0"/>
    <w:rsid w:val="1FDE2C12"/>
    <w:rsid w:val="1FE50445"/>
    <w:rsid w:val="1FFC753C"/>
    <w:rsid w:val="20315438"/>
    <w:rsid w:val="20452C91"/>
    <w:rsid w:val="204A64FA"/>
    <w:rsid w:val="205253AE"/>
    <w:rsid w:val="20717F2A"/>
    <w:rsid w:val="20825C93"/>
    <w:rsid w:val="209239FD"/>
    <w:rsid w:val="20B56069"/>
    <w:rsid w:val="20C91B14"/>
    <w:rsid w:val="20CA13E8"/>
    <w:rsid w:val="20E64474"/>
    <w:rsid w:val="20F05225"/>
    <w:rsid w:val="21090163"/>
    <w:rsid w:val="210F3084"/>
    <w:rsid w:val="21182154"/>
    <w:rsid w:val="211A10FC"/>
    <w:rsid w:val="211A5ECC"/>
    <w:rsid w:val="213A47C0"/>
    <w:rsid w:val="21442F49"/>
    <w:rsid w:val="21464F13"/>
    <w:rsid w:val="214E5B76"/>
    <w:rsid w:val="215F5FD5"/>
    <w:rsid w:val="217C0935"/>
    <w:rsid w:val="218617B3"/>
    <w:rsid w:val="2188552B"/>
    <w:rsid w:val="219204A8"/>
    <w:rsid w:val="21AD0AEE"/>
    <w:rsid w:val="21B64882"/>
    <w:rsid w:val="21B75E11"/>
    <w:rsid w:val="21BA145D"/>
    <w:rsid w:val="21BC537D"/>
    <w:rsid w:val="21BE2CFB"/>
    <w:rsid w:val="21BF6A73"/>
    <w:rsid w:val="21C10A3D"/>
    <w:rsid w:val="21C81DCC"/>
    <w:rsid w:val="21C916A0"/>
    <w:rsid w:val="21D4251F"/>
    <w:rsid w:val="21D67C01"/>
    <w:rsid w:val="21DC13D3"/>
    <w:rsid w:val="21EF55AB"/>
    <w:rsid w:val="22183A83"/>
    <w:rsid w:val="22327245"/>
    <w:rsid w:val="2234120F"/>
    <w:rsid w:val="22405E06"/>
    <w:rsid w:val="22521696"/>
    <w:rsid w:val="22543660"/>
    <w:rsid w:val="226513C9"/>
    <w:rsid w:val="227427BA"/>
    <w:rsid w:val="22806203"/>
    <w:rsid w:val="22833F45"/>
    <w:rsid w:val="228757E3"/>
    <w:rsid w:val="22A419E0"/>
    <w:rsid w:val="22A85759"/>
    <w:rsid w:val="22B42350"/>
    <w:rsid w:val="22C95DFC"/>
    <w:rsid w:val="22C97BAA"/>
    <w:rsid w:val="22CE3412"/>
    <w:rsid w:val="22DD18A7"/>
    <w:rsid w:val="22EE7610"/>
    <w:rsid w:val="22F15352"/>
    <w:rsid w:val="22F62DE2"/>
    <w:rsid w:val="23143A47"/>
    <w:rsid w:val="23166B67"/>
    <w:rsid w:val="232272BA"/>
    <w:rsid w:val="23241284"/>
    <w:rsid w:val="232B2612"/>
    <w:rsid w:val="23320B92"/>
    <w:rsid w:val="233314C7"/>
    <w:rsid w:val="23494431"/>
    <w:rsid w:val="235002CB"/>
    <w:rsid w:val="235C3843"/>
    <w:rsid w:val="237076FE"/>
    <w:rsid w:val="237862B5"/>
    <w:rsid w:val="23A128D5"/>
    <w:rsid w:val="23B048C6"/>
    <w:rsid w:val="23B40A5E"/>
    <w:rsid w:val="23B5012E"/>
    <w:rsid w:val="23BD5235"/>
    <w:rsid w:val="23C245F9"/>
    <w:rsid w:val="23CA7E50"/>
    <w:rsid w:val="23CC5CEE"/>
    <w:rsid w:val="23E66539"/>
    <w:rsid w:val="24213A15"/>
    <w:rsid w:val="24264B88"/>
    <w:rsid w:val="242A28CA"/>
    <w:rsid w:val="24373239"/>
    <w:rsid w:val="243D76F2"/>
    <w:rsid w:val="245E357A"/>
    <w:rsid w:val="246A716A"/>
    <w:rsid w:val="2474515A"/>
    <w:rsid w:val="248024EA"/>
    <w:rsid w:val="24855D52"/>
    <w:rsid w:val="24A86222"/>
    <w:rsid w:val="24AD7057"/>
    <w:rsid w:val="24B77ED6"/>
    <w:rsid w:val="24B959FC"/>
    <w:rsid w:val="24C04FDC"/>
    <w:rsid w:val="24D46CDA"/>
    <w:rsid w:val="24D740D4"/>
    <w:rsid w:val="24DD793C"/>
    <w:rsid w:val="24E94533"/>
    <w:rsid w:val="24FD3B3B"/>
    <w:rsid w:val="250273A3"/>
    <w:rsid w:val="2508705A"/>
    <w:rsid w:val="252E1F46"/>
    <w:rsid w:val="256040C9"/>
    <w:rsid w:val="256A2BF5"/>
    <w:rsid w:val="25714529"/>
    <w:rsid w:val="2584425C"/>
    <w:rsid w:val="2589216E"/>
    <w:rsid w:val="25A17E0A"/>
    <w:rsid w:val="25A26067"/>
    <w:rsid w:val="25BF5294"/>
    <w:rsid w:val="25C24D84"/>
    <w:rsid w:val="25C7239A"/>
    <w:rsid w:val="25D24FC7"/>
    <w:rsid w:val="25E604AD"/>
    <w:rsid w:val="25E84712"/>
    <w:rsid w:val="25E847EB"/>
    <w:rsid w:val="25F018F1"/>
    <w:rsid w:val="25F969F8"/>
    <w:rsid w:val="25FF1B34"/>
    <w:rsid w:val="26062EC3"/>
    <w:rsid w:val="260809E9"/>
    <w:rsid w:val="26325A66"/>
    <w:rsid w:val="26451C3D"/>
    <w:rsid w:val="26543C2E"/>
    <w:rsid w:val="265C0D35"/>
    <w:rsid w:val="265C6F87"/>
    <w:rsid w:val="2663549E"/>
    <w:rsid w:val="268564DD"/>
    <w:rsid w:val="26977FBF"/>
    <w:rsid w:val="26AD1590"/>
    <w:rsid w:val="26CC19EC"/>
    <w:rsid w:val="26CD578F"/>
    <w:rsid w:val="26DB60FD"/>
    <w:rsid w:val="26FD2518"/>
    <w:rsid w:val="27003DB6"/>
    <w:rsid w:val="271B299E"/>
    <w:rsid w:val="271B474C"/>
    <w:rsid w:val="271E248E"/>
    <w:rsid w:val="271E5FEA"/>
    <w:rsid w:val="273B4DEE"/>
    <w:rsid w:val="274041B2"/>
    <w:rsid w:val="27473793"/>
    <w:rsid w:val="275D513D"/>
    <w:rsid w:val="276E12DE"/>
    <w:rsid w:val="27713481"/>
    <w:rsid w:val="277F117F"/>
    <w:rsid w:val="277F4CDB"/>
    <w:rsid w:val="278A3680"/>
    <w:rsid w:val="278D4784"/>
    <w:rsid w:val="27AA5AD0"/>
    <w:rsid w:val="27CC7C71"/>
    <w:rsid w:val="27CE5769"/>
    <w:rsid w:val="27DF39CB"/>
    <w:rsid w:val="27F84A8D"/>
    <w:rsid w:val="28053236"/>
    <w:rsid w:val="28292E99"/>
    <w:rsid w:val="282D0BDB"/>
    <w:rsid w:val="283D6944"/>
    <w:rsid w:val="28445F24"/>
    <w:rsid w:val="285162F7"/>
    <w:rsid w:val="28610884"/>
    <w:rsid w:val="28956780"/>
    <w:rsid w:val="28A80261"/>
    <w:rsid w:val="28AC5B67"/>
    <w:rsid w:val="28AD1D1C"/>
    <w:rsid w:val="28DB0637"/>
    <w:rsid w:val="28E55011"/>
    <w:rsid w:val="29064F88"/>
    <w:rsid w:val="29114058"/>
    <w:rsid w:val="29407507"/>
    <w:rsid w:val="294D58D8"/>
    <w:rsid w:val="296F6FD1"/>
    <w:rsid w:val="29735BFC"/>
    <w:rsid w:val="298727C9"/>
    <w:rsid w:val="29B82726"/>
    <w:rsid w:val="29BD1AEA"/>
    <w:rsid w:val="29BD5F8E"/>
    <w:rsid w:val="29BF1D06"/>
    <w:rsid w:val="2A0E2346"/>
    <w:rsid w:val="2A263B34"/>
    <w:rsid w:val="2A356FC9"/>
    <w:rsid w:val="2A4C2E6E"/>
    <w:rsid w:val="2A554419"/>
    <w:rsid w:val="2A573CED"/>
    <w:rsid w:val="2A612DBE"/>
    <w:rsid w:val="2A81520E"/>
    <w:rsid w:val="2A825E7A"/>
    <w:rsid w:val="2A845E7D"/>
    <w:rsid w:val="2A8645D2"/>
    <w:rsid w:val="2A996AF5"/>
    <w:rsid w:val="2AA42CAA"/>
    <w:rsid w:val="2AA902C1"/>
    <w:rsid w:val="2AAD26AE"/>
    <w:rsid w:val="2AC1597E"/>
    <w:rsid w:val="2AC25682"/>
    <w:rsid w:val="2AC27643"/>
    <w:rsid w:val="2AD57308"/>
    <w:rsid w:val="2AF34750"/>
    <w:rsid w:val="2AF459E0"/>
    <w:rsid w:val="2AF61758"/>
    <w:rsid w:val="2AF823EB"/>
    <w:rsid w:val="2B004385"/>
    <w:rsid w:val="2B073965"/>
    <w:rsid w:val="2B14398C"/>
    <w:rsid w:val="2B17347C"/>
    <w:rsid w:val="2B1C0A93"/>
    <w:rsid w:val="2B1C4F36"/>
    <w:rsid w:val="2B2142FB"/>
    <w:rsid w:val="2B2D0EF2"/>
    <w:rsid w:val="2B34402E"/>
    <w:rsid w:val="2B365FF8"/>
    <w:rsid w:val="2B3C1135"/>
    <w:rsid w:val="2B404781"/>
    <w:rsid w:val="2B4A5600"/>
    <w:rsid w:val="2B5244B4"/>
    <w:rsid w:val="2B540015"/>
    <w:rsid w:val="2B674404"/>
    <w:rsid w:val="2B69017C"/>
    <w:rsid w:val="2B6F32B8"/>
    <w:rsid w:val="2B7B6001"/>
    <w:rsid w:val="2B844FB6"/>
    <w:rsid w:val="2B8F029F"/>
    <w:rsid w:val="2B915868"/>
    <w:rsid w:val="2B940F71"/>
    <w:rsid w:val="2B9B5E5B"/>
    <w:rsid w:val="2BA07916"/>
    <w:rsid w:val="2BA72A52"/>
    <w:rsid w:val="2BA80578"/>
    <w:rsid w:val="2BAF3823"/>
    <w:rsid w:val="2BB1567F"/>
    <w:rsid w:val="2BB94533"/>
    <w:rsid w:val="2BC41856"/>
    <w:rsid w:val="2BDA4BD6"/>
    <w:rsid w:val="2BE121FF"/>
    <w:rsid w:val="2BEE242F"/>
    <w:rsid w:val="2BF35C97"/>
    <w:rsid w:val="2BF81500"/>
    <w:rsid w:val="2BFD2672"/>
    <w:rsid w:val="2BFF288E"/>
    <w:rsid w:val="2C1C51EE"/>
    <w:rsid w:val="2C293467"/>
    <w:rsid w:val="2C332538"/>
    <w:rsid w:val="2C3A5674"/>
    <w:rsid w:val="2C3F2B7C"/>
    <w:rsid w:val="2C484235"/>
    <w:rsid w:val="2C4E1120"/>
    <w:rsid w:val="2C5658DF"/>
    <w:rsid w:val="2C695F59"/>
    <w:rsid w:val="2C6B1CD2"/>
    <w:rsid w:val="2C7D37B3"/>
    <w:rsid w:val="2C842D93"/>
    <w:rsid w:val="2C875551"/>
    <w:rsid w:val="2C931228"/>
    <w:rsid w:val="2C956D4E"/>
    <w:rsid w:val="2CAE7E10"/>
    <w:rsid w:val="2CBD0053"/>
    <w:rsid w:val="2CBE62A5"/>
    <w:rsid w:val="2CC211BA"/>
    <w:rsid w:val="2CC727AB"/>
    <w:rsid w:val="2CD51841"/>
    <w:rsid w:val="2CE37ABA"/>
    <w:rsid w:val="2CE71B53"/>
    <w:rsid w:val="2CE90E48"/>
    <w:rsid w:val="2CEF46B1"/>
    <w:rsid w:val="2CF00429"/>
    <w:rsid w:val="2CF41CC7"/>
    <w:rsid w:val="2D102879"/>
    <w:rsid w:val="2D320A41"/>
    <w:rsid w:val="2D40315E"/>
    <w:rsid w:val="2D46629B"/>
    <w:rsid w:val="2D517119"/>
    <w:rsid w:val="2D67693D"/>
    <w:rsid w:val="2D6D3827"/>
    <w:rsid w:val="2D727090"/>
    <w:rsid w:val="2D80355B"/>
    <w:rsid w:val="2D8172D3"/>
    <w:rsid w:val="2D9E7E85"/>
    <w:rsid w:val="2DA336ED"/>
    <w:rsid w:val="2DA35475"/>
    <w:rsid w:val="2DA52FC1"/>
    <w:rsid w:val="2DA82AB1"/>
    <w:rsid w:val="2DAC07F4"/>
    <w:rsid w:val="2DB33930"/>
    <w:rsid w:val="2DB43204"/>
    <w:rsid w:val="2DB63420"/>
    <w:rsid w:val="2DB66F7C"/>
    <w:rsid w:val="2DCA2A28"/>
    <w:rsid w:val="2DDF2977"/>
    <w:rsid w:val="2DE00249"/>
    <w:rsid w:val="2DF31F7F"/>
    <w:rsid w:val="2DFE0923"/>
    <w:rsid w:val="2E0436E6"/>
    <w:rsid w:val="2E1819E5"/>
    <w:rsid w:val="2E24482E"/>
    <w:rsid w:val="2E262354"/>
    <w:rsid w:val="2E352597"/>
    <w:rsid w:val="2E382087"/>
    <w:rsid w:val="2E4865B6"/>
    <w:rsid w:val="2E4C168F"/>
    <w:rsid w:val="2E67296D"/>
    <w:rsid w:val="2E823302"/>
    <w:rsid w:val="2E9508AA"/>
    <w:rsid w:val="2E954DE4"/>
    <w:rsid w:val="2E9D1EEA"/>
    <w:rsid w:val="2EAB0AAB"/>
    <w:rsid w:val="2EAC037F"/>
    <w:rsid w:val="2EB45BB2"/>
    <w:rsid w:val="2EC41B6D"/>
    <w:rsid w:val="2EC67693"/>
    <w:rsid w:val="2EC8340B"/>
    <w:rsid w:val="2ED3590C"/>
    <w:rsid w:val="2EDE2C2F"/>
    <w:rsid w:val="2EE1627B"/>
    <w:rsid w:val="2EEB534C"/>
    <w:rsid w:val="2EF20488"/>
    <w:rsid w:val="2EF44200"/>
    <w:rsid w:val="2EF75A9F"/>
    <w:rsid w:val="2F0D6B2A"/>
    <w:rsid w:val="2F176141"/>
    <w:rsid w:val="2F2B1BEC"/>
    <w:rsid w:val="2F4A2072"/>
    <w:rsid w:val="2F4B1946"/>
    <w:rsid w:val="2F542EF1"/>
    <w:rsid w:val="2F5E78CC"/>
    <w:rsid w:val="2F633134"/>
    <w:rsid w:val="2F725125"/>
    <w:rsid w:val="2F783D71"/>
    <w:rsid w:val="2F882B9B"/>
    <w:rsid w:val="2F9C03F4"/>
    <w:rsid w:val="2FAD43AF"/>
    <w:rsid w:val="2FB7522E"/>
    <w:rsid w:val="2FC64215"/>
    <w:rsid w:val="2FCF4325"/>
    <w:rsid w:val="2FD8767E"/>
    <w:rsid w:val="2FED0C50"/>
    <w:rsid w:val="2FF40230"/>
    <w:rsid w:val="30000983"/>
    <w:rsid w:val="300C7328"/>
    <w:rsid w:val="30154BB1"/>
    <w:rsid w:val="301829BD"/>
    <w:rsid w:val="30185CCC"/>
    <w:rsid w:val="301A5EE8"/>
    <w:rsid w:val="302F1268"/>
    <w:rsid w:val="303341BC"/>
    <w:rsid w:val="3034062C"/>
    <w:rsid w:val="303A20E7"/>
    <w:rsid w:val="303D1BD7"/>
    <w:rsid w:val="304545E8"/>
    <w:rsid w:val="3049057C"/>
    <w:rsid w:val="304F5466"/>
    <w:rsid w:val="305459C9"/>
    <w:rsid w:val="30647164"/>
    <w:rsid w:val="307A6987"/>
    <w:rsid w:val="309A2B85"/>
    <w:rsid w:val="309A4933"/>
    <w:rsid w:val="309B06AC"/>
    <w:rsid w:val="30A532D8"/>
    <w:rsid w:val="30BA3228"/>
    <w:rsid w:val="30D047F9"/>
    <w:rsid w:val="30DC319E"/>
    <w:rsid w:val="30EE4C7F"/>
    <w:rsid w:val="30F1651D"/>
    <w:rsid w:val="30F414F4"/>
    <w:rsid w:val="30FC739C"/>
    <w:rsid w:val="312A215B"/>
    <w:rsid w:val="31321010"/>
    <w:rsid w:val="3157266D"/>
    <w:rsid w:val="31660CB9"/>
    <w:rsid w:val="316A69FC"/>
    <w:rsid w:val="3185546C"/>
    <w:rsid w:val="3186310A"/>
    <w:rsid w:val="31A33CBC"/>
    <w:rsid w:val="31B71515"/>
    <w:rsid w:val="31C205E6"/>
    <w:rsid w:val="31C746CA"/>
    <w:rsid w:val="31CA749A"/>
    <w:rsid w:val="31CD0D39"/>
    <w:rsid w:val="31D71BB7"/>
    <w:rsid w:val="31D75713"/>
    <w:rsid w:val="31DC0F7C"/>
    <w:rsid w:val="31E3230A"/>
    <w:rsid w:val="31EA3699"/>
    <w:rsid w:val="32024E86"/>
    <w:rsid w:val="32027F33"/>
    <w:rsid w:val="320A3F19"/>
    <w:rsid w:val="320C360F"/>
    <w:rsid w:val="322A7F39"/>
    <w:rsid w:val="32472899"/>
    <w:rsid w:val="32565BFD"/>
    <w:rsid w:val="32650F71"/>
    <w:rsid w:val="326E42CA"/>
    <w:rsid w:val="32877139"/>
    <w:rsid w:val="32892EB1"/>
    <w:rsid w:val="328C0BF4"/>
    <w:rsid w:val="3291620A"/>
    <w:rsid w:val="329A50BF"/>
    <w:rsid w:val="329D755D"/>
    <w:rsid w:val="32B55A55"/>
    <w:rsid w:val="32B67A1F"/>
    <w:rsid w:val="32B75C71"/>
    <w:rsid w:val="32D82BC2"/>
    <w:rsid w:val="32E14A9C"/>
    <w:rsid w:val="32E4633A"/>
    <w:rsid w:val="33042538"/>
    <w:rsid w:val="330864CC"/>
    <w:rsid w:val="33134E71"/>
    <w:rsid w:val="33152997"/>
    <w:rsid w:val="33226E62"/>
    <w:rsid w:val="332826CA"/>
    <w:rsid w:val="33291F9F"/>
    <w:rsid w:val="333C6176"/>
    <w:rsid w:val="33615BDC"/>
    <w:rsid w:val="33661445"/>
    <w:rsid w:val="336C25AC"/>
    <w:rsid w:val="33743B62"/>
    <w:rsid w:val="33775400"/>
    <w:rsid w:val="337C6572"/>
    <w:rsid w:val="338673F1"/>
    <w:rsid w:val="33870B56"/>
    <w:rsid w:val="33977850"/>
    <w:rsid w:val="339A4C4A"/>
    <w:rsid w:val="33AB50A9"/>
    <w:rsid w:val="33AD497E"/>
    <w:rsid w:val="33C05C80"/>
    <w:rsid w:val="33CA19D4"/>
    <w:rsid w:val="33CF6FEA"/>
    <w:rsid w:val="33E07163"/>
    <w:rsid w:val="33E25C38"/>
    <w:rsid w:val="33E32A95"/>
    <w:rsid w:val="33E365F1"/>
    <w:rsid w:val="33E660E2"/>
    <w:rsid w:val="340F73E6"/>
    <w:rsid w:val="34117602"/>
    <w:rsid w:val="342D5ABF"/>
    <w:rsid w:val="3434509F"/>
    <w:rsid w:val="343B467F"/>
    <w:rsid w:val="3448483D"/>
    <w:rsid w:val="34586FDF"/>
    <w:rsid w:val="345B087E"/>
    <w:rsid w:val="346C2A8B"/>
    <w:rsid w:val="346E6803"/>
    <w:rsid w:val="34784F8C"/>
    <w:rsid w:val="34821AC9"/>
    <w:rsid w:val="34931DC5"/>
    <w:rsid w:val="349D0E96"/>
    <w:rsid w:val="34B34216"/>
    <w:rsid w:val="34B955A4"/>
    <w:rsid w:val="34D523DE"/>
    <w:rsid w:val="34E95E89"/>
    <w:rsid w:val="34E97C37"/>
    <w:rsid w:val="34EC3BCC"/>
    <w:rsid w:val="350D601C"/>
    <w:rsid w:val="351B1DBB"/>
    <w:rsid w:val="35262C3A"/>
    <w:rsid w:val="3529097C"/>
    <w:rsid w:val="3538296D"/>
    <w:rsid w:val="35586B6B"/>
    <w:rsid w:val="355F7EFA"/>
    <w:rsid w:val="35614F37"/>
    <w:rsid w:val="356D6BB3"/>
    <w:rsid w:val="35747E49"/>
    <w:rsid w:val="35780FBB"/>
    <w:rsid w:val="35831E3A"/>
    <w:rsid w:val="358A766C"/>
    <w:rsid w:val="358D4A67"/>
    <w:rsid w:val="359032C1"/>
    <w:rsid w:val="35BC534C"/>
    <w:rsid w:val="35CD7559"/>
    <w:rsid w:val="35F25212"/>
    <w:rsid w:val="36050AA1"/>
    <w:rsid w:val="36054F45"/>
    <w:rsid w:val="361361A2"/>
    <w:rsid w:val="36323860"/>
    <w:rsid w:val="3647730B"/>
    <w:rsid w:val="36653C36"/>
    <w:rsid w:val="36783969"/>
    <w:rsid w:val="368E4F3A"/>
    <w:rsid w:val="369462C9"/>
    <w:rsid w:val="36A02BCE"/>
    <w:rsid w:val="36BD75CE"/>
    <w:rsid w:val="36E763F9"/>
    <w:rsid w:val="36EE3C2B"/>
    <w:rsid w:val="36F25C2E"/>
    <w:rsid w:val="370D7608"/>
    <w:rsid w:val="37321D6A"/>
    <w:rsid w:val="373B479E"/>
    <w:rsid w:val="373F4487"/>
    <w:rsid w:val="37533A8E"/>
    <w:rsid w:val="37737C8C"/>
    <w:rsid w:val="3776777C"/>
    <w:rsid w:val="377A101B"/>
    <w:rsid w:val="377E4FAF"/>
    <w:rsid w:val="37906A90"/>
    <w:rsid w:val="379F5E33"/>
    <w:rsid w:val="37A12A17"/>
    <w:rsid w:val="37A12A4B"/>
    <w:rsid w:val="37A4253C"/>
    <w:rsid w:val="37B02C8E"/>
    <w:rsid w:val="37B409D1"/>
    <w:rsid w:val="37C2045E"/>
    <w:rsid w:val="37D2524A"/>
    <w:rsid w:val="37E1109A"/>
    <w:rsid w:val="37E33064"/>
    <w:rsid w:val="37E34E12"/>
    <w:rsid w:val="37E961A0"/>
    <w:rsid w:val="37FE39FA"/>
    <w:rsid w:val="382C4A0B"/>
    <w:rsid w:val="382F62A9"/>
    <w:rsid w:val="38397128"/>
    <w:rsid w:val="38415FDC"/>
    <w:rsid w:val="384B0C09"/>
    <w:rsid w:val="385C6972"/>
    <w:rsid w:val="38606463"/>
    <w:rsid w:val="386A5533"/>
    <w:rsid w:val="386D0B7F"/>
    <w:rsid w:val="3881462B"/>
    <w:rsid w:val="38871C41"/>
    <w:rsid w:val="3894435E"/>
    <w:rsid w:val="38A722E3"/>
    <w:rsid w:val="38AA5930"/>
    <w:rsid w:val="38AC78FA"/>
    <w:rsid w:val="38AD0F49"/>
    <w:rsid w:val="38AD1BFF"/>
    <w:rsid w:val="38AD5420"/>
    <w:rsid w:val="38B22A36"/>
    <w:rsid w:val="38B544F0"/>
    <w:rsid w:val="38BD1B07"/>
    <w:rsid w:val="38EA6BBB"/>
    <w:rsid w:val="38EF77E6"/>
    <w:rsid w:val="38F1355F"/>
    <w:rsid w:val="38F17A02"/>
    <w:rsid w:val="38F96756"/>
    <w:rsid w:val="390C0398"/>
    <w:rsid w:val="393500E5"/>
    <w:rsid w:val="39514D45"/>
    <w:rsid w:val="395C1320"/>
    <w:rsid w:val="39602492"/>
    <w:rsid w:val="39970E48"/>
    <w:rsid w:val="39996ABF"/>
    <w:rsid w:val="39A25A25"/>
    <w:rsid w:val="39A64349"/>
    <w:rsid w:val="39B747A8"/>
    <w:rsid w:val="39C46EC5"/>
    <w:rsid w:val="39C649EB"/>
    <w:rsid w:val="39C80763"/>
    <w:rsid w:val="39D864CC"/>
    <w:rsid w:val="39DC420F"/>
    <w:rsid w:val="39DE1D35"/>
    <w:rsid w:val="39E3734B"/>
    <w:rsid w:val="39E66E3B"/>
    <w:rsid w:val="39ED58C6"/>
    <w:rsid w:val="39F41558"/>
    <w:rsid w:val="39F72DF7"/>
    <w:rsid w:val="39FF372A"/>
    <w:rsid w:val="39FF7EFD"/>
    <w:rsid w:val="3A0D6176"/>
    <w:rsid w:val="3A12378C"/>
    <w:rsid w:val="3A1C0AAF"/>
    <w:rsid w:val="3A1F234D"/>
    <w:rsid w:val="3A255BB6"/>
    <w:rsid w:val="3A2D4A6A"/>
    <w:rsid w:val="3A414F2A"/>
    <w:rsid w:val="3A4A4239"/>
    <w:rsid w:val="3A5008E2"/>
    <w:rsid w:val="3A5244D1"/>
    <w:rsid w:val="3A5E4C24"/>
    <w:rsid w:val="3A6164C2"/>
    <w:rsid w:val="3A695377"/>
    <w:rsid w:val="3A802DEC"/>
    <w:rsid w:val="3A86417A"/>
    <w:rsid w:val="3A987C2E"/>
    <w:rsid w:val="3AA60379"/>
    <w:rsid w:val="3AA80595"/>
    <w:rsid w:val="3AAF547F"/>
    <w:rsid w:val="3AB42A96"/>
    <w:rsid w:val="3AB74334"/>
    <w:rsid w:val="3AB962FE"/>
    <w:rsid w:val="3ABC7B9C"/>
    <w:rsid w:val="3AC0143A"/>
    <w:rsid w:val="3ACC7DDF"/>
    <w:rsid w:val="3AD60C5E"/>
    <w:rsid w:val="3AD66EB0"/>
    <w:rsid w:val="3ADD589B"/>
    <w:rsid w:val="3AE3337B"/>
    <w:rsid w:val="3AE35129"/>
    <w:rsid w:val="3B084B8F"/>
    <w:rsid w:val="3B0E03F8"/>
    <w:rsid w:val="3B0F1368"/>
    <w:rsid w:val="3B187F55"/>
    <w:rsid w:val="3B1B2B15"/>
    <w:rsid w:val="3B3B389F"/>
    <w:rsid w:val="3B4756B8"/>
    <w:rsid w:val="3B64270E"/>
    <w:rsid w:val="3B9A612F"/>
    <w:rsid w:val="3B9B5A04"/>
    <w:rsid w:val="3BAE3989"/>
    <w:rsid w:val="3BB05953"/>
    <w:rsid w:val="3BB55D77"/>
    <w:rsid w:val="3BC431AC"/>
    <w:rsid w:val="3BC907C3"/>
    <w:rsid w:val="3BD66A3C"/>
    <w:rsid w:val="3BEE0229"/>
    <w:rsid w:val="3BFF5F92"/>
    <w:rsid w:val="3C1A6612"/>
    <w:rsid w:val="3C3253AD"/>
    <w:rsid w:val="3C4408C2"/>
    <w:rsid w:val="3C495460"/>
    <w:rsid w:val="3C5207B8"/>
    <w:rsid w:val="3C5938F5"/>
    <w:rsid w:val="3C686727"/>
    <w:rsid w:val="3C7249B6"/>
    <w:rsid w:val="3C744382"/>
    <w:rsid w:val="3C756255"/>
    <w:rsid w:val="3C7D1CAB"/>
    <w:rsid w:val="3CA07775"/>
    <w:rsid w:val="3CB52AF5"/>
    <w:rsid w:val="3CD15B81"/>
    <w:rsid w:val="3CD1792F"/>
    <w:rsid w:val="3CE5162C"/>
    <w:rsid w:val="3CFC0724"/>
    <w:rsid w:val="3D037D04"/>
    <w:rsid w:val="3D196D3B"/>
    <w:rsid w:val="3D1D2B74"/>
    <w:rsid w:val="3D3305EA"/>
    <w:rsid w:val="3D3B5734"/>
    <w:rsid w:val="3D402D06"/>
    <w:rsid w:val="3D5B544A"/>
    <w:rsid w:val="3D6F0EF6"/>
    <w:rsid w:val="3D89020A"/>
    <w:rsid w:val="3DA45043"/>
    <w:rsid w:val="3DAC3EF8"/>
    <w:rsid w:val="3DB1150E"/>
    <w:rsid w:val="3DC70D32"/>
    <w:rsid w:val="3DD60F75"/>
    <w:rsid w:val="3DDD0555"/>
    <w:rsid w:val="3DDD2303"/>
    <w:rsid w:val="3DE10046"/>
    <w:rsid w:val="3DF00289"/>
    <w:rsid w:val="3E1201FF"/>
    <w:rsid w:val="3E1C2E2C"/>
    <w:rsid w:val="3E1D4DF6"/>
    <w:rsid w:val="3E1D6BA4"/>
    <w:rsid w:val="3E210442"/>
    <w:rsid w:val="3E23240C"/>
    <w:rsid w:val="3E432AAE"/>
    <w:rsid w:val="3E46023E"/>
    <w:rsid w:val="3E611186"/>
    <w:rsid w:val="3E677EB8"/>
    <w:rsid w:val="3E7E7642"/>
    <w:rsid w:val="3E88226F"/>
    <w:rsid w:val="3E8D3D29"/>
    <w:rsid w:val="3EA20D7D"/>
    <w:rsid w:val="3EA572C5"/>
    <w:rsid w:val="3EB017C6"/>
    <w:rsid w:val="3EB07A18"/>
    <w:rsid w:val="3EB92D70"/>
    <w:rsid w:val="3ED61798"/>
    <w:rsid w:val="3EE37DED"/>
    <w:rsid w:val="3EF773F5"/>
    <w:rsid w:val="3EF9316D"/>
    <w:rsid w:val="3F0062A9"/>
    <w:rsid w:val="3F0A537A"/>
    <w:rsid w:val="3F0A7128"/>
    <w:rsid w:val="3F153D9D"/>
    <w:rsid w:val="3F2D72BA"/>
    <w:rsid w:val="3F4343E8"/>
    <w:rsid w:val="3F444ACE"/>
    <w:rsid w:val="3F4C7741"/>
    <w:rsid w:val="3F620D12"/>
    <w:rsid w:val="3F760C61"/>
    <w:rsid w:val="3F7647BE"/>
    <w:rsid w:val="3F8A0269"/>
    <w:rsid w:val="3FA05CDE"/>
    <w:rsid w:val="3FBD5246"/>
    <w:rsid w:val="3FC221B7"/>
    <w:rsid w:val="3FC27A03"/>
    <w:rsid w:val="3FC96FE3"/>
    <w:rsid w:val="3FCC2A3F"/>
    <w:rsid w:val="3FD030C7"/>
    <w:rsid w:val="3FE61943"/>
    <w:rsid w:val="3FEB6F5A"/>
    <w:rsid w:val="3FEC4A80"/>
    <w:rsid w:val="3FFD4EDF"/>
    <w:rsid w:val="40185875"/>
    <w:rsid w:val="401F4E55"/>
    <w:rsid w:val="40306E12"/>
    <w:rsid w:val="40324B88"/>
    <w:rsid w:val="404623E2"/>
    <w:rsid w:val="405745EF"/>
    <w:rsid w:val="40583EC3"/>
    <w:rsid w:val="405B3CA7"/>
    <w:rsid w:val="406C796F"/>
    <w:rsid w:val="406D3E12"/>
    <w:rsid w:val="4084115C"/>
    <w:rsid w:val="409A08EC"/>
    <w:rsid w:val="40A2448B"/>
    <w:rsid w:val="40B03CFF"/>
    <w:rsid w:val="40C96B6F"/>
    <w:rsid w:val="40CB6D8B"/>
    <w:rsid w:val="40D23C76"/>
    <w:rsid w:val="410D4CAE"/>
    <w:rsid w:val="41120516"/>
    <w:rsid w:val="4113345B"/>
    <w:rsid w:val="41135982"/>
    <w:rsid w:val="41232723"/>
    <w:rsid w:val="412D70FE"/>
    <w:rsid w:val="41344930"/>
    <w:rsid w:val="414C7ECC"/>
    <w:rsid w:val="417967E7"/>
    <w:rsid w:val="4185518C"/>
    <w:rsid w:val="41962EF5"/>
    <w:rsid w:val="419E624E"/>
    <w:rsid w:val="41A01FC6"/>
    <w:rsid w:val="41A2189A"/>
    <w:rsid w:val="41B15F81"/>
    <w:rsid w:val="41C45CB4"/>
    <w:rsid w:val="41C932CA"/>
    <w:rsid w:val="41CA7043"/>
    <w:rsid w:val="41CE268F"/>
    <w:rsid w:val="41ED051A"/>
    <w:rsid w:val="41F83BB0"/>
    <w:rsid w:val="42025C92"/>
    <w:rsid w:val="420662CD"/>
    <w:rsid w:val="42102C44"/>
    <w:rsid w:val="42134546"/>
    <w:rsid w:val="421F113C"/>
    <w:rsid w:val="42213E30"/>
    <w:rsid w:val="42291FBB"/>
    <w:rsid w:val="423170C2"/>
    <w:rsid w:val="42350960"/>
    <w:rsid w:val="425B77E2"/>
    <w:rsid w:val="42701998"/>
    <w:rsid w:val="427174BE"/>
    <w:rsid w:val="427A3D75"/>
    <w:rsid w:val="42876CE2"/>
    <w:rsid w:val="428B67D2"/>
    <w:rsid w:val="42A6360C"/>
    <w:rsid w:val="42B06238"/>
    <w:rsid w:val="42B51AA1"/>
    <w:rsid w:val="42B5384F"/>
    <w:rsid w:val="42B86E9B"/>
    <w:rsid w:val="42BC698B"/>
    <w:rsid w:val="42BF022A"/>
    <w:rsid w:val="42C13FA2"/>
    <w:rsid w:val="42C45840"/>
    <w:rsid w:val="42D24401"/>
    <w:rsid w:val="42D31F27"/>
    <w:rsid w:val="42E12896"/>
    <w:rsid w:val="42EA169B"/>
    <w:rsid w:val="42FC322C"/>
    <w:rsid w:val="42FF419F"/>
    <w:rsid w:val="430F7403"/>
    <w:rsid w:val="43144A19"/>
    <w:rsid w:val="431A7B56"/>
    <w:rsid w:val="43317379"/>
    <w:rsid w:val="43354818"/>
    <w:rsid w:val="434A21E9"/>
    <w:rsid w:val="434F7AA6"/>
    <w:rsid w:val="438A6A89"/>
    <w:rsid w:val="438D657A"/>
    <w:rsid w:val="439416B6"/>
    <w:rsid w:val="439873F8"/>
    <w:rsid w:val="43A55671"/>
    <w:rsid w:val="43C33D49"/>
    <w:rsid w:val="43D9356D"/>
    <w:rsid w:val="43E546CD"/>
    <w:rsid w:val="43F81C45"/>
    <w:rsid w:val="44022AC4"/>
    <w:rsid w:val="440B5E1C"/>
    <w:rsid w:val="44116132"/>
    <w:rsid w:val="441B5933"/>
    <w:rsid w:val="442567B2"/>
    <w:rsid w:val="442E5667"/>
    <w:rsid w:val="44453DDE"/>
    <w:rsid w:val="445D5F4C"/>
    <w:rsid w:val="445F6430"/>
    <w:rsid w:val="446E1F07"/>
    <w:rsid w:val="44735770"/>
    <w:rsid w:val="447A4D50"/>
    <w:rsid w:val="447C0AC8"/>
    <w:rsid w:val="447F4114"/>
    <w:rsid w:val="44867251"/>
    <w:rsid w:val="448C5CC4"/>
    <w:rsid w:val="448E4357"/>
    <w:rsid w:val="449F0313"/>
    <w:rsid w:val="44A83586"/>
    <w:rsid w:val="44AB6CB7"/>
    <w:rsid w:val="44EC0221"/>
    <w:rsid w:val="44F71EFD"/>
    <w:rsid w:val="4500510E"/>
    <w:rsid w:val="45036AF3"/>
    <w:rsid w:val="450B1E4C"/>
    <w:rsid w:val="4517434D"/>
    <w:rsid w:val="453168C3"/>
    <w:rsid w:val="4545710C"/>
    <w:rsid w:val="45605CF4"/>
    <w:rsid w:val="457235DD"/>
    <w:rsid w:val="457A7B12"/>
    <w:rsid w:val="458614D2"/>
    <w:rsid w:val="458A0FC3"/>
    <w:rsid w:val="458D0AB3"/>
    <w:rsid w:val="459040FF"/>
    <w:rsid w:val="45905EAD"/>
    <w:rsid w:val="45A81449"/>
    <w:rsid w:val="45B7168C"/>
    <w:rsid w:val="45BB1D3B"/>
    <w:rsid w:val="45C73FC5"/>
    <w:rsid w:val="45CA13BF"/>
    <w:rsid w:val="45D3158C"/>
    <w:rsid w:val="45F4468E"/>
    <w:rsid w:val="45F8417E"/>
    <w:rsid w:val="46050649"/>
    <w:rsid w:val="46195EA3"/>
    <w:rsid w:val="4631143E"/>
    <w:rsid w:val="46405B25"/>
    <w:rsid w:val="464E0242"/>
    <w:rsid w:val="466C691A"/>
    <w:rsid w:val="46933EA7"/>
    <w:rsid w:val="46AB7443"/>
    <w:rsid w:val="46B34549"/>
    <w:rsid w:val="46B53E1D"/>
    <w:rsid w:val="46C44060"/>
    <w:rsid w:val="46C95B1B"/>
    <w:rsid w:val="46CB3641"/>
    <w:rsid w:val="46CE4EDF"/>
    <w:rsid w:val="46E841F3"/>
    <w:rsid w:val="46F74436"/>
    <w:rsid w:val="46FE3A5D"/>
    <w:rsid w:val="46FF153C"/>
    <w:rsid w:val="472745EF"/>
    <w:rsid w:val="474358CD"/>
    <w:rsid w:val="476A2E5A"/>
    <w:rsid w:val="47990E08"/>
    <w:rsid w:val="479D0583"/>
    <w:rsid w:val="47B41ED5"/>
    <w:rsid w:val="47D05CB3"/>
    <w:rsid w:val="47D06A35"/>
    <w:rsid w:val="47EA7AF7"/>
    <w:rsid w:val="481728B6"/>
    <w:rsid w:val="481D611E"/>
    <w:rsid w:val="481E4FF0"/>
    <w:rsid w:val="482A083B"/>
    <w:rsid w:val="4847319B"/>
    <w:rsid w:val="48495CC2"/>
    <w:rsid w:val="484E277B"/>
    <w:rsid w:val="4851401A"/>
    <w:rsid w:val="485E04E5"/>
    <w:rsid w:val="486024AF"/>
    <w:rsid w:val="486C49B0"/>
    <w:rsid w:val="486E0728"/>
    <w:rsid w:val="48784CC4"/>
    <w:rsid w:val="488F069E"/>
    <w:rsid w:val="488F68F0"/>
    <w:rsid w:val="4897323F"/>
    <w:rsid w:val="48B14AB8"/>
    <w:rsid w:val="48B15FD5"/>
    <w:rsid w:val="48B6702D"/>
    <w:rsid w:val="48C510DF"/>
    <w:rsid w:val="48C60564"/>
    <w:rsid w:val="48CA1A5F"/>
    <w:rsid w:val="48E22EC4"/>
    <w:rsid w:val="49040193"/>
    <w:rsid w:val="49114990"/>
    <w:rsid w:val="492603D9"/>
    <w:rsid w:val="492D05E3"/>
    <w:rsid w:val="493C6A78"/>
    <w:rsid w:val="495518E8"/>
    <w:rsid w:val="49C600F0"/>
    <w:rsid w:val="49C64593"/>
    <w:rsid w:val="49E1317B"/>
    <w:rsid w:val="49FC29AC"/>
    <w:rsid w:val="4A111CB3"/>
    <w:rsid w:val="4A1778D2"/>
    <w:rsid w:val="4A1B043B"/>
    <w:rsid w:val="4A1B7141"/>
    <w:rsid w:val="4A1E1CDA"/>
    <w:rsid w:val="4A1E617D"/>
    <w:rsid w:val="4A275032"/>
    <w:rsid w:val="4A38723F"/>
    <w:rsid w:val="4A3C6604"/>
    <w:rsid w:val="4A4C4A99"/>
    <w:rsid w:val="4A565917"/>
    <w:rsid w:val="4A58343D"/>
    <w:rsid w:val="4A590F64"/>
    <w:rsid w:val="4A606796"/>
    <w:rsid w:val="4A6A3171"/>
    <w:rsid w:val="4A7E6C1C"/>
    <w:rsid w:val="4A8F2BD7"/>
    <w:rsid w:val="4A9106FD"/>
    <w:rsid w:val="4A934476"/>
    <w:rsid w:val="4A995804"/>
    <w:rsid w:val="4A9D70A2"/>
    <w:rsid w:val="4AA448D5"/>
    <w:rsid w:val="4AB10DA0"/>
    <w:rsid w:val="4ABF170F"/>
    <w:rsid w:val="4AC72371"/>
    <w:rsid w:val="4AD66A58"/>
    <w:rsid w:val="4AD8632C"/>
    <w:rsid w:val="4ADA6548"/>
    <w:rsid w:val="4AE64EED"/>
    <w:rsid w:val="4AE81078"/>
    <w:rsid w:val="4AF40C8C"/>
    <w:rsid w:val="4AFB201B"/>
    <w:rsid w:val="4B007631"/>
    <w:rsid w:val="4B296B88"/>
    <w:rsid w:val="4B2B0B52"/>
    <w:rsid w:val="4B3D2633"/>
    <w:rsid w:val="4B427C4A"/>
    <w:rsid w:val="4B4B6AFE"/>
    <w:rsid w:val="4B62209A"/>
    <w:rsid w:val="4B69167A"/>
    <w:rsid w:val="4B6D2F19"/>
    <w:rsid w:val="4B7C13AE"/>
    <w:rsid w:val="4B7C4922"/>
    <w:rsid w:val="4B810772"/>
    <w:rsid w:val="4B840262"/>
    <w:rsid w:val="4B901993"/>
    <w:rsid w:val="4B991F60"/>
    <w:rsid w:val="4B9A5CD8"/>
    <w:rsid w:val="4BB24DCF"/>
    <w:rsid w:val="4BB5041C"/>
    <w:rsid w:val="4BC36FDC"/>
    <w:rsid w:val="4BD25472"/>
    <w:rsid w:val="4BDD4D4C"/>
    <w:rsid w:val="4BE63830"/>
    <w:rsid w:val="4BF7130F"/>
    <w:rsid w:val="4C290139"/>
    <w:rsid w:val="4C2C3581"/>
    <w:rsid w:val="4C3457E4"/>
    <w:rsid w:val="4C370E7A"/>
    <w:rsid w:val="4C3752D5"/>
    <w:rsid w:val="4C465518"/>
    <w:rsid w:val="4C51283A"/>
    <w:rsid w:val="4C5145E8"/>
    <w:rsid w:val="4C5916EF"/>
    <w:rsid w:val="4C5D11DF"/>
    <w:rsid w:val="4C7B3413"/>
    <w:rsid w:val="4C7E4CB1"/>
    <w:rsid w:val="4C891FD4"/>
    <w:rsid w:val="4C9170DB"/>
    <w:rsid w:val="4CA24E44"/>
    <w:rsid w:val="4CA30BBC"/>
    <w:rsid w:val="4CA961D2"/>
    <w:rsid w:val="4CD46FC7"/>
    <w:rsid w:val="4CE0596C"/>
    <w:rsid w:val="4CE511D4"/>
    <w:rsid w:val="4CF66F3E"/>
    <w:rsid w:val="4D04165B"/>
    <w:rsid w:val="4D0F7FFF"/>
    <w:rsid w:val="4D136243"/>
    <w:rsid w:val="4D1A70D0"/>
    <w:rsid w:val="4D275349"/>
    <w:rsid w:val="4D277999"/>
    <w:rsid w:val="4D371A30"/>
    <w:rsid w:val="4D3D2DBF"/>
    <w:rsid w:val="4D714816"/>
    <w:rsid w:val="4D7F6F33"/>
    <w:rsid w:val="4D9E1AAF"/>
    <w:rsid w:val="4DBA61BD"/>
    <w:rsid w:val="4DCE1CA3"/>
    <w:rsid w:val="4DF711BF"/>
    <w:rsid w:val="4E067654"/>
    <w:rsid w:val="4E0D09E3"/>
    <w:rsid w:val="4E10402F"/>
    <w:rsid w:val="4E141D71"/>
    <w:rsid w:val="4E143B1F"/>
    <w:rsid w:val="4E184ECF"/>
    <w:rsid w:val="4E1E499E"/>
    <w:rsid w:val="4E246BF6"/>
    <w:rsid w:val="4E61488B"/>
    <w:rsid w:val="4E6974F8"/>
    <w:rsid w:val="4E6F51FA"/>
    <w:rsid w:val="4E742810"/>
    <w:rsid w:val="4E7B3B9E"/>
    <w:rsid w:val="4E830CA5"/>
    <w:rsid w:val="4E8C4141"/>
    <w:rsid w:val="4E8D38D2"/>
    <w:rsid w:val="4E9E788D"/>
    <w:rsid w:val="4EAF55F6"/>
    <w:rsid w:val="4EB96475"/>
    <w:rsid w:val="4ECD1F20"/>
    <w:rsid w:val="4F041DE6"/>
    <w:rsid w:val="4F0A0A7E"/>
    <w:rsid w:val="4F2204BE"/>
    <w:rsid w:val="4F277882"/>
    <w:rsid w:val="4F2953A8"/>
    <w:rsid w:val="4F3E697A"/>
    <w:rsid w:val="4F4F5912"/>
    <w:rsid w:val="4F5543EF"/>
    <w:rsid w:val="4F622668"/>
    <w:rsid w:val="4F872D32"/>
    <w:rsid w:val="4F8B1B72"/>
    <w:rsid w:val="4F8E7901"/>
    <w:rsid w:val="4F9111A0"/>
    <w:rsid w:val="4F960564"/>
    <w:rsid w:val="4FB9432B"/>
    <w:rsid w:val="4FCB6460"/>
    <w:rsid w:val="4FDA48F5"/>
    <w:rsid w:val="4FDD6193"/>
    <w:rsid w:val="4FF77255"/>
    <w:rsid w:val="4FFB33B9"/>
    <w:rsid w:val="4FFC486B"/>
    <w:rsid w:val="5006393C"/>
    <w:rsid w:val="500A342C"/>
    <w:rsid w:val="501222E0"/>
    <w:rsid w:val="5019366F"/>
    <w:rsid w:val="50194D53"/>
    <w:rsid w:val="50324731"/>
    <w:rsid w:val="50342257"/>
    <w:rsid w:val="504F7091"/>
    <w:rsid w:val="50610B72"/>
    <w:rsid w:val="506B7C43"/>
    <w:rsid w:val="508F0A57"/>
    <w:rsid w:val="50942CF5"/>
    <w:rsid w:val="50A0169A"/>
    <w:rsid w:val="50B43398"/>
    <w:rsid w:val="50C35389"/>
    <w:rsid w:val="50CC248F"/>
    <w:rsid w:val="51087240"/>
    <w:rsid w:val="51142088"/>
    <w:rsid w:val="51234079"/>
    <w:rsid w:val="512A6844"/>
    <w:rsid w:val="51383FC9"/>
    <w:rsid w:val="513C382A"/>
    <w:rsid w:val="513D513B"/>
    <w:rsid w:val="514209A3"/>
    <w:rsid w:val="514566E6"/>
    <w:rsid w:val="51516E38"/>
    <w:rsid w:val="515406D7"/>
    <w:rsid w:val="51764AF1"/>
    <w:rsid w:val="517843C5"/>
    <w:rsid w:val="51874608"/>
    <w:rsid w:val="51917235"/>
    <w:rsid w:val="519D3E2C"/>
    <w:rsid w:val="51BA49DE"/>
    <w:rsid w:val="51D07D5D"/>
    <w:rsid w:val="51DF2696"/>
    <w:rsid w:val="51DF4444"/>
    <w:rsid w:val="51E97071"/>
    <w:rsid w:val="51EE4687"/>
    <w:rsid w:val="51F53C68"/>
    <w:rsid w:val="51FD48CA"/>
    <w:rsid w:val="520C5608"/>
    <w:rsid w:val="5212481A"/>
    <w:rsid w:val="522B1438"/>
    <w:rsid w:val="522D3402"/>
    <w:rsid w:val="522E0F28"/>
    <w:rsid w:val="52377DDC"/>
    <w:rsid w:val="52383B54"/>
    <w:rsid w:val="52412A09"/>
    <w:rsid w:val="5245699D"/>
    <w:rsid w:val="52497B10"/>
    <w:rsid w:val="52500E9E"/>
    <w:rsid w:val="525564B4"/>
    <w:rsid w:val="52750905"/>
    <w:rsid w:val="528079D5"/>
    <w:rsid w:val="528A593B"/>
    <w:rsid w:val="5292492B"/>
    <w:rsid w:val="5294522F"/>
    <w:rsid w:val="529B60BF"/>
    <w:rsid w:val="52AE4858"/>
    <w:rsid w:val="52AF3E17"/>
    <w:rsid w:val="52BE405A"/>
    <w:rsid w:val="52D01FDF"/>
    <w:rsid w:val="52E2243E"/>
    <w:rsid w:val="52E71802"/>
    <w:rsid w:val="52E87329"/>
    <w:rsid w:val="52EF6909"/>
    <w:rsid w:val="52F201A7"/>
    <w:rsid w:val="52F537F4"/>
    <w:rsid w:val="52FD1026"/>
    <w:rsid w:val="530A729F"/>
    <w:rsid w:val="530D444F"/>
    <w:rsid w:val="53116998"/>
    <w:rsid w:val="53145E0C"/>
    <w:rsid w:val="53165C44"/>
    <w:rsid w:val="531820F6"/>
    <w:rsid w:val="531A2310"/>
    <w:rsid w:val="531E132F"/>
    <w:rsid w:val="532D4A8B"/>
    <w:rsid w:val="53346A12"/>
    <w:rsid w:val="53446C55"/>
    <w:rsid w:val="534E5504"/>
    <w:rsid w:val="534F1156"/>
    <w:rsid w:val="5367649F"/>
    <w:rsid w:val="536C5EBC"/>
    <w:rsid w:val="5373753A"/>
    <w:rsid w:val="537B38A5"/>
    <w:rsid w:val="538452A3"/>
    <w:rsid w:val="538C4158"/>
    <w:rsid w:val="538F59F6"/>
    <w:rsid w:val="53933738"/>
    <w:rsid w:val="53964FD7"/>
    <w:rsid w:val="53AC47FA"/>
    <w:rsid w:val="53B37937"/>
    <w:rsid w:val="53C733E2"/>
    <w:rsid w:val="53D578AD"/>
    <w:rsid w:val="53E21FCA"/>
    <w:rsid w:val="53E765FA"/>
    <w:rsid w:val="53EA0E7E"/>
    <w:rsid w:val="53FC752F"/>
    <w:rsid w:val="54085ED4"/>
    <w:rsid w:val="540E1011"/>
    <w:rsid w:val="541F4FCC"/>
    <w:rsid w:val="542425E2"/>
    <w:rsid w:val="54370568"/>
    <w:rsid w:val="544B4013"/>
    <w:rsid w:val="548C422E"/>
    <w:rsid w:val="548D0188"/>
    <w:rsid w:val="548F2152"/>
    <w:rsid w:val="54907C78"/>
    <w:rsid w:val="54C6369A"/>
    <w:rsid w:val="54CF69F2"/>
    <w:rsid w:val="54DE6C35"/>
    <w:rsid w:val="54FE2E33"/>
    <w:rsid w:val="550A7A2A"/>
    <w:rsid w:val="55110DB9"/>
    <w:rsid w:val="55214D74"/>
    <w:rsid w:val="55322ADD"/>
    <w:rsid w:val="553C395C"/>
    <w:rsid w:val="5543118E"/>
    <w:rsid w:val="5559450E"/>
    <w:rsid w:val="555B0286"/>
    <w:rsid w:val="555B64D8"/>
    <w:rsid w:val="55621614"/>
    <w:rsid w:val="556F5ADF"/>
    <w:rsid w:val="55713605"/>
    <w:rsid w:val="5572737D"/>
    <w:rsid w:val="557355CF"/>
    <w:rsid w:val="557B4484"/>
    <w:rsid w:val="55833339"/>
    <w:rsid w:val="558F3421"/>
    <w:rsid w:val="559455FC"/>
    <w:rsid w:val="55A559A5"/>
    <w:rsid w:val="55A7171D"/>
    <w:rsid w:val="55AC0AE1"/>
    <w:rsid w:val="55BB0D24"/>
    <w:rsid w:val="55C41DD4"/>
    <w:rsid w:val="55C73B6D"/>
    <w:rsid w:val="55C9002C"/>
    <w:rsid w:val="55D50038"/>
    <w:rsid w:val="55DE219A"/>
    <w:rsid w:val="55F36710"/>
    <w:rsid w:val="55F601F2"/>
    <w:rsid w:val="560501F2"/>
    <w:rsid w:val="56051FA0"/>
    <w:rsid w:val="560B1CAC"/>
    <w:rsid w:val="561C2740"/>
    <w:rsid w:val="561F7505"/>
    <w:rsid w:val="5622235F"/>
    <w:rsid w:val="56246DA9"/>
    <w:rsid w:val="563805C7"/>
    <w:rsid w:val="565A053D"/>
    <w:rsid w:val="565D002E"/>
    <w:rsid w:val="567315FF"/>
    <w:rsid w:val="567C6706"/>
    <w:rsid w:val="56892BD1"/>
    <w:rsid w:val="569D042A"/>
    <w:rsid w:val="56A31EE4"/>
    <w:rsid w:val="56C34335"/>
    <w:rsid w:val="570A3D11"/>
    <w:rsid w:val="57120E18"/>
    <w:rsid w:val="571903F8"/>
    <w:rsid w:val="571921A6"/>
    <w:rsid w:val="5726041F"/>
    <w:rsid w:val="572A10E3"/>
    <w:rsid w:val="573F1F55"/>
    <w:rsid w:val="574D00A2"/>
    <w:rsid w:val="574E2D7B"/>
    <w:rsid w:val="57596A47"/>
    <w:rsid w:val="576158FB"/>
    <w:rsid w:val="57734F1B"/>
    <w:rsid w:val="5774562F"/>
    <w:rsid w:val="579655A5"/>
    <w:rsid w:val="579B47D8"/>
    <w:rsid w:val="57C739B1"/>
    <w:rsid w:val="57CA16F3"/>
    <w:rsid w:val="57CC0FC7"/>
    <w:rsid w:val="57EC3417"/>
    <w:rsid w:val="57FE2D12"/>
    <w:rsid w:val="5805272B"/>
    <w:rsid w:val="580544D9"/>
    <w:rsid w:val="582C7CB7"/>
    <w:rsid w:val="58450D79"/>
    <w:rsid w:val="584E5E80"/>
    <w:rsid w:val="58533496"/>
    <w:rsid w:val="5853793A"/>
    <w:rsid w:val="58647451"/>
    <w:rsid w:val="586E207E"/>
    <w:rsid w:val="58767185"/>
    <w:rsid w:val="587C0C3F"/>
    <w:rsid w:val="587F428B"/>
    <w:rsid w:val="5886386C"/>
    <w:rsid w:val="58913FBE"/>
    <w:rsid w:val="58934A68"/>
    <w:rsid w:val="58977368"/>
    <w:rsid w:val="58B008E9"/>
    <w:rsid w:val="58C854D7"/>
    <w:rsid w:val="58D5034F"/>
    <w:rsid w:val="58DE5456"/>
    <w:rsid w:val="58DF2F7C"/>
    <w:rsid w:val="58E862D4"/>
    <w:rsid w:val="591B0458"/>
    <w:rsid w:val="591F33A5"/>
    <w:rsid w:val="592B4413"/>
    <w:rsid w:val="592F3F03"/>
    <w:rsid w:val="593F3A1A"/>
    <w:rsid w:val="59597EA9"/>
    <w:rsid w:val="595A2602"/>
    <w:rsid w:val="596040BD"/>
    <w:rsid w:val="59682F71"/>
    <w:rsid w:val="597E2795"/>
    <w:rsid w:val="5991071A"/>
    <w:rsid w:val="59B241EC"/>
    <w:rsid w:val="59B61F2F"/>
    <w:rsid w:val="59CF1DE7"/>
    <w:rsid w:val="59CF2FF0"/>
    <w:rsid w:val="59E20F76"/>
    <w:rsid w:val="59ED4EE0"/>
    <w:rsid w:val="59EF5441"/>
    <w:rsid w:val="5A032C9A"/>
    <w:rsid w:val="5A0C0E5D"/>
    <w:rsid w:val="5A1D5B0A"/>
    <w:rsid w:val="5A221372"/>
    <w:rsid w:val="5A2450EA"/>
    <w:rsid w:val="5A2C21F1"/>
    <w:rsid w:val="5A3317D1"/>
    <w:rsid w:val="5A3735DC"/>
    <w:rsid w:val="5A43590B"/>
    <w:rsid w:val="5A494B51"/>
    <w:rsid w:val="5A4C2893"/>
    <w:rsid w:val="5A5534F6"/>
    <w:rsid w:val="5A582FE6"/>
    <w:rsid w:val="5A587827"/>
    <w:rsid w:val="5A5D1DF7"/>
    <w:rsid w:val="5A6C4CE3"/>
    <w:rsid w:val="5A7B0A82"/>
    <w:rsid w:val="5A932D1D"/>
    <w:rsid w:val="5AA517B7"/>
    <w:rsid w:val="5AB20948"/>
    <w:rsid w:val="5AB346C0"/>
    <w:rsid w:val="5AC643F3"/>
    <w:rsid w:val="5AD92379"/>
    <w:rsid w:val="5ADA0B74"/>
    <w:rsid w:val="5AE40D1D"/>
    <w:rsid w:val="5AF80325"/>
    <w:rsid w:val="5B062A42"/>
    <w:rsid w:val="5B084A0C"/>
    <w:rsid w:val="5B1C2265"/>
    <w:rsid w:val="5B305D11"/>
    <w:rsid w:val="5B4517BC"/>
    <w:rsid w:val="5B557525"/>
    <w:rsid w:val="5B597015"/>
    <w:rsid w:val="5B6B0AF7"/>
    <w:rsid w:val="5B8A0BEC"/>
    <w:rsid w:val="5B9242D5"/>
    <w:rsid w:val="5BA5225B"/>
    <w:rsid w:val="5BAA161F"/>
    <w:rsid w:val="5BC30933"/>
    <w:rsid w:val="5BD14DFE"/>
    <w:rsid w:val="5BD26DC8"/>
    <w:rsid w:val="5BE72004"/>
    <w:rsid w:val="5BEC7E8A"/>
    <w:rsid w:val="5C074CC3"/>
    <w:rsid w:val="5C125416"/>
    <w:rsid w:val="5C1949F7"/>
    <w:rsid w:val="5C1967A5"/>
    <w:rsid w:val="5C1B076F"/>
    <w:rsid w:val="5C1E3DBB"/>
    <w:rsid w:val="5C361105"/>
    <w:rsid w:val="5C550BA8"/>
    <w:rsid w:val="5C6C4B26"/>
    <w:rsid w:val="5C875E04"/>
    <w:rsid w:val="5C8E2CEF"/>
    <w:rsid w:val="5C902F0B"/>
    <w:rsid w:val="5C936557"/>
    <w:rsid w:val="5C9522CF"/>
    <w:rsid w:val="5C9A545C"/>
    <w:rsid w:val="5C9C18B0"/>
    <w:rsid w:val="5CA2679A"/>
    <w:rsid w:val="5CB457EA"/>
    <w:rsid w:val="5CB564CD"/>
    <w:rsid w:val="5CB762E9"/>
    <w:rsid w:val="5CBD5382"/>
    <w:rsid w:val="5CBF559E"/>
    <w:rsid w:val="5CC012C2"/>
    <w:rsid w:val="5CC46BD5"/>
    <w:rsid w:val="5CC6692D"/>
    <w:rsid w:val="5CCB3F43"/>
    <w:rsid w:val="5CCB7A9F"/>
    <w:rsid w:val="5CDC6150"/>
    <w:rsid w:val="5CEC5C67"/>
    <w:rsid w:val="5CF05758"/>
    <w:rsid w:val="5CFA49D2"/>
    <w:rsid w:val="5CFF3BED"/>
    <w:rsid w:val="5D0E2082"/>
    <w:rsid w:val="5D105DFA"/>
    <w:rsid w:val="5D1721CE"/>
    <w:rsid w:val="5D26561D"/>
    <w:rsid w:val="5D355860"/>
    <w:rsid w:val="5D4B0BE0"/>
    <w:rsid w:val="5D4E18AD"/>
    <w:rsid w:val="5D5757D7"/>
    <w:rsid w:val="5D5C2DED"/>
    <w:rsid w:val="5D706898"/>
    <w:rsid w:val="5D83037A"/>
    <w:rsid w:val="5D852344"/>
    <w:rsid w:val="5D964551"/>
    <w:rsid w:val="5D9702C9"/>
    <w:rsid w:val="5D9A2CAA"/>
    <w:rsid w:val="5DBE7604"/>
    <w:rsid w:val="5DCF35BF"/>
    <w:rsid w:val="5DD010E5"/>
    <w:rsid w:val="5DD129AB"/>
    <w:rsid w:val="5DFE5C52"/>
    <w:rsid w:val="5E0771FD"/>
    <w:rsid w:val="5E087942"/>
    <w:rsid w:val="5E23390B"/>
    <w:rsid w:val="5E273B5A"/>
    <w:rsid w:val="5E282CCF"/>
    <w:rsid w:val="5E39312E"/>
    <w:rsid w:val="5E421FE3"/>
    <w:rsid w:val="5E4E6BDA"/>
    <w:rsid w:val="5E510478"/>
    <w:rsid w:val="5E626464"/>
    <w:rsid w:val="5E79177D"/>
    <w:rsid w:val="5E7B5197"/>
    <w:rsid w:val="5E7E5033"/>
    <w:rsid w:val="5E7E6D93"/>
    <w:rsid w:val="5E8425FB"/>
    <w:rsid w:val="5E850121"/>
    <w:rsid w:val="5E856373"/>
    <w:rsid w:val="5EA22A81"/>
    <w:rsid w:val="5EB10F16"/>
    <w:rsid w:val="5EB86749"/>
    <w:rsid w:val="5EBB32CA"/>
    <w:rsid w:val="5EC40C4A"/>
    <w:rsid w:val="5EC450EE"/>
    <w:rsid w:val="5EC53BE9"/>
    <w:rsid w:val="5ED66BCF"/>
    <w:rsid w:val="5EE25574"/>
    <w:rsid w:val="5F0279C4"/>
    <w:rsid w:val="5F0805D5"/>
    <w:rsid w:val="5F0B4ACB"/>
    <w:rsid w:val="5F1D38C7"/>
    <w:rsid w:val="5F225970"/>
    <w:rsid w:val="5F487ACD"/>
    <w:rsid w:val="5F5244A8"/>
    <w:rsid w:val="5F591D9E"/>
    <w:rsid w:val="5F5D2E4C"/>
    <w:rsid w:val="5F6526F8"/>
    <w:rsid w:val="5F7C32D2"/>
    <w:rsid w:val="5F887EC9"/>
    <w:rsid w:val="5F904FD0"/>
    <w:rsid w:val="5F954394"/>
    <w:rsid w:val="5FB23198"/>
    <w:rsid w:val="5FB24F46"/>
    <w:rsid w:val="5FB707AE"/>
    <w:rsid w:val="5FDA624B"/>
    <w:rsid w:val="5FF53085"/>
    <w:rsid w:val="60274719"/>
    <w:rsid w:val="6028345A"/>
    <w:rsid w:val="602F47E9"/>
    <w:rsid w:val="6037369D"/>
    <w:rsid w:val="603D5158"/>
    <w:rsid w:val="606326E4"/>
    <w:rsid w:val="607062FE"/>
    <w:rsid w:val="609E22A7"/>
    <w:rsid w:val="60A54AAB"/>
    <w:rsid w:val="60AA0313"/>
    <w:rsid w:val="60B13450"/>
    <w:rsid w:val="60C05441"/>
    <w:rsid w:val="60C465E3"/>
    <w:rsid w:val="60D86C2E"/>
    <w:rsid w:val="60DF7FBD"/>
    <w:rsid w:val="60E5134B"/>
    <w:rsid w:val="60F5158E"/>
    <w:rsid w:val="61007F33"/>
    <w:rsid w:val="61086E32"/>
    <w:rsid w:val="610B51F0"/>
    <w:rsid w:val="6110461A"/>
    <w:rsid w:val="6118527D"/>
    <w:rsid w:val="611D2893"/>
    <w:rsid w:val="61265BEC"/>
    <w:rsid w:val="6126799A"/>
    <w:rsid w:val="613025C6"/>
    <w:rsid w:val="61363955"/>
    <w:rsid w:val="61377DF9"/>
    <w:rsid w:val="61573FF7"/>
    <w:rsid w:val="615C33BC"/>
    <w:rsid w:val="61AB4343"/>
    <w:rsid w:val="61AD00BB"/>
    <w:rsid w:val="61B72CE8"/>
    <w:rsid w:val="61BA4CBE"/>
    <w:rsid w:val="61BE5E24"/>
    <w:rsid w:val="61C3168D"/>
    <w:rsid w:val="61C64CD9"/>
    <w:rsid w:val="61D455C2"/>
    <w:rsid w:val="61E0223F"/>
    <w:rsid w:val="61E82EA1"/>
    <w:rsid w:val="61F47A98"/>
    <w:rsid w:val="61F53810"/>
    <w:rsid w:val="6200468F"/>
    <w:rsid w:val="620677CB"/>
    <w:rsid w:val="620A71B1"/>
    <w:rsid w:val="62285994"/>
    <w:rsid w:val="622F287E"/>
    <w:rsid w:val="62436329"/>
    <w:rsid w:val="624B51DE"/>
    <w:rsid w:val="624C78D4"/>
    <w:rsid w:val="62562501"/>
    <w:rsid w:val="62570027"/>
    <w:rsid w:val="62586279"/>
    <w:rsid w:val="6299419B"/>
    <w:rsid w:val="629B7F14"/>
    <w:rsid w:val="62A274F4"/>
    <w:rsid w:val="62B9634E"/>
    <w:rsid w:val="62C0797A"/>
    <w:rsid w:val="62C236F2"/>
    <w:rsid w:val="62C3746A"/>
    <w:rsid w:val="62DE42A4"/>
    <w:rsid w:val="62E93375"/>
    <w:rsid w:val="62EC4C13"/>
    <w:rsid w:val="62EF26C2"/>
    <w:rsid w:val="63035AB9"/>
    <w:rsid w:val="631303F2"/>
    <w:rsid w:val="63247F09"/>
    <w:rsid w:val="632B01B5"/>
    <w:rsid w:val="63312626"/>
    <w:rsid w:val="63400ABB"/>
    <w:rsid w:val="63464323"/>
    <w:rsid w:val="636724EC"/>
    <w:rsid w:val="638B61DA"/>
    <w:rsid w:val="63AF6516"/>
    <w:rsid w:val="63B079EF"/>
    <w:rsid w:val="63EA73A4"/>
    <w:rsid w:val="640227E8"/>
    <w:rsid w:val="640970FF"/>
    <w:rsid w:val="640D4E41"/>
    <w:rsid w:val="641461CF"/>
    <w:rsid w:val="641C6E32"/>
    <w:rsid w:val="642108EC"/>
    <w:rsid w:val="642F4DB7"/>
    <w:rsid w:val="64340620"/>
    <w:rsid w:val="64414AEB"/>
    <w:rsid w:val="64485E79"/>
    <w:rsid w:val="644B5969"/>
    <w:rsid w:val="644F0FB6"/>
    <w:rsid w:val="6451366A"/>
    <w:rsid w:val="64721148"/>
    <w:rsid w:val="647629E6"/>
    <w:rsid w:val="647D446A"/>
    <w:rsid w:val="64917820"/>
    <w:rsid w:val="64A31828"/>
    <w:rsid w:val="64A82DBC"/>
    <w:rsid w:val="64AC465A"/>
    <w:rsid w:val="64C25C2B"/>
    <w:rsid w:val="64D37E39"/>
    <w:rsid w:val="64D616D7"/>
    <w:rsid w:val="64DB4F3F"/>
    <w:rsid w:val="64E831B8"/>
    <w:rsid w:val="64F7067B"/>
    <w:rsid w:val="650A5824"/>
    <w:rsid w:val="651B358E"/>
    <w:rsid w:val="6554084E"/>
    <w:rsid w:val="656C203B"/>
    <w:rsid w:val="657131AE"/>
    <w:rsid w:val="65757142"/>
    <w:rsid w:val="6587477F"/>
    <w:rsid w:val="65AD68DC"/>
    <w:rsid w:val="65B116C2"/>
    <w:rsid w:val="65B36E2C"/>
    <w:rsid w:val="65B512EC"/>
    <w:rsid w:val="65B56D84"/>
    <w:rsid w:val="65D976D1"/>
    <w:rsid w:val="65DE4CE7"/>
    <w:rsid w:val="65E9368C"/>
    <w:rsid w:val="65F067C8"/>
    <w:rsid w:val="65F52FFF"/>
    <w:rsid w:val="65FC6F1B"/>
    <w:rsid w:val="6609788A"/>
    <w:rsid w:val="661912D6"/>
    <w:rsid w:val="662326FA"/>
    <w:rsid w:val="662A7F2C"/>
    <w:rsid w:val="662B15AE"/>
    <w:rsid w:val="662B5A52"/>
    <w:rsid w:val="664B39FF"/>
    <w:rsid w:val="66544FA9"/>
    <w:rsid w:val="665A1E94"/>
    <w:rsid w:val="665B4C91"/>
    <w:rsid w:val="66622FC9"/>
    <w:rsid w:val="666D1BC7"/>
    <w:rsid w:val="666E1FE9"/>
    <w:rsid w:val="66B21CD0"/>
    <w:rsid w:val="66B9305E"/>
    <w:rsid w:val="66C0619B"/>
    <w:rsid w:val="66C51A03"/>
    <w:rsid w:val="66E1177B"/>
    <w:rsid w:val="66E63727"/>
    <w:rsid w:val="66F44096"/>
    <w:rsid w:val="66FE6CC3"/>
    <w:rsid w:val="67002A3B"/>
    <w:rsid w:val="67073DC9"/>
    <w:rsid w:val="6712276E"/>
    <w:rsid w:val="671464E6"/>
    <w:rsid w:val="67185FD7"/>
    <w:rsid w:val="671D031B"/>
    <w:rsid w:val="67346B89"/>
    <w:rsid w:val="674A63AC"/>
    <w:rsid w:val="674C7894"/>
    <w:rsid w:val="674E19F8"/>
    <w:rsid w:val="675114E9"/>
    <w:rsid w:val="6759039D"/>
    <w:rsid w:val="67674868"/>
    <w:rsid w:val="676C1E7F"/>
    <w:rsid w:val="677156E7"/>
    <w:rsid w:val="678C2521"/>
    <w:rsid w:val="67A96C2F"/>
    <w:rsid w:val="67CE0D8B"/>
    <w:rsid w:val="67D77C40"/>
    <w:rsid w:val="67E265E5"/>
    <w:rsid w:val="67E67E83"/>
    <w:rsid w:val="67EC2AFF"/>
    <w:rsid w:val="67FA392E"/>
    <w:rsid w:val="67FD532A"/>
    <w:rsid w:val="68093B71"/>
    <w:rsid w:val="68183DB4"/>
    <w:rsid w:val="682E5386"/>
    <w:rsid w:val="683B2007"/>
    <w:rsid w:val="684A65AD"/>
    <w:rsid w:val="685272C6"/>
    <w:rsid w:val="685C6397"/>
    <w:rsid w:val="6861575B"/>
    <w:rsid w:val="6873723D"/>
    <w:rsid w:val="687B4116"/>
    <w:rsid w:val="688431F8"/>
    <w:rsid w:val="688B27D8"/>
    <w:rsid w:val="68A45648"/>
    <w:rsid w:val="68B00491"/>
    <w:rsid w:val="68B57855"/>
    <w:rsid w:val="68BE495C"/>
    <w:rsid w:val="68DE0B5A"/>
    <w:rsid w:val="68F62348"/>
    <w:rsid w:val="68F77E6E"/>
    <w:rsid w:val="690019AD"/>
    <w:rsid w:val="690A194F"/>
    <w:rsid w:val="692073C4"/>
    <w:rsid w:val="6949691B"/>
    <w:rsid w:val="69646BD2"/>
    <w:rsid w:val="698739FF"/>
    <w:rsid w:val="698A0CE2"/>
    <w:rsid w:val="698A2A90"/>
    <w:rsid w:val="698C05B6"/>
    <w:rsid w:val="6994390F"/>
    <w:rsid w:val="69AE49D0"/>
    <w:rsid w:val="69B1626F"/>
    <w:rsid w:val="69BA15C7"/>
    <w:rsid w:val="69CE0BCF"/>
    <w:rsid w:val="69DB153D"/>
    <w:rsid w:val="69EE1271"/>
    <w:rsid w:val="69F11CD3"/>
    <w:rsid w:val="69F17296"/>
    <w:rsid w:val="6A06480C"/>
    <w:rsid w:val="6A1B7B8C"/>
    <w:rsid w:val="6A1D56B2"/>
    <w:rsid w:val="6A260A0B"/>
    <w:rsid w:val="6A2B5972"/>
    <w:rsid w:val="6A4E7F61"/>
    <w:rsid w:val="6A5135AE"/>
    <w:rsid w:val="6A537326"/>
    <w:rsid w:val="6A5C442C"/>
    <w:rsid w:val="6A7618A7"/>
    <w:rsid w:val="6A794FDE"/>
    <w:rsid w:val="6A7F14DA"/>
    <w:rsid w:val="6A8219B9"/>
    <w:rsid w:val="6A8614A9"/>
    <w:rsid w:val="6A8676FB"/>
    <w:rsid w:val="6AA81420"/>
    <w:rsid w:val="6ABA55F7"/>
    <w:rsid w:val="6AC87D14"/>
    <w:rsid w:val="6ACB15B2"/>
    <w:rsid w:val="6ACD67BC"/>
    <w:rsid w:val="6AE12B83"/>
    <w:rsid w:val="6AE663EC"/>
    <w:rsid w:val="6AE83F12"/>
    <w:rsid w:val="6AF01018"/>
    <w:rsid w:val="6B0B7C00"/>
    <w:rsid w:val="6B223BDD"/>
    <w:rsid w:val="6B2A62D8"/>
    <w:rsid w:val="6B2F1B41"/>
    <w:rsid w:val="6B32518D"/>
    <w:rsid w:val="6B4A697B"/>
    <w:rsid w:val="6B5F7E02"/>
    <w:rsid w:val="6B6E231B"/>
    <w:rsid w:val="6B6F018F"/>
    <w:rsid w:val="6B737C7F"/>
    <w:rsid w:val="6B7D0AFE"/>
    <w:rsid w:val="6B80414A"/>
    <w:rsid w:val="6B8C2AEF"/>
    <w:rsid w:val="6B8D78C6"/>
    <w:rsid w:val="6B9E2823"/>
    <w:rsid w:val="6BB80B1D"/>
    <w:rsid w:val="6BB838E4"/>
    <w:rsid w:val="6BBA3B00"/>
    <w:rsid w:val="6BC77FCB"/>
    <w:rsid w:val="6BCA1291"/>
    <w:rsid w:val="6BCF6E80"/>
    <w:rsid w:val="6BD66460"/>
    <w:rsid w:val="6BEC358E"/>
    <w:rsid w:val="6BFB3FB8"/>
    <w:rsid w:val="6C075849"/>
    <w:rsid w:val="6C094140"/>
    <w:rsid w:val="6C167B17"/>
    <w:rsid w:val="6C1B20C5"/>
    <w:rsid w:val="6C2814C5"/>
    <w:rsid w:val="6C2D549A"/>
    <w:rsid w:val="6C3F1D6B"/>
    <w:rsid w:val="6C547F14"/>
    <w:rsid w:val="6C5555D7"/>
    <w:rsid w:val="6C613F7C"/>
    <w:rsid w:val="6C847C6A"/>
    <w:rsid w:val="6C8A2F8F"/>
    <w:rsid w:val="6C8B0FF9"/>
    <w:rsid w:val="6C922387"/>
    <w:rsid w:val="6C997714"/>
    <w:rsid w:val="6CA125CA"/>
    <w:rsid w:val="6CB46277"/>
    <w:rsid w:val="6CB467A2"/>
    <w:rsid w:val="6CB87914"/>
    <w:rsid w:val="6CBC7404"/>
    <w:rsid w:val="6CBF6EF4"/>
    <w:rsid w:val="6CD504C6"/>
    <w:rsid w:val="6CD97FB6"/>
    <w:rsid w:val="6CDC7AA6"/>
    <w:rsid w:val="6CDE646F"/>
    <w:rsid w:val="6CE8644B"/>
    <w:rsid w:val="6CEA149D"/>
    <w:rsid w:val="6CED3A62"/>
    <w:rsid w:val="6D132CC6"/>
    <w:rsid w:val="6D192AA9"/>
    <w:rsid w:val="6D1E255B"/>
    <w:rsid w:val="6D21370B"/>
    <w:rsid w:val="6D3D380C"/>
    <w:rsid w:val="6D4A2C62"/>
    <w:rsid w:val="6D4E34AE"/>
    <w:rsid w:val="6D4F64CA"/>
    <w:rsid w:val="6D505D9E"/>
    <w:rsid w:val="6D5647EE"/>
    <w:rsid w:val="6D592EA5"/>
    <w:rsid w:val="6D7652DF"/>
    <w:rsid w:val="6D87079E"/>
    <w:rsid w:val="6D8A7502"/>
    <w:rsid w:val="6D981C1F"/>
    <w:rsid w:val="6DC21E86"/>
    <w:rsid w:val="6DC26C9C"/>
    <w:rsid w:val="6DD4077E"/>
    <w:rsid w:val="6DD52EA5"/>
    <w:rsid w:val="6DD644F6"/>
    <w:rsid w:val="6DE53D4A"/>
    <w:rsid w:val="6DEA61F3"/>
    <w:rsid w:val="6DF64B98"/>
    <w:rsid w:val="6E084582"/>
    <w:rsid w:val="6E217E67"/>
    <w:rsid w:val="6E301E58"/>
    <w:rsid w:val="6E380D0C"/>
    <w:rsid w:val="6E3942B6"/>
    <w:rsid w:val="6E3A4A84"/>
    <w:rsid w:val="6E531FEA"/>
    <w:rsid w:val="6E5518BE"/>
    <w:rsid w:val="6E5B49FB"/>
    <w:rsid w:val="6E6164B5"/>
    <w:rsid w:val="6E657628"/>
    <w:rsid w:val="6E82467D"/>
    <w:rsid w:val="6E867CCA"/>
    <w:rsid w:val="6E931659"/>
    <w:rsid w:val="6EA44B79"/>
    <w:rsid w:val="6EB26D11"/>
    <w:rsid w:val="6EBF31DC"/>
    <w:rsid w:val="6F1C062E"/>
    <w:rsid w:val="6F1C418A"/>
    <w:rsid w:val="6F1E6154"/>
    <w:rsid w:val="6F2F361A"/>
    <w:rsid w:val="6F3B2025"/>
    <w:rsid w:val="6F3F60CB"/>
    <w:rsid w:val="6F435AD5"/>
    <w:rsid w:val="6F563B40"/>
    <w:rsid w:val="6F5F1535"/>
    <w:rsid w:val="6F6B5112"/>
    <w:rsid w:val="6F7C2E7B"/>
    <w:rsid w:val="6FB24AEE"/>
    <w:rsid w:val="6FB72105"/>
    <w:rsid w:val="6FBB1BF5"/>
    <w:rsid w:val="6FBC16F7"/>
    <w:rsid w:val="6FDD600F"/>
    <w:rsid w:val="6FE70C3C"/>
    <w:rsid w:val="6FF234A6"/>
    <w:rsid w:val="6FF7250C"/>
    <w:rsid w:val="6FFD045F"/>
    <w:rsid w:val="7004359C"/>
    <w:rsid w:val="700C2451"/>
    <w:rsid w:val="70147557"/>
    <w:rsid w:val="7016507D"/>
    <w:rsid w:val="70253512"/>
    <w:rsid w:val="702E23C7"/>
    <w:rsid w:val="70455963"/>
    <w:rsid w:val="704E2A69"/>
    <w:rsid w:val="704F7C81"/>
    <w:rsid w:val="705636CC"/>
    <w:rsid w:val="705838E8"/>
    <w:rsid w:val="705B0CE2"/>
    <w:rsid w:val="706109EE"/>
    <w:rsid w:val="706E4EB9"/>
    <w:rsid w:val="707D6EAA"/>
    <w:rsid w:val="707F70C6"/>
    <w:rsid w:val="70812E3F"/>
    <w:rsid w:val="70926DFA"/>
    <w:rsid w:val="70932B72"/>
    <w:rsid w:val="70950698"/>
    <w:rsid w:val="709C1A26"/>
    <w:rsid w:val="70B14DA6"/>
    <w:rsid w:val="70C42D2B"/>
    <w:rsid w:val="70D35634"/>
    <w:rsid w:val="70E84C6C"/>
    <w:rsid w:val="70EE5FFA"/>
    <w:rsid w:val="70F33611"/>
    <w:rsid w:val="71096990"/>
    <w:rsid w:val="710C4B7B"/>
    <w:rsid w:val="71123A97"/>
    <w:rsid w:val="71213CDA"/>
    <w:rsid w:val="71241A1C"/>
    <w:rsid w:val="712F1B12"/>
    <w:rsid w:val="715E0A8A"/>
    <w:rsid w:val="715E4F2E"/>
    <w:rsid w:val="717E737E"/>
    <w:rsid w:val="71844269"/>
    <w:rsid w:val="718A5D23"/>
    <w:rsid w:val="718C1A9B"/>
    <w:rsid w:val="719B7F30"/>
    <w:rsid w:val="71B354E5"/>
    <w:rsid w:val="71B50965"/>
    <w:rsid w:val="71B52674"/>
    <w:rsid w:val="71C034F3"/>
    <w:rsid w:val="71CD79BE"/>
    <w:rsid w:val="71CE4E05"/>
    <w:rsid w:val="71D945B4"/>
    <w:rsid w:val="71EC253A"/>
    <w:rsid w:val="71F72C8D"/>
    <w:rsid w:val="720C2BDC"/>
    <w:rsid w:val="72165809"/>
    <w:rsid w:val="721970A7"/>
    <w:rsid w:val="72203F91"/>
    <w:rsid w:val="722D66AE"/>
    <w:rsid w:val="723313B5"/>
    <w:rsid w:val="72457E9C"/>
    <w:rsid w:val="728704B4"/>
    <w:rsid w:val="729624A5"/>
    <w:rsid w:val="72AE5A41"/>
    <w:rsid w:val="72B656D1"/>
    <w:rsid w:val="72C04D9D"/>
    <w:rsid w:val="72C15774"/>
    <w:rsid w:val="72E17BC5"/>
    <w:rsid w:val="72E41463"/>
    <w:rsid w:val="72FA2A34"/>
    <w:rsid w:val="72FE6518"/>
    <w:rsid w:val="72FF629D"/>
    <w:rsid w:val="73075151"/>
    <w:rsid w:val="73245D03"/>
    <w:rsid w:val="7329331A"/>
    <w:rsid w:val="732B7092"/>
    <w:rsid w:val="73306456"/>
    <w:rsid w:val="73441F01"/>
    <w:rsid w:val="735008A6"/>
    <w:rsid w:val="73505624"/>
    <w:rsid w:val="7366631C"/>
    <w:rsid w:val="73697BBA"/>
    <w:rsid w:val="737E5413"/>
    <w:rsid w:val="73972979"/>
    <w:rsid w:val="73AA26AC"/>
    <w:rsid w:val="73BF5709"/>
    <w:rsid w:val="73CF3EC1"/>
    <w:rsid w:val="73D41CE2"/>
    <w:rsid w:val="73ED2599"/>
    <w:rsid w:val="73F336CD"/>
    <w:rsid w:val="73F43927"/>
    <w:rsid w:val="7407365B"/>
    <w:rsid w:val="74257F85"/>
    <w:rsid w:val="7428537F"/>
    <w:rsid w:val="743E4BA3"/>
    <w:rsid w:val="74416441"/>
    <w:rsid w:val="74455F31"/>
    <w:rsid w:val="7447614D"/>
    <w:rsid w:val="74583EB6"/>
    <w:rsid w:val="745919DD"/>
    <w:rsid w:val="746740F9"/>
    <w:rsid w:val="74933140"/>
    <w:rsid w:val="749E3893"/>
    <w:rsid w:val="74A215D5"/>
    <w:rsid w:val="74A76BEC"/>
    <w:rsid w:val="74AC5FB0"/>
    <w:rsid w:val="74B07CC7"/>
    <w:rsid w:val="74BF3F35"/>
    <w:rsid w:val="74C23A26"/>
    <w:rsid w:val="74CF3A5A"/>
    <w:rsid w:val="74F160B9"/>
    <w:rsid w:val="75093403"/>
    <w:rsid w:val="750C4CA1"/>
    <w:rsid w:val="751A73BE"/>
    <w:rsid w:val="751D0C5C"/>
    <w:rsid w:val="751D6EAE"/>
    <w:rsid w:val="751E0D04"/>
    <w:rsid w:val="7521074C"/>
    <w:rsid w:val="75330480"/>
    <w:rsid w:val="75363ACC"/>
    <w:rsid w:val="7546474E"/>
    <w:rsid w:val="75502DDF"/>
    <w:rsid w:val="755503F6"/>
    <w:rsid w:val="75606B91"/>
    <w:rsid w:val="756E3266"/>
    <w:rsid w:val="75703482"/>
    <w:rsid w:val="75750A98"/>
    <w:rsid w:val="7581743D"/>
    <w:rsid w:val="75882579"/>
    <w:rsid w:val="759C4F67"/>
    <w:rsid w:val="75D94B83"/>
    <w:rsid w:val="75E02E70"/>
    <w:rsid w:val="75E672A0"/>
    <w:rsid w:val="75F040DB"/>
    <w:rsid w:val="75F220E9"/>
    <w:rsid w:val="75F6131C"/>
    <w:rsid w:val="75FC4D15"/>
    <w:rsid w:val="76197675"/>
    <w:rsid w:val="761A519B"/>
    <w:rsid w:val="762304F4"/>
    <w:rsid w:val="76257DC8"/>
    <w:rsid w:val="763224E5"/>
    <w:rsid w:val="763B583E"/>
    <w:rsid w:val="764119F8"/>
    <w:rsid w:val="76452218"/>
    <w:rsid w:val="76460D1E"/>
    <w:rsid w:val="76487F5B"/>
    <w:rsid w:val="764C70B2"/>
    <w:rsid w:val="76522B87"/>
    <w:rsid w:val="76546C8E"/>
    <w:rsid w:val="76766876"/>
    <w:rsid w:val="76790114"/>
    <w:rsid w:val="76992564"/>
    <w:rsid w:val="76AA4771"/>
    <w:rsid w:val="76B850E0"/>
    <w:rsid w:val="76B86E8E"/>
    <w:rsid w:val="76B979DF"/>
    <w:rsid w:val="76C417C0"/>
    <w:rsid w:val="76C6463F"/>
    <w:rsid w:val="76CE54E9"/>
    <w:rsid w:val="76D57A40"/>
    <w:rsid w:val="76E539FB"/>
    <w:rsid w:val="76F37EC6"/>
    <w:rsid w:val="76F61765"/>
    <w:rsid w:val="76FB321F"/>
    <w:rsid w:val="770E6AAE"/>
    <w:rsid w:val="7718792D"/>
    <w:rsid w:val="772E0EFE"/>
    <w:rsid w:val="77690189"/>
    <w:rsid w:val="776C7C79"/>
    <w:rsid w:val="776E579F"/>
    <w:rsid w:val="7782124A"/>
    <w:rsid w:val="77846D70"/>
    <w:rsid w:val="7798281C"/>
    <w:rsid w:val="77A25449"/>
    <w:rsid w:val="77CD6969"/>
    <w:rsid w:val="77DC095A"/>
    <w:rsid w:val="77EE068E"/>
    <w:rsid w:val="77F27E13"/>
    <w:rsid w:val="781C344D"/>
    <w:rsid w:val="782E5248"/>
    <w:rsid w:val="78300CA6"/>
    <w:rsid w:val="783562BD"/>
    <w:rsid w:val="783C589D"/>
    <w:rsid w:val="783E3BE0"/>
    <w:rsid w:val="7840713B"/>
    <w:rsid w:val="784671C6"/>
    <w:rsid w:val="7863107C"/>
    <w:rsid w:val="787D3BB9"/>
    <w:rsid w:val="78815082"/>
    <w:rsid w:val="788B1B55"/>
    <w:rsid w:val="78941620"/>
    <w:rsid w:val="789C2C49"/>
    <w:rsid w:val="78AA049C"/>
    <w:rsid w:val="78AA6CAB"/>
    <w:rsid w:val="78B6564F"/>
    <w:rsid w:val="78BB2C66"/>
    <w:rsid w:val="78BC253A"/>
    <w:rsid w:val="78C22246"/>
    <w:rsid w:val="78C31B1A"/>
    <w:rsid w:val="78DD796B"/>
    <w:rsid w:val="78DE0702"/>
    <w:rsid w:val="78E57CE3"/>
    <w:rsid w:val="79224A93"/>
    <w:rsid w:val="792B7DEB"/>
    <w:rsid w:val="794A5D98"/>
    <w:rsid w:val="79584959"/>
    <w:rsid w:val="79690914"/>
    <w:rsid w:val="797057FE"/>
    <w:rsid w:val="7997722F"/>
    <w:rsid w:val="79A74F98"/>
    <w:rsid w:val="79AD33B5"/>
    <w:rsid w:val="79B55907"/>
    <w:rsid w:val="79C43D9C"/>
    <w:rsid w:val="79D42231"/>
    <w:rsid w:val="79D57D57"/>
    <w:rsid w:val="79E47F9A"/>
    <w:rsid w:val="79F301DD"/>
    <w:rsid w:val="79F44681"/>
    <w:rsid w:val="7A081EDB"/>
    <w:rsid w:val="7A1031EC"/>
    <w:rsid w:val="7A150154"/>
    <w:rsid w:val="7A1A1FC7"/>
    <w:rsid w:val="7A1D3C4A"/>
    <w:rsid w:val="7A4A24F3"/>
    <w:rsid w:val="7A4B0019"/>
    <w:rsid w:val="7A5F5873"/>
    <w:rsid w:val="7A6730A5"/>
    <w:rsid w:val="7A6E0921"/>
    <w:rsid w:val="7A813065"/>
    <w:rsid w:val="7A8F43AA"/>
    <w:rsid w:val="7A942531"/>
    <w:rsid w:val="7A965738"/>
    <w:rsid w:val="7A9B2184"/>
    <w:rsid w:val="7AAD65DE"/>
    <w:rsid w:val="7ABE6A3D"/>
    <w:rsid w:val="7AD41DBD"/>
    <w:rsid w:val="7AD46261"/>
    <w:rsid w:val="7AD93877"/>
    <w:rsid w:val="7AE55D78"/>
    <w:rsid w:val="7B095F0A"/>
    <w:rsid w:val="7B1044DA"/>
    <w:rsid w:val="7B1F379B"/>
    <w:rsid w:val="7B2120E1"/>
    <w:rsid w:val="7B2D4C8F"/>
    <w:rsid w:val="7B364826"/>
    <w:rsid w:val="7B3B008E"/>
    <w:rsid w:val="7B452A8D"/>
    <w:rsid w:val="7B5D1DB2"/>
    <w:rsid w:val="7B735A7A"/>
    <w:rsid w:val="7B8E4662"/>
    <w:rsid w:val="7B9A6B62"/>
    <w:rsid w:val="7BAB0D70"/>
    <w:rsid w:val="7BBF0CBF"/>
    <w:rsid w:val="7BC9569A"/>
    <w:rsid w:val="7BCD518A"/>
    <w:rsid w:val="7BD3521E"/>
    <w:rsid w:val="7BF5023D"/>
    <w:rsid w:val="7BFA3AA5"/>
    <w:rsid w:val="7C091F3A"/>
    <w:rsid w:val="7C0E12FE"/>
    <w:rsid w:val="7C1A7CA3"/>
    <w:rsid w:val="7C211032"/>
    <w:rsid w:val="7C29438A"/>
    <w:rsid w:val="7C345209"/>
    <w:rsid w:val="7C371353"/>
    <w:rsid w:val="7C3C2310"/>
    <w:rsid w:val="7C482A62"/>
    <w:rsid w:val="7C4E5B9F"/>
    <w:rsid w:val="7C6B49A3"/>
    <w:rsid w:val="7C6E0D01"/>
    <w:rsid w:val="7C6F57E2"/>
    <w:rsid w:val="7C835849"/>
    <w:rsid w:val="7C920181"/>
    <w:rsid w:val="7CA37C99"/>
    <w:rsid w:val="7CA83501"/>
    <w:rsid w:val="7CB93960"/>
    <w:rsid w:val="7CC06A9D"/>
    <w:rsid w:val="7CCD3369"/>
    <w:rsid w:val="7CE34539"/>
    <w:rsid w:val="7CEF7382"/>
    <w:rsid w:val="7CFD1A9F"/>
    <w:rsid w:val="7D056BA5"/>
    <w:rsid w:val="7D0E5A5A"/>
    <w:rsid w:val="7D1D4F36"/>
    <w:rsid w:val="7D513B99"/>
    <w:rsid w:val="7D5D253D"/>
    <w:rsid w:val="7D690EE2"/>
    <w:rsid w:val="7D6B2EAC"/>
    <w:rsid w:val="7D6F401F"/>
    <w:rsid w:val="7D731D61"/>
    <w:rsid w:val="7D761851"/>
    <w:rsid w:val="7D845D1C"/>
    <w:rsid w:val="7D9677FD"/>
    <w:rsid w:val="7DA57A41"/>
    <w:rsid w:val="7DC12ACC"/>
    <w:rsid w:val="7DC4436B"/>
    <w:rsid w:val="7DC9372F"/>
    <w:rsid w:val="7DD547CA"/>
    <w:rsid w:val="7DD81BC4"/>
    <w:rsid w:val="7DDC7906"/>
    <w:rsid w:val="7DFF35F5"/>
    <w:rsid w:val="7E035F1C"/>
    <w:rsid w:val="7E046E5D"/>
    <w:rsid w:val="7E123328"/>
    <w:rsid w:val="7E152E18"/>
    <w:rsid w:val="7E17093E"/>
    <w:rsid w:val="7E192908"/>
    <w:rsid w:val="7E424293"/>
    <w:rsid w:val="7E543940"/>
    <w:rsid w:val="7E584AB3"/>
    <w:rsid w:val="7E5971A9"/>
    <w:rsid w:val="7E5C45A3"/>
    <w:rsid w:val="7E6214B1"/>
    <w:rsid w:val="7E694F12"/>
    <w:rsid w:val="7E7E09BD"/>
    <w:rsid w:val="7E7F530E"/>
    <w:rsid w:val="7E843AFA"/>
    <w:rsid w:val="7E9A50CB"/>
    <w:rsid w:val="7E9F26E2"/>
    <w:rsid w:val="7EAA7A04"/>
    <w:rsid w:val="7EB73ECF"/>
    <w:rsid w:val="7EBC6B26"/>
    <w:rsid w:val="7ED405DD"/>
    <w:rsid w:val="7EDC1B88"/>
    <w:rsid w:val="7F01339C"/>
    <w:rsid w:val="7F013C91"/>
    <w:rsid w:val="7F0731C1"/>
    <w:rsid w:val="7F0D1D41"/>
    <w:rsid w:val="7F0F7867"/>
    <w:rsid w:val="7F1629A4"/>
    <w:rsid w:val="7F1C3D32"/>
    <w:rsid w:val="7F2A644F"/>
    <w:rsid w:val="7F3379FA"/>
    <w:rsid w:val="7F5259A6"/>
    <w:rsid w:val="7F673200"/>
    <w:rsid w:val="7F6D458E"/>
    <w:rsid w:val="7F710014"/>
    <w:rsid w:val="7F8A5140"/>
    <w:rsid w:val="7F8F6BFA"/>
    <w:rsid w:val="7F9B734D"/>
    <w:rsid w:val="7FAA7590"/>
    <w:rsid w:val="7FBF303C"/>
    <w:rsid w:val="7FD840FD"/>
    <w:rsid w:val="7FEE56CF"/>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val="0"/>
      <w:kern w:val="44"/>
      <w:sz w:val="32"/>
    </w:rPr>
  </w:style>
  <w:style w:type="paragraph" w:styleId="4">
    <w:name w:val="heading 2"/>
    <w:basedOn w:val="2"/>
    <w:next w:val="1"/>
    <w:unhideWhenUsed/>
    <w:qFormat/>
    <w:uiPriority w:val="0"/>
    <w:pPr>
      <w:keepNext/>
      <w:keepLines/>
      <w:numPr>
        <w:ilvl w:val="0"/>
        <w:numId w:val="1"/>
      </w:numPr>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2"/>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qFormat/>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6491</Words>
  <Characters>15822</Characters>
  <Lines>0</Lines>
  <Paragraphs>0</Paragraphs>
  <TotalTime>240</TotalTime>
  <ScaleCrop>false</ScaleCrop>
  <LinksUpToDate>false</LinksUpToDate>
  <CharactersWithSpaces>16775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2023-03-09T14:01:25Z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