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01/07/2024 – 01/08/2024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Formulation, optimization, and evaluation of non-propellent foam-based formulation for burn wounds treatment.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Distribution Patterns and Antibiotic Resistance Profiles of Bacterial Pathogens Among Patients with Wound Infections in the Jiaxing Region from 2021 to 2023.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Sodium alginate-based nanofibers loaded with Capparis Sepiaria plant extract for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Escherichia coli exopolysaccharides disrupt Pseudomonas aeruginosa biofilm and increase its antibiotic susceptibility.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Evaluation of White Blood Cell Count, Lymphocyte Percentage, Neutrophil Percentage, and Elevated Temperature as Predictors of Wound Infection in Burn Patients.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1" w:tgtFrame="_blank">
            <w:r>
              <w:t xml:space="preserve">Tibial cortex transverse transport surgery improves wound healing in patients with severe type 2 DFUs by activating a systemic immune response: a cross-sectional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2" w:tgtFrame="_blank">
            <w:r>
              <w:t xml:space="preserve">Development of a cellular assay as a personalized model for testing chronic wound therapeutics.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3" w:tgtFrame="_blank">
            <w:r>
              <w:t xml:space="preserve">Low-Level Laser Therapy (LLLT) for Diabetic Foot Ulcer in Uncontrolled Diabetes: A Case Report of Improved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4" w:tgtFrame="_blank">
            <w:r>
              <w:t xml:space="preserve">Molecular characterization of Pseudomonas aeruginosa from diabetic foot infections in Tunisia.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5" w:tgtFrame="_blank">
            <w:r>
              <w:t xml:space="preserve">Risk factors for 30-day hospital readmission in patients with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6" w:tgtFrame="_blank">
            <w:r>
              <w:t xml:space="preserve">Comprehensive infectious diabetic foot ulcer repair through multiple dressing methods, maggot therapy, and vacuum therapy after amputation: A case report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7" w:tgtFrame="_blank">
            <w:r>
              <w:t xml:space="preserve">Effect of Medical Ozone Therapy in Preventing Compromised Nasal Skin in Revision Rhinoplasty.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8" w:tgtFrame="_blank">
            <w:r>
              <w:t xml:space="preserve">Surgical debridement and maggot debridement therapy can survive patient with diabetic foot ulcer after foot trauma: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9" w:tgtFrame="_blank">
            <w:r>
              <w:t xml:space="preserve">Diabetic Foot Osteomyelitis Undergoing Amputation: Epidemiology and Prognostic Factors for Treatment Failure.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0" w:tgtFrame="_blank">
            <w:r>
              <w:t xml:space="preserve">Clinic-mycological spectrum of Candida infection in diabetic foot ulcers in a tertiary care hospital.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1" w:tgtFrame="_blank">
            <w:r>
              <w:t xml:space="preserve">Clinical outcomes in people with diabetes-related foot infections: Analysis from a limb preservation service infection database.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2" w:tgtFrame="_blank">
            <w:r>
              <w:t xml:space="preserve">Analysis of Circulating miRNA Expression Profiles in Type 2 Diabetes Patients with Diabetic Foot Complications.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3" w:tgtFrame="_blank">
            <w:r>
              <w:t xml:space="preserve">Effectiveness of a Glyceryl Trinitrate (GTN) Patch in Preventing Amputation, Improving Pain Control and Reducing the Size of Tissue Loss for a Patient With Critical Limb-Threatening Ischaemia (CLTI).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4" w:tgtFrame="_blank">
            <w:r>
              <w:t xml:space="preserve">Microbiological profile of diabetic foot infections in China and worldwide: a 20-year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5" w:tgtFrame="_blank">
            <w:r>
              <w:t xml:space="preserve">Enhancing diabetic wound healing through anti-bacterial and promoting angiogenesis using dual-functional slow-release microspheres-loaded dermal scaffolds.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6" w:tgtFrame="_blank">
            <w:r>
              <w:t xml:space="preserve">Assessing the influence of rural residence and economic distress on lower extremity risk stratification among diabetic foot ulcer patients utilizing the Wound, Ischemia, and Foot Infection (WIfI) classification system.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7" w:tgtFrame="_blank">
            <w:r>
              <w:t xml:space="preserve">The impact of machine learning on the prediction of diabetic foot ulcers -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8" w:tgtFrame="_blank">
            <w:r>
              <w:t xml:space="preserve">Postbiotic lactobacilli induce cutaneous antimicrobial response and restore the barrier to inhibit the intracellular invasion of Staphylococcus aureus in vitro and ex vivo.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9" w:tgtFrame="_blank">
            <w:r>
              <w:t xml:space="preserve">Integrated management of diabetic foot ulcers (DFU) using a smartphone -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0" w:tgtFrame="_blank">
            <w:r>
              <w:t xml:space="preserve">Engineered exosomes as a prospective therapy for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1" w:tgtFrame="_blank">
            <w:r>
              <w:t xml:space="preserve">Diabetic Foot Osteomyelitis in Patients with and without Peripheral Arterial Disease: Two Different Diseases?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2" w:tgtFrame="_blank">
            <w:r>
              <w:t xml:space="preserve">Depression as a Prognostic Factor in Lower Extremity Amputation for Diabetic Foot: Insights from a Prospective Study on Wound Healing, Infections, and Early Mortality.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3" w:tgtFrame="_blank">
            <w:r>
              <w:t xml:space="preserve">(18)F-FDG whole-body PET/CT for the evaluation of suspected native valve infective endocarditis.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4" w:tgtFrame="_blank">
            <w:r>
              <w:t xml:space="preserve">Trends and prospects in nursing care for diabetic foot: A bibliometric analysis from 2003 to 2023.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5" w:tgtFrame="_blank">
            <w:r>
              <w:t xml:space="preserve">The antimicrobial susceptibility patterns of diabetic foot ulcers in the South African public healthcare sector.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6" w:tgtFrame="_blank">
            <w:r>
              <w:t xml:space="preserve">The diabetic sausage toe: Prevalence, presentation and outcomes.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7" w:tgtFrame="_blank">
            <w:r>
              <w:t xml:space="preserve">What is the agreement between principles and practice of antibiotic stewardship in the management of diabetic foot infection: an in-hospital quality control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8" w:tgtFrame="_blank">
            <w:r>
              <w:t xml:space="preserve">Thermography Research in Diabetic Foot: Insights From a Scopus-Based Bibliometric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9" w:tgtFrame="_blank">
            <w:r>
              <w:t xml:space="preserve">Impact of the COVID-19 Pandemic on Diabetic Foot Patients: A Shift in the Infectious Agent Profile Toward Nonfermentative Gram-Negative Bacilli.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0" w:tgtFrame="_blank">
            <w:r>
              <w:t xml:space="preserve">Sodium-Glucose Transporter 2 Inhibitors in Heart Failure: An Overview of Systematic Reviews.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1" w:tgtFrame="_blank">
            <w:r>
              <w:t xml:space="preserve">Next Steps: Studying Diabetic Foot Infections with Next-Generation Molecular Assays.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2" w:tgtFrame="_blank">
            <w:r>
              <w:t xml:space="preserve">Exploring Photobiomodulation Therapy and Regenerative Medicine for Diabetic Foot Ulcers: Pathogenesis and Multidisciplinary Treatment Approach.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3" w:tgtFrame="_blank">
            <w:r>
              <w:t xml:space="preserve">Molecular immunological mechanisms of impaired wound healing in diabetic foot ulcers (DFU), current therapeutic strategies and future directions.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4" w:tgtFrame="_blank">
            <w:r>
              <w:t xml:space="preserve">Oxidized Cholesterol Derivatives in Fraction B Prepared from Gulf Catfish (Arius bilineatus, Val.) Skin Regulate Calcium Response and Neutrophil Extracellular Traps (NETs) Formation.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5" w:tgtFrame="_blank">
            <w:r>
              <w:t xml:space="preserve">Bacterial Profile and Antimicrobial Resistance Patterns of Diabetic Foot Infections in a Major Research Hospital of Turkey.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6" w:tgtFrame="_blank">
            <w:r>
              <w:t xml:space="preserve">Staphylococcus aureus Is the Predominant Pathogen in Hospitalised Patients with Diabetes-Related Foot Infections: An Australian Perspective.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7" w:tgtFrame="_blank">
            <w:r>
              <w:t xml:space="preserve">Functional Ankle Reconstruction Technique After Total Calcanectomy.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8" w:tgtFrame="_blank">
            <w:r>
              <w:t xml:space="preserve">Response to 'Promoting diabetic foot wound healing through antibiotic bone cement: Focus on ROCK1 protein expression'.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9" w:tgtFrame="_blank">
            <w:r>
              <w:t xml:space="preserve">Common pathogens associated with infected diabetic foot ulcers: A retrospective cohort study in a specialized medical center in Jeddah, Saudi Arabia.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0" w:tgtFrame="_blank">
            <w:r>
              <w:t xml:space="preserve">Evaluating the Efficacy of Topical Phenytoin in the Healing of Neuropathic Diabetic Foot Ulcers: A Comparative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1" w:tgtFrame="_blank">
            <w:r>
              <w:t xml:space="preserve">Obstructed vein delivery of ceftriaxone via poly(vinyl-pyrrolidone)-iodine-chitosan nanofibers for the management of diabetic foot infections and burn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Light-activated conjugated polymer nanoparticles to defeat pathogens associated with bovine mastitis.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Investigation on biofilm composition and virulence traits of S. pseudintermedius isolated from infected and colonized dogs.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Infectious Aspects of Chronic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Biofilm-producing ability of methicillin-resistant Staphylococcus aureus clinically isolated in China.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A microRNA focus on acne.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Genotypic and morphological identification of opportunistic microorganisms in triple-syringe tubing from dental units.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Unveiling the synergy: Biocompatible alginate-cellulose hydrogel loaded with silk fibroin and zinc ferrite nanoparticles for enhanced cell adhesion, and anti-biofilm activity.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Determining the dispersion time in Staphylococcus epidermidis biofilm using physical and molecular approaches.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Cold atmospheric plasma therapy for Malassezia folliculitis: Laboratory investigations and a randomized clinical trial.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Design and synthesis of unique indole-benzosulfonamide oleanolic acid derivatives as potent antibacterial agents against MRSA.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Suppressing the virulence factors of Candida auris with baicalein through multifaceted mechanisms.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Transcriptome Analysis of Human Dermal Cells Infected with Candida auris Identified Unique Pathogenesis/Defensive Mechanisms Particularly Ferroptosis.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Synthesis and Evaluation of Gelatin-Chitosan Biofilms Incorporating Zinc Oxide Nanoparticles and 5-Fluorouracil for Cancer Treatment.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Improving Wound Healing and Infection Control in Long-term Care with Bacterial Fluorescence Imaging.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Staphylococcus aureus in Dairy Industry: Enterotoxin Production, Biofilm Formation, and Use of Lactic Acid Bacteria for Its Biocontrol.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White light-driven enhanced cerium-doped carbon dots activity to combat multidrug-resistant bacterial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Hair removal with a clipper and microbial colonisation prior to knee arthroplasty: a randomised controlled trial.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Bacterial biofilm formation on headpieces of Cochlear implants.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Evaluation of chlorogenic acid and carnosol for anti-efflux pump and anti-biofilm activities against extensively drug-resistant strains of Staphylococcus aureus and Pseudomonas aeruginosa.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Cutibacterium acnes invades submicron osteocyte lacuno-canalicular networks following implant-associated osteomyelitis.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A new topical biotechnological phytocomplex for truncal mild-moderate acne restores skin microbiota balance.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Plasma Photoinactivation of Bacterial Isolated from Blood Donors Skin: Potential of Security Barrier in Transfusional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A multifunctional nanoplatform for precision-guided therapeutic intervention in bacterial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Efficacy of sodium hypochlorite in overcoming antimicrobial resistance and eradicating biofilms in clinical pathogens from pressure ulcers.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Monoolein-Based Wireless Capacitive Sensor for Probing Skin Hydration.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Lentisk (Pistacia lentiscus) Oil Nanoemulsions Loaded with Levofloxacin: Phytochemical Profiles and Antibiofilm Activity against Staphylococcus spp.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Exploring the Surface: Sampling of Potential Skin Cancer Biomarkers Kynurenine and Tryptophan, Studied on 3D Melanocyte and Melanoma Models.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Medical Device-Associated Infections Caused by Biofilm-Forming Microbial Pathogens and Controlling Strategies.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Modification and Synergistic Studies of a Novel Frog Antimicrobial Peptide against Pseudomonas aeruginosa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Bacterial Biofilm on Tissue Expander and Acellular Dermal Graft After Breast Reconstruction.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Screening of the Global Health Priority BoxⓇ reveals potential new disinfectants against the emerging multidrug-resistant pathogen Candida auris.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Electroactive composite biofilms integrating Kombucha, Chlorella and synthetic proteinoid Proto-Brains.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Staphylococcus aureus Proteases: Orchestrators of Skin Inflammation.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Sophoricoside ameliorates methicillin-resistant Staphylococcus aureus-induced acute lung injury by inhibiting Bach1/Akt pathway.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Genomic analysis and identification of a novel superantigen, SargEY, in Staphylococcus argenteus isolated from atopic dermatitis lesions.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Concurrent Presentation of Eczema Herpeticum and Acute Localized Exanthematous Pustulosis in a Patient With Atopic Dermatitis: A Rare Dermatological Convergence.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Distinct prophage gene profiles of Staphylococcus aureus strains from atopic dermatitis patients and healthy individuals.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Unrecognized Cause of Native Valve Infective Endocarditis Due to Staphylococcus aureus: Laser Hair Removal.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Detection of anaerobic and aerobic bacteria from commercial tattoo and permanent makeup inks.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Severe Inflammatory and Disseminated Cutaneous Leishmaniasis in a Pregnant Woman: A Case Report from Portoviejo, Ecuador.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ERG regulates lymphatic vessel specification genes and its deficiency impairs wound healing-associated lymphangiogenesis.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Therapeutic effect of NEO400, perillyl alcohol conjugated to linoleic acid, in a mouse model of UV-induced skin damage.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Differences in the Cellular Immune Response during and after Treatment of Sudanese Patients with Post-kala-azar Dermal Leishmaniasis, and Possible Implications for Outcome.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Evaluation of Ointments with Daldinia eschscholtzii in Wound Healing in an In Vivo Model.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Shh Gene Regulates the Proliferation and Apoptosis of Dermal Papilla Cells to Affect Its Differential Expression in Secondary Hair Follicle Growth Cycle of Cashmere Goats.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Langerhans cells regulate immunity in adulthood by regulating postnatal dermal lymphatic development.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Emergence of novel methicillin resistant Staphylococcus pseudintermedius lineages revealed by whole genome sequencing of isolates from companion animals and humans in Scotland.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The Efficacy of an Alcohol-based Nasal Antiseptic versus Mupirocin or Iodophor for Preventing Surgical Site Infections - A Meta-analysis.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Diagnosis and management of a herpes nipple infection that resulted in neonatal HSV encephalitis.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Staphylococcus aureus screening and preoperative decolonisation with Mupirocin and Chlorhexidine to reduce the risk of surgical site infections in orthopaedic surgery: a pre-post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Photodynamic activation of phytochemical-antibiotic combinations for combatting Staphylococcus aureus from acute wound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Nano-mupirocin as tumor-targeted antibiotic: Physicochemical, immunotoxicological and pharmacokinetic characterization, and effect on gut microbiome.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Comparative Antimicrobial Resistance and Prevalence of Methicillin Resistance in Coagulase-Positive Staphylococci from Conventional and Organic Dairy Farms in South Korea.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New Insights into Pseudomonas spp.-Produced Antibiotics: Genetic Regulation of Biosynthesis and Implementation in Biotechnology.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A randomized controlled trial on hair follicular-derived microtissue for promoting wound healing and alleviating postoperative complications after hair transplantation.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Unlocking Wearable Microbial Fuel Cells for Advanced Wound Infection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A carrier-free, injectable, and self-assembling hydrogel based on carvacrol and glycyrrhizin exhibits high antibacterial activity and enhances healing of MRSA-infected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Self-Adapting Biomass Hydrogel Embodied with miRNA Immunoregulation and Long-Term Bacterial Eradiation for Synergistic Chronic Wound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"All-in-one" self-healing and injectable cationic guar gum hydrogel dressing functionalized by bioactive complexes composed of natural small molecules.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Integrating Cellulose Microfibrils and Ellagitannins from Rambutan Peel with Gelatin for Production of Synergistic Biobased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Films based on TEMPO-oxidized chitosan nanoparticles: Obtaining and potential application as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A Highly Stable, Multifunctional Janus Dressing for Treating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Chitosan microflower-embedded gelatin sponges for advanced wound management and hemostatic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Injectable vancomycin-loaded silk fibroin/methylcellulose containing calcium phosphate-based in situ thermosensitive hydrogel for local treatment of osteomyelitis: Fabrication, characterization, and in vitro performance evaluation.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Highly Compressible, Superabsorbent, and Biocompatible Hybrid Cryogel Constructs Comprising Functionalized Chitosan and St. John's Wort Extract.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Bacterial-Infection-Triggered Release of Antibacterial Aldehyde from Triblock Copolyether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Production and performance evaluation of chitosan/collagen/honey nanofibrous membranes for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Silver nanoparticles loaded triple-layered cellulose-acetate based multifunctional dressing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Stimuli-Responsive Release-Active Dressing: A Promising Solution for Eradicating Biofilm-Mediated Wound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Deferiprone and Gallium-Protoporphyrin Chitogel as an antimicrobial treatment: Preclinical studies demonstrating antimicrobial activity for S. aureus infected cutaneous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Vancomycin-Loaded Sol-Gel System for In Situ Coating of Artificial Bone to Prevent Surgical Site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Nanomotor-hydrogel Delivery System with Enhanced Antibacterial Performance for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Cryogel with Modular and Clickable Building Blocks: Toward the Ultimate Ideal Macroporous Medium for Bacterial Separation.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Facile Preparation of Tough, Puncture-Resistant Antibacterial Polyrotaxane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Structural and optical properties of alginate-based antibacterial dressing with calcium phosphate and zinc oxide for biodegradable wound painting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Spray-assisted layer-by-layer deposition of quaternized chitosan/tannic acid for the construction of multifunctional bio-based nonwoven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Developing and Screening of a Bacteria-Fighting and Moisture-Controlling Coccinia grandis and Poly(vinyl alcohol) Electrospun Nanofibrous Mat.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Thermosensitive Polyhedral Oligomeric Silsesquioxane Hybrid Hydrogel Enhances the Antibacterial Efficiency of Erythromycin in Bacterial Keratitis.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Antimicrobial Hydrogels Based on Cationic Curdlan Derivatives for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Composite with Silver Nanoparticles and Oregano Essential Oil-Loaded Nanoparticles Intended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A biguanide chitosan-based hydrogel adhesive accelerates the healing of bacterial-infected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Multifunctional chitosan-based hydrogels loaded with iridium nanoenzymes for skin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Highly stretchable, self-healing, antibacterial, conductive, and amylopectin-enhanced hydrogels with gallium droplets loading as strain sensors.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In Vitro Biological Evaluation of an Alginate-Based Hydrogel Loaded with Rifampicin for Wound Care.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Electrospun Gelatin Scaffolds with Incorporated Antibiotics for Skin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Antimicrobial Peptide Screening for Designing Custom Bactericidal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Nanocellulose/Nanoporous Silicon Composite Films as a Drug Delivery System.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Mechanical Properties, Drug Release, Biocompatibility, and Antibacterial Activities of Modified Emulsified Gelatin Microsphere Loaded with Gentamicin Composite Calcium Phosphate Bone Cement In Vitro.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Antiparasitic Activity of Isolated Fractions from Parthenium incanum Kunth against the Hemoflagellate Protozoan Trypanosoma cruzi.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Preparation and characterization of amidated pectin-gelatin-oxidized tannic acid hydrogel films supplemented with in-situ reduced silver nanoparticles for wound-dressing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A multifunctional injectable, self-healing, and adhesive hydrogel-based wound dressing stimulated diabetic wound healing with combined reactive oxygen species scavenging, hyperglycemia reducing, and bacteria-killing abilities.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Fast fabrication of "all-in-one" injectable hydrogels as antibiotic alternatives for enhanced bacterial inhibition and accelerating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Self-Crosslinking AuNPs Composite Hydrogel Bolus for Radiophotothermal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Development and characterization of Staphylococcus aureus-hydrogel-based radiation dosimeter.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Chitosan membranes incorporating Aloe vera glycolic extract with joint synthesis of silver nanoparticles for the treatment of skin lesions.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Preparation and potential of chitosan-based/Al(2)O(3) green hydrogel composites for the removal of methyl red dye from simulated solution.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Updates on postinfectious skin rashes in pediatric dermatology.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Prevalence, genetic characteristics, and antimicrobial resistance of staphylococcal isolates from oral cavity and skin surface of healthy individuals in northern Japan.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A novel MALT1 variant in an Egyptian patient presenting with exfoliative dermatitis: a case-based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Mobile genetic element-driven genomic changes in a community-associated methicillin-resistant Staphylococcus aureus clone during its transmission in a regional community outbreak in Japan.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A bacterial ghost vaccine against Aeromonas salmonicida infection in turbot (Scophthalmus maximus).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Panton-Valentine Leukocidin-Positive Staphylococcus aureus in Family and Pet Cat.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Antimicrobial Strategies Proposed for the Treatment of S. pseudintermedius and Other Dermato-Pathogenic Staphylococcus spp. in Companion Animals: A Narrative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Glucose transporter 1 is essential for the resolution of methicillin-resistant S. aureus skin and soft tissue infections.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89/dna.2024.0134" TargetMode="External"/><Relationship Id="rId13" Type="http://schemas.openxmlformats.org/officeDocument/2006/relationships/hyperlink" Target="https://dx.doi.org/10.1016/j.phymed.2024.155846" TargetMode="External"/><Relationship Id="rId14" Type="http://schemas.openxmlformats.org/officeDocument/2006/relationships/hyperlink" Target="https://dx.doi.org/10.1128/msphere.00505-24" TargetMode="External"/><Relationship Id="rId15" Type="http://schemas.openxmlformats.org/officeDocument/2006/relationships/hyperlink" Target="https://dx.doi.org/10.7759/cureus.62199" TargetMode="External"/><Relationship Id="rId16" Type="http://schemas.openxmlformats.org/officeDocument/2006/relationships/hyperlink" Target="https://dx.doi.org/10.1128/spectrum.00915-24" TargetMode="External"/><Relationship Id="rId17" Type="http://schemas.openxmlformats.org/officeDocument/2006/relationships/hyperlink" Target="https://dx.doi.org/10.7759/cureus.62798" TargetMode="External"/><Relationship Id="rId18" Type="http://schemas.openxmlformats.org/officeDocument/2006/relationships/hyperlink" Target="https://dx.doi.org/10.1016/j.xphs.2024.07.004" TargetMode="External"/><Relationship Id="rId19" Type="http://schemas.openxmlformats.org/officeDocument/2006/relationships/hyperlink" Target="https://dx.doi.org/10.2147/IDR.S470401" TargetMode="External"/><Relationship Id="rId20" Type="http://schemas.openxmlformats.org/officeDocument/2006/relationships/hyperlink" Target="https://dx.doi.org/10.1080/09205063.2024.2381375" TargetMode="External"/><Relationship Id="rId21" Type="http://schemas.openxmlformats.org/officeDocument/2006/relationships/hyperlink" Target="https://dx.doi.org/10.1016/j.actbio.2024.07.028" TargetMode="External"/><Relationship Id="rId22" Type="http://schemas.openxmlformats.org/officeDocument/2006/relationships/hyperlink" Target="https://dx.doi.org/10.7759/cureus.63172" TargetMode="External"/><Relationship Id="rId23" Type="http://schemas.openxmlformats.org/officeDocument/2006/relationships/hyperlink" Target="https://dx.doi.org/10.1021/acsami.4c06303" TargetMode="External"/><Relationship Id="rId24" Type="http://schemas.openxmlformats.org/officeDocument/2006/relationships/hyperlink" Target="https://dx.doi.org/10.1016/j.colsurfb.2024.114068" TargetMode="External"/><Relationship Id="rId25" Type="http://schemas.openxmlformats.org/officeDocument/2006/relationships/hyperlink" Target="https://dx.doi.org/10.1021/acsnano.4c02736" TargetMode="External"/><Relationship Id="rId26" Type="http://schemas.openxmlformats.org/officeDocument/2006/relationships/hyperlink" Target="https://dx.doi.org/10.1016/j.ijbiomac.2024.133517" TargetMode="External"/><Relationship Id="rId27" Type="http://schemas.openxmlformats.org/officeDocument/2006/relationships/hyperlink" Target="https://dx.doi.org/10.1021/acs.biomac.4c00227" TargetMode="External"/><Relationship Id="rId28" Type="http://schemas.openxmlformats.org/officeDocument/2006/relationships/hyperlink" Target="https://dx.doi.org/10.1016/j.carres.2024.109203" TargetMode="External"/><Relationship Id="rId29" Type="http://schemas.openxmlformats.org/officeDocument/2006/relationships/hyperlink" Target="https://dx.doi.org/10.1002/adhm.202401345" TargetMode="External"/><Relationship Id="rId30" Type="http://schemas.openxmlformats.org/officeDocument/2006/relationships/hyperlink" Target="https://dx.doi.org/10.1016/j.ijbiomac.2024.133749" TargetMode="External"/><Relationship Id="rId31" Type="http://schemas.openxmlformats.org/officeDocument/2006/relationships/hyperlink" Target="https://dx.doi.org/10.1002/jbm.a.37772" TargetMode="External"/><Relationship Id="rId32" Type="http://schemas.openxmlformats.org/officeDocument/2006/relationships/hyperlink" Target="https://dx.doi.org/10.1021/acs.biomac.4c00496" TargetMode="External"/><Relationship Id="rId33" Type="http://schemas.openxmlformats.org/officeDocument/2006/relationships/hyperlink" Target="https://dx.doi.org/10.1021/acs.biomac.4c00586" TargetMode="External"/><Relationship Id="rId34" Type="http://schemas.openxmlformats.org/officeDocument/2006/relationships/hyperlink" Target="https://dx.doi.org/10.1016/j.ijbiomac.2024.133809" TargetMode="External"/><Relationship Id="rId35" Type="http://schemas.openxmlformats.org/officeDocument/2006/relationships/hyperlink" Target="https://dx.doi.org/10.1016/j.ijbiomac.2024.133837" TargetMode="External"/><Relationship Id="rId36" Type="http://schemas.openxmlformats.org/officeDocument/2006/relationships/hyperlink" Target="https://dx.doi.org/10.1021/acsami.4c09820" TargetMode="External"/><Relationship Id="rId37" Type="http://schemas.openxmlformats.org/officeDocument/2006/relationships/hyperlink" Target="https://dx.doi.org/10.1016/j.ijbiomac.2024.133874" TargetMode="External"/><Relationship Id="rId38" Type="http://schemas.openxmlformats.org/officeDocument/2006/relationships/hyperlink" Target="https://dx.doi.org/10.1002/mabi.202400078" TargetMode="External"/><Relationship Id="rId39" Type="http://schemas.openxmlformats.org/officeDocument/2006/relationships/hyperlink" Target="https://dx.doi.org/10.1021/acs.langmuir.4c01539" TargetMode="External"/><Relationship Id="rId40" Type="http://schemas.openxmlformats.org/officeDocument/2006/relationships/hyperlink" Target="https://dx.doi.org/10.1021/acs.jafc.4c01285" TargetMode="External"/><Relationship Id="rId41" Type="http://schemas.openxmlformats.org/officeDocument/2006/relationships/hyperlink" Target="https://dx.doi.org/10.1021/acsami.4c07045" TargetMode="External"/><Relationship Id="rId42" Type="http://schemas.openxmlformats.org/officeDocument/2006/relationships/hyperlink" Target="https://dx.doi.org/10.1016/j.ijbiomac.2024.133996" TargetMode="External"/><Relationship Id="rId43" Type="http://schemas.openxmlformats.org/officeDocument/2006/relationships/hyperlink" Target="https://dx.doi.org/10.1016/j.ijbiomac.2024.134055" TargetMode="External"/><Relationship Id="rId44" Type="http://schemas.openxmlformats.org/officeDocument/2006/relationships/hyperlink" Target="https://dx.doi.org/10.1021/acsomega.4c03884" TargetMode="External"/><Relationship Id="rId45" Type="http://schemas.openxmlformats.org/officeDocument/2006/relationships/hyperlink" Target="https://dx.doi.org/10.34133/bmr.0033" TargetMode="External"/><Relationship Id="rId46" Type="http://schemas.openxmlformats.org/officeDocument/2006/relationships/hyperlink" Target="https://dx.doi.org/10.3390/gels10070424" TargetMode="External"/><Relationship Id="rId47" Type="http://schemas.openxmlformats.org/officeDocument/2006/relationships/hyperlink" Target="https://dx.doi.org/10.2174/0122117385315666240708060501" TargetMode="External"/><Relationship Id="rId48" Type="http://schemas.openxmlformats.org/officeDocument/2006/relationships/hyperlink" Target="https://dx.doi.org/10.1016/j.carbpol.2024.122397" TargetMode="External"/><Relationship Id="rId49" Type="http://schemas.openxmlformats.org/officeDocument/2006/relationships/hyperlink" Target="https://dx.doi.org/10.1016/j.carbpol.2024.122325" TargetMode="External"/><Relationship Id="rId50" Type="http://schemas.openxmlformats.org/officeDocument/2006/relationships/hyperlink" Target="https://dx.doi.org/10.1016/j.carbpol.2024.122357" TargetMode="External"/><Relationship Id="rId51" Type="http://schemas.openxmlformats.org/officeDocument/2006/relationships/hyperlink" Target="https://dx.doi.org/10.3390/ph17070943" TargetMode="External"/><Relationship Id="rId52" Type="http://schemas.openxmlformats.org/officeDocument/2006/relationships/hyperlink" Target="https://dx.doi.org/10.3390/ph17070851" TargetMode="External"/><Relationship Id="rId53" Type="http://schemas.openxmlformats.org/officeDocument/2006/relationships/hyperlink" Target="https://dx.doi.org/10.3390/pharmaceutics16070860" TargetMode="External"/><Relationship Id="rId54" Type="http://schemas.openxmlformats.org/officeDocument/2006/relationships/hyperlink" Target="https://dx.doi.org/10.3390/polym16142055" TargetMode="External"/><Relationship Id="rId55" Type="http://schemas.openxmlformats.org/officeDocument/2006/relationships/hyperlink" Target="https://dx.doi.org/10.3390/ma17143578" TargetMode="External"/><Relationship Id="rId56" Type="http://schemas.openxmlformats.org/officeDocument/2006/relationships/hyperlink" Target="https://dx.doi.org/10.3390/antibiotics13070622" TargetMode="External"/><Relationship Id="rId57" Type="http://schemas.openxmlformats.org/officeDocument/2006/relationships/hyperlink" Target="https://dx.doi.org/10.1016/j.ijbiomac.2024.134158" TargetMode="External"/><Relationship Id="rId58" Type="http://schemas.openxmlformats.org/officeDocument/2006/relationships/hyperlink" Target="https://dx.doi.org/10.1186/s12951-024-02687-y" TargetMode="External"/><Relationship Id="rId59" Type="http://schemas.openxmlformats.org/officeDocument/2006/relationships/hyperlink" Target="https://dx.doi.org/10.1186/s12951-024-02657-4" TargetMode="External"/><Relationship Id="rId60" Type="http://schemas.openxmlformats.org/officeDocument/2006/relationships/hyperlink" Target="https://dx.doi.org/10.1002/marc.202400285" TargetMode="External"/><Relationship Id="rId61" Type="http://schemas.openxmlformats.org/officeDocument/2006/relationships/hyperlink" Target="https://dx.doi.org/10.1016/j.apradiso.2024.111455" TargetMode="External"/><Relationship Id="rId62" Type="http://schemas.openxmlformats.org/officeDocument/2006/relationships/hyperlink" Target="https://dx.doi.org/10.1007/s13346-024-01683-x" TargetMode="External"/><Relationship Id="rId63" Type="http://schemas.openxmlformats.org/officeDocument/2006/relationships/hyperlink" Target="https://dx.doi.org/10.1007/s11356-024-34347-x" TargetMode="External"/><Relationship Id="rId64" Type="http://schemas.openxmlformats.org/officeDocument/2006/relationships/hyperlink" Target="https://dx.doi.org/10.1128/aem.00276-24" TargetMode="External"/><Relationship Id="rId65" Type="http://schemas.openxmlformats.org/officeDocument/2006/relationships/hyperlink" Target="https://dx.doi.org/10.12659/AJCR.944422" TargetMode="External"/><Relationship Id="rId66" Type="http://schemas.openxmlformats.org/officeDocument/2006/relationships/hyperlink" Target="https://dx.doi.org/10.1002/art.42944" TargetMode="External"/><Relationship Id="rId67" Type="http://schemas.openxmlformats.org/officeDocument/2006/relationships/hyperlink" Target="https://dx.doi.org/10.1111/php.13998" TargetMode="External"/><Relationship Id="rId68" Type="http://schemas.openxmlformats.org/officeDocument/2006/relationships/hyperlink" Target="https://dx.doi.org/10.1007/s44197-024-00270-0" TargetMode="External"/><Relationship Id="rId69" Type="http://schemas.openxmlformats.org/officeDocument/2006/relationships/hyperlink" Target="https://dx.doi.org/10.1089/jmf.2023.0008" TargetMode="External"/><Relationship Id="rId70" Type="http://schemas.openxmlformats.org/officeDocument/2006/relationships/hyperlink" Target="https://dx.doi.org/10.3390/ani14142049" TargetMode="External"/><Relationship Id="rId71" Type="http://schemas.openxmlformats.org/officeDocument/2006/relationships/hyperlink" Target="https://dx.doi.org/10.1101/2024.07.12.603312" TargetMode="External"/><Relationship Id="rId72" Type="http://schemas.openxmlformats.org/officeDocument/2006/relationships/hyperlink" Target="https://dx.doi.org/10.1371/journal.pone.0305211" TargetMode="External"/><Relationship Id="rId73" Type="http://schemas.openxmlformats.org/officeDocument/2006/relationships/hyperlink" Target="https://dx.doi.org/10.1016/j.ajic.2024.07.003" TargetMode="External"/><Relationship Id="rId74" Type="http://schemas.openxmlformats.org/officeDocument/2006/relationships/hyperlink" Target="https://dx.doi.org/10.1136/bcr-2023-257150" TargetMode="External"/><Relationship Id="rId75" Type="http://schemas.openxmlformats.org/officeDocument/2006/relationships/hyperlink" Target="https://dx.doi.org/10.1186/s13756-024-01432-2" TargetMode="External"/><Relationship Id="rId76" Type="http://schemas.openxmlformats.org/officeDocument/2006/relationships/hyperlink" Target="https://dx.doi.org/10.1016/j.jphotobiol.2024.112978" TargetMode="External"/><Relationship Id="rId77" Type="http://schemas.openxmlformats.org/officeDocument/2006/relationships/hyperlink" Target="https://dx.doi.org/10.1016/j.jconrel.2024.07.045" TargetMode="External"/><Relationship Id="rId78" Type="http://schemas.openxmlformats.org/officeDocument/2006/relationships/hyperlink" Target="https://dx.doi.org/10.3390/antibiotics13070617" TargetMode="External"/><Relationship Id="rId79" Type="http://schemas.openxmlformats.org/officeDocument/2006/relationships/hyperlink" Target="https://dx.doi.org/10.3390/antibiotics13070597" TargetMode="External"/><Relationship Id="rId80" Type="http://schemas.openxmlformats.org/officeDocument/2006/relationships/hyperlink" Target="https://dx.doi.org/10.1016/j.bjps.2024.07.003" TargetMode="External"/><Relationship Id="rId81" Type="http://schemas.openxmlformats.org/officeDocument/2006/relationships/hyperlink" Target="https://dx.doi.org/10.1097/JS9.0000000000001897" TargetMode="External"/><Relationship Id="rId82" Type="http://schemas.openxmlformats.org/officeDocument/2006/relationships/hyperlink" Target="https://dx.doi.org/10.1016/j.jid.2024.05.029" TargetMode="External"/><Relationship Id="rId83" Type="http://schemas.openxmlformats.org/officeDocument/2006/relationships/hyperlink" Target="https://dx.doi.org/10.12659/AJCR.944106" TargetMode="External"/><Relationship Id="rId84" Type="http://schemas.openxmlformats.org/officeDocument/2006/relationships/hyperlink" Target="https://dx.doi.org/10.1099/jmm.0.001851" TargetMode="External"/><Relationship Id="rId85" Type="http://schemas.openxmlformats.org/officeDocument/2006/relationships/hyperlink" Target="https://dx.doi.org/10.1016/j.fas.2024.06.003" TargetMode="External"/><Relationship Id="rId86" Type="http://schemas.openxmlformats.org/officeDocument/2006/relationships/hyperlink" Target="https://dx.doi.org/10.1016/j.ijscr.2024.109970" TargetMode="External"/><Relationship Id="rId87" Type="http://schemas.openxmlformats.org/officeDocument/2006/relationships/hyperlink" Target="https://dx.doi.org/10.1007/s00266-024-04244-2" TargetMode="External"/><Relationship Id="rId88" Type="http://schemas.openxmlformats.org/officeDocument/2006/relationships/hyperlink" Target="https://dx.doi.org/10.1016/j.ijscr.2024.109990" TargetMode="External"/><Relationship Id="rId89" Type="http://schemas.openxmlformats.org/officeDocument/2006/relationships/hyperlink" Target="https://dx.doi.org/10.1093/ofid/ofae236" TargetMode="External"/><Relationship Id="rId90" Type="http://schemas.openxmlformats.org/officeDocument/2006/relationships/hyperlink" Target="https://dx.doi.org/10.22034/cmm.2024.345165.1484" TargetMode="External"/><Relationship Id="rId91" Type="http://schemas.openxmlformats.org/officeDocument/2006/relationships/hyperlink" Target="https://dx.doi.org/10.1002/jfa2.12040" TargetMode="External"/><Relationship Id="rId92" Type="http://schemas.openxmlformats.org/officeDocument/2006/relationships/hyperlink" Target="https://dx.doi.org/10.3390/ijms25137078" TargetMode="External"/><Relationship Id="rId93" Type="http://schemas.openxmlformats.org/officeDocument/2006/relationships/hyperlink" Target="https://dx.doi.org/10.7759/cureus.62388" TargetMode="External"/><Relationship Id="rId94" Type="http://schemas.openxmlformats.org/officeDocument/2006/relationships/hyperlink" Target="https://dx.doi.org/10.3389/fendo.2024.1368046" TargetMode="External"/><Relationship Id="rId95" Type="http://schemas.openxmlformats.org/officeDocument/2006/relationships/hyperlink" Target="https://dx.doi.org/10.1016/j.colsurfb.2024.114095" TargetMode="External"/><Relationship Id="rId96" Type="http://schemas.openxmlformats.org/officeDocument/2006/relationships/hyperlink" Target="https://dx.doi.org/10.1016/j.jdiacomp.2024.108814" TargetMode="External"/><Relationship Id="rId97" Type="http://schemas.openxmlformats.org/officeDocument/2006/relationships/hyperlink" Target="https://dx.doi.org/10.1016/j.jtv.2024.07.004" TargetMode="External"/><Relationship Id="rId98" Type="http://schemas.openxmlformats.org/officeDocument/2006/relationships/hyperlink" Target="https://dx.doi.org/10.1096/fj.202400054RR" TargetMode="External"/><Relationship Id="rId99" Type="http://schemas.openxmlformats.org/officeDocument/2006/relationships/hyperlink" Target="https://dx.doi.org/10.1016/j.ijscr.2024.110012" TargetMode="External"/><Relationship Id="rId100" Type="http://schemas.openxmlformats.org/officeDocument/2006/relationships/hyperlink" Target="https://dx.doi.org/10.1093/burnst/tkae023" TargetMode="External"/><Relationship Id="rId101" Type="http://schemas.openxmlformats.org/officeDocument/2006/relationships/hyperlink" Target="https://dx.doi.org/10.1177/15347346241264383" TargetMode="External"/><Relationship Id="rId102" Type="http://schemas.openxmlformats.org/officeDocument/2006/relationships/hyperlink" Target="https://dx.doi.org/10.1053/j.jfas.2024.07.005" TargetMode="External"/><Relationship Id="rId103" Type="http://schemas.openxmlformats.org/officeDocument/2006/relationships/hyperlink" Target="https://dx.doi.org/10.1186/s41824-024-00207-7" TargetMode="External"/><Relationship Id="rId104" Type="http://schemas.openxmlformats.org/officeDocument/2006/relationships/hyperlink" Target="https://dx.doi.org/10.1016/j.jtv.2024.07.008" TargetMode="External"/><Relationship Id="rId105" Type="http://schemas.openxmlformats.org/officeDocument/2006/relationships/hyperlink" Target="https://dx.doi.org/10.7196/SAMJ.2024.v114i6.1131" TargetMode="External"/><Relationship Id="rId106" Type="http://schemas.openxmlformats.org/officeDocument/2006/relationships/hyperlink" Target="https://dx.doi.org/10.1111/iwj.70002" TargetMode="External"/><Relationship Id="rId107" Type="http://schemas.openxmlformats.org/officeDocument/2006/relationships/hyperlink" Target="https://dx.doi.org/10.5194/jbji-9-183-2024" TargetMode="External"/><Relationship Id="rId108" Type="http://schemas.openxmlformats.org/officeDocument/2006/relationships/hyperlink" Target="https://dx.doi.org/10.7759/cureus.62858" TargetMode="External"/><Relationship Id="rId109" Type="http://schemas.openxmlformats.org/officeDocument/2006/relationships/hyperlink" Target="https://dx.doi.org/10.7547/22-073" TargetMode="External"/><Relationship Id="rId110" Type="http://schemas.openxmlformats.org/officeDocument/2006/relationships/hyperlink" Target="https://dx.doi.org/10.3390/jcdd11070198" TargetMode="External"/><Relationship Id="rId111" Type="http://schemas.openxmlformats.org/officeDocument/2006/relationships/hyperlink" Target="https://dx.doi.org/10.1007/s11908-023-00822-8" TargetMode="External"/><Relationship Id="rId112" Type="http://schemas.openxmlformats.org/officeDocument/2006/relationships/hyperlink" Target="https://dx.doi.org/10.34172/jlms.2024.18" TargetMode="External"/><Relationship Id="rId113" Type="http://schemas.openxmlformats.org/officeDocument/2006/relationships/hyperlink" Target="https://dx.doi.org/10.1016/j.intimp.2024.112713" TargetMode="External"/><Relationship Id="rId114" Type="http://schemas.openxmlformats.org/officeDocument/2006/relationships/hyperlink" Target="https://dx.doi.org/10.3390/biomedicines12071380" TargetMode="External"/><Relationship Id="rId115" Type="http://schemas.openxmlformats.org/officeDocument/2006/relationships/hyperlink" Target="https://dx.doi.org/10.3390/antibiotics13070599" TargetMode="External"/><Relationship Id="rId116" Type="http://schemas.openxmlformats.org/officeDocument/2006/relationships/hyperlink" Target="https://dx.doi.org/10.3390/antibiotics13070594" TargetMode="External"/><Relationship Id="rId117" Type="http://schemas.openxmlformats.org/officeDocument/2006/relationships/hyperlink" Target="https://dx.doi.org/10.7547/21-102" TargetMode="External"/><Relationship Id="rId118" Type="http://schemas.openxmlformats.org/officeDocument/2006/relationships/hyperlink" Target="https://dx.doi.org/10.1111/iwj.14955" TargetMode="External"/><Relationship Id="rId119" Type="http://schemas.openxmlformats.org/officeDocument/2006/relationships/hyperlink" Target="https://dx.doi.org/10.4103/jfmpc.jfmpc_12_24" TargetMode="External"/><Relationship Id="rId120" Type="http://schemas.openxmlformats.org/officeDocument/2006/relationships/hyperlink" Target="https://dx.doi.org/10.7759/cureus.63282" TargetMode="External"/><Relationship Id="rId121" Type="http://schemas.openxmlformats.org/officeDocument/2006/relationships/hyperlink" Target="https://dx.doi.org/10.1016/j.ijbiomac.2024.134166" TargetMode="External"/><Relationship Id="rId122" Type="http://schemas.openxmlformats.org/officeDocument/2006/relationships/hyperlink" Target="https://dx.doi.org/10.1016/j.jphotobiol.2024.112971" TargetMode="External"/><Relationship Id="rId123" Type="http://schemas.openxmlformats.org/officeDocument/2006/relationships/hyperlink" Target="https://dx.doi.org/10.1007/s42770-024-01405-y" TargetMode="External"/><Relationship Id="rId124" Type="http://schemas.openxmlformats.org/officeDocument/2006/relationships/hyperlink" Target="https://dx.doi.org/10.1016/j.cger.2024.03.001" TargetMode="External"/><Relationship Id="rId125" Type="http://schemas.openxmlformats.org/officeDocument/2006/relationships/hyperlink" Target="https://dx.doi.org/10.1186/s12866-024-03380-8" TargetMode="External"/><Relationship Id="rId126" Type="http://schemas.openxmlformats.org/officeDocument/2006/relationships/hyperlink" Target="https://dx.doi.org/10.4081/dr.2024.9902" TargetMode="External"/><Relationship Id="rId127" Type="http://schemas.openxmlformats.org/officeDocument/2006/relationships/hyperlink" Target="https://dx.doi.org/10.17219/dmp/161187" TargetMode="External"/><Relationship Id="rId128" Type="http://schemas.openxmlformats.org/officeDocument/2006/relationships/hyperlink" Target="https://dx.doi.org/10.1016/j.ijbiomac.2024.133412" TargetMode="External"/><Relationship Id="rId129" Type="http://schemas.openxmlformats.org/officeDocument/2006/relationships/hyperlink" Target="https://dx.doi.org/10.1016/j.heliyon.2024.e32389" TargetMode="External"/><Relationship Id="rId130" Type="http://schemas.openxmlformats.org/officeDocument/2006/relationships/hyperlink" Target="https://dx.doi.org/10.1111/srt.13850" TargetMode="External"/><Relationship Id="rId131" Type="http://schemas.openxmlformats.org/officeDocument/2006/relationships/hyperlink" Target="https://dx.doi.org/10.1016/j.ejmech.2024.116625" TargetMode="External"/><Relationship Id="rId132" Type="http://schemas.openxmlformats.org/officeDocument/2006/relationships/hyperlink" Target="https://dx.doi.org/10.1007/s00203-024-04038-9" TargetMode="External"/><Relationship Id="rId133" Type="http://schemas.openxmlformats.org/officeDocument/2006/relationships/hyperlink" Target="https://dx.doi.org/10.1007/s11046-024-00868-9" TargetMode="External"/><Relationship Id="rId134" Type="http://schemas.openxmlformats.org/officeDocument/2006/relationships/hyperlink" Target="https://dx.doi.org/10.3390/ma17133186" TargetMode="External"/><Relationship Id="rId135" Type="http://schemas.openxmlformats.org/officeDocument/2006/relationships/hyperlink" Target="https://dx.doi.org/10.1097/ASW.0000000000000177" TargetMode="External"/><Relationship Id="rId136" Type="http://schemas.openxmlformats.org/officeDocument/2006/relationships/hyperlink" Target="https://dx.doi.org/10.1089/fpd.2023.0170" TargetMode="External"/><Relationship Id="rId137" Type="http://schemas.openxmlformats.org/officeDocument/2006/relationships/hyperlink" Target="https://dx.doi.org/10.1016/j.colsurfb.2024.114086" TargetMode="External"/><Relationship Id="rId138" Type="http://schemas.openxmlformats.org/officeDocument/2006/relationships/hyperlink" Target="https://dx.doi.org/10.1016/j.infpip.2024.100377" TargetMode="External"/><Relationship Id="rId139" Type="http://schemas.openxmlformats.org/officeDocument/2006/relationships/hyperlink" Target="https://dx.doi.org/10.1007/s00405-024-08835-2" TargetMode="External"/><Relationship Id="rId140" Type="http://schemas.openxmlformats.org/officeDocument/2006/relationships/hyperlink" Target="https://dx.doi.org/10.1128/spectrum.03934-23" TargetMode="External"/><Relationship Id="rId141" Type="http://schemas.openxmlformats.org/officeDocument/2006/relationships/hyperlink" Target="https://dx.doi.org/10.1002/jor.25929" TargetMode="External"/><Relationship Id="rId142" Type="http://schemas.openxmlformats.org/officeDocument/2006/relationships/hyperlink" Target="https://dx.doi.org/10.1111/srt.13806" TargetMode="External"/><Relationship Id="rId143" Type="http://schemas.openxmlformats.org/officeDocument/2006/relationships/hyperlink" Target="https://dx.doi.org/10.3390/pathogens13070577" TargetMode="External"/><Relationship Id="rId144" Type="http://schemas.openxmlformats.org/officeDocument/2006/relationships/hyperlink" Target="https://dx.doi.org/10.1039/d4tb01020e" TargetMode="External"/><Relationship Id="rId145" Type="http://schemas.openxmlformats.org/officeDocument/2006/relationships/hyperlink" Target="https://dx.doi.org/10.3389/fmicb.2024.1432883" TargetMode="External"/><Relationship Id="rId146" Type="http://schemas.openxmlformats.org/officeDocument/2006/relationships/hyperlink" Target="https://dx.doi.org/10.3390/s24144449" TargetMode="External"/><Relationship Id="rId147" Type="http://schemas.openxmlformats.org/officeDocument/2006/relationships/hyperlink" Target="https://dx.doi.org/10.3390/pharmaceutics16070927" TargetMode="External"/><Relationship Id="rId148" Type="http://schemas.openxmlformats.org/officeDocument/2006/relationships/hyperlink" Target="https://dx.doi.org/10.3390/biom14070815" TargetMode="External"/><Relationship Id="rId149" Type="http://schemas.openxmlformats.org/officeDocument/2006/relationships/hyperlink" Target="https://dx.doi.org/10.3390/antibiotics13070623" TargetMode="External"/><Relationship Id="rId150" Type="http://schemas.openxmlformats.org/officeDocument/2006/relationships/hyperlink" Target="https://dx.doi.org/10.3390/antibiotics13070574" TargetMode="External"/><Relationship Id="rId151" Type="http://schemas.openxmlformats.org/officeDocument/2006/relationships/hyperlink" Target="https://dx.doi.org/10.1089/sur.2024.156" TargetMode="External"/><Relationship Id="rId152" Type="http://schemas.openxmlformats.org/officeDocument/2006/relationships/hyperlink" Target="https://dx.doi.org/10.1016/j.micpath.2024.106828" TargetMode="External"/><Relationship Id="rId153" Type="http://schemas.openxmlformats.org/officeDocument/2006/relationships/hyperlink" Target="https://dx.doi.org/10.1098/rsos.240238" TargetMode="External"/><Relationship Id="rId154" Type="http://schemas.openxmlformats.org/officeDocument/2006/relationships/hyperlink" Target="https://dx.doi.org/10.1097/MOP.0000000000001376" TargetMode="External"/><Relationship Id="rId155" Type="http://schemas.openxmlformats.org/officeDocument/2006/relationships/hyperlink" Target="https://dx.doi.org/10.1016/j.jiph.2024.102488" TargetMode="External"/><Relationship Id="rId156" Type="http://schemas.openxmlformats.org/officeDocument/2006/relationships/hyperlink" Target="https://dx.doi.org/10.1007/s12026-024-09517-1" TargetMode="External"/><Relationship Id="rId157" Type="http://schemas.openxmlformats.org/officeDocument/2006/relationships/hyperlink" Target="https://dx.doi.org/10.1099/mgen.0.001272" TargetMode="External"/><Relationship Id="rId158" Type="http://schemas.openxmlformats.org/officeDocument/2006/relationships/hyperlink" Target="https://dx.doi.org/10.1016/j.fsi.2024.109711" TargetMode="External"/><Relationship Id="rId159" Type="http://schemas.openxmlformats.org/officeDocument/2006/relationships/hyperlink" Target="https://dx.doi.org/10.3201/eid3008.231255" TargetMode="External"/><Relationship Id="rId160" Type="http://schemas.openxmlformats.org/officeDocument/2006/relationships/hyperlink" Target="https://dx.doi.org/10.3390/vetsci11070311" TargetMode="External"/><Relationship Id="rId161" Type="http://schemas.openxmlformats.org/officeDocument/2006/relationships/hyperlink" Target="https://dx.doi.org/10.1016/j.celrep.2024.114486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