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08/10/2024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08/11/2024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Metagenomic, metabolomic, and lipidomic shifts associated with fecal microbiota transplantation for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[Clostridioides difficile infections: Update and therapeutic guidelines].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Internet Parent-Child Interaction Therapy for Maternal Guilt in a Child Abuse Case: A Single Case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Systematic review of the orally administered microbiome therapeutic, fecal microbiota spores, live-brpk, to prevent recurrence of Clostridioides difficile infection in adults.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Cerebral salt wasting syndrome in a child with central diabetes insipidus following surgery for recurrent craniopharyngioma: A case report.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Microbiota restoration for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Fecal microbiota transplantation through colonoscopy in the treatment of recurrent Clostridioides difficile: Experience at a university center.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Impact of Clinical and Pharmacological Parameters on Faecal Microbiota Transplantation Outcome in Clostridioides difficile Infections: Results of a 5-Year French National Survey.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Risk of rehospitalization due to Clostridioides difficile infection among hospitalized patients with Clostridioides difficile: a cohort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Comparing rates of recurrent infection for first occurrence of Clostridioides difficile between tapered oral vancomycin and standard vancomycin: a retrospective, propensity matched cohort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Successful Use of Fecal Microbiota Transplantation in Management of Nonobstructive Recurrent Cholangitis Following Total Pancreatectomy and Islet Autotransplant.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Fecal microbiota transplantation in a patient with chronic diarrhea and primary and secondary immunodeficiency (common variable immunodeficiency and splenectomy).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Treatment outcomes of mild to moderate Clostridioides difficile infection in inflammatory bowel disease: an Australian experience.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Multicenter study on Clostridioides difficile infections in Mexico: exploring the landscape.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Gonococcal infections and risk factors for reinfection: a descriptive and case-case analysis of notifications in the Australian Capital Territory, 2017-2022.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Epidemiology and Outcomes of Recurrent C Difficile Infection Among Hematopoietic Cell Transplant Recipients: A Single-center, Retrospective 10-year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Improved health-related quality of life in patients with recurrent Clostridioides difficile infection after treatment with faecal microbiota transplantation.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Fecal Microbiota Transplantation for Recurrent Clostridioides difficile Infections in a Cystic Fibrosis Child Previously Screen Positive, Inconclusive Diagnosis (CFSPID): A Case Report.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Epidemiology of Clostridioides difficile PCR ribotype 181 after the COVID-19 pandemic in Northern Greece.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Comparative effectiveness of treatments for recurrent Clostridioides difficile infection: a network meta-analysis of randomized controlled trials.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Faecal (or intestinal) microbiota transplant: a tool for repairing the gut microbiome.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0" w:tgtFrame="_blank">
            <w:r>
              <w:t xml:space="preserve">TcdB from Hypervirulent Clostridioides difficile Induces Neuronal Loss and Neurotransmitter Alterations in the Intrinsic Enteric Nervous System.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1" w:tgtFrame="_blank">
            <w:r>
              <w:t xml:space="preserve">Informing estimates of probability of Clostridioides difficile infection for testing and treatment: expert consensus from a modified-Delphi procedure.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2" w:tgtFrame="_blank">
            <w:r>
              <w:t xml:space="preserve">Validation of electronic health record data to identify hospital-associated Clostridioides difficile infections for retrospective research.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3" w:tgtFrame="_blank">
            <w:r>
              <w:t xml:space="preserve">Examining the impact of the COVID-19 pandemic on hospital-associated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4" w:tgtFrame="_blank">
            <w:r>
              <w:t xml:space="preserve">The Impact of Clinical Pharmacist-Driven Weekend Antimicrobial Stewardship Coverage at a Quaternary Hospital.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5" w:tgtFrame="_blank">
            <w:r>
              <w:t xml:space="preserve">A Mouse Model of Mild Clostridioides difficile Infection for the Characterization of Natural Immune Responses.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6" w:tgtFrame="_blank">
            <w:r>
              <w:t xml:space="preserve">Mice colonized with the defined microbial community OMM19.1 are susceptible to Clostridioides difficile infection without prior antibiotic treatment.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Gut microbiome therapy: fecal microbiota transplantation vs live biotherapeutic products.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Normalization of short-chain fatty acid concentration by bacterial count of stool samples improves discrimination between eubiotic and dysbiotic gut microbiota caused by Clostridioides difficile infection.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Safety and efficacy of fecal microbiota transplantation for viral diseases: A systematic review of clinical trials.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Unraveling Cecal Alterations in Clostridioides difficile Colonized Mice through Comprehensive Metabolic Profiling.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Opportunistic infections changed before and after SARS-CoV-2 infection in inflammatory bowel disease patients: a retrospective single-center study in China.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Community-led diphtheria vaccination campaign to manage a diphtheria outbreak in a remote Aboriginal community.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Comparative safety of different antibiotic regimens for the treatment of outpatient community-acquired pneumonia among otherwise healthy adults.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Inno4Vac Workshop Report Part 2: RSV-Controlled Human Infection Model (CHIM) Strain Selection and Immune Assays for RSV CHIM Studies, November 2021, MHRA, UK.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Challenges of Infectious Diseases in Older Adults: From Immunosenescence and Inflammaging Through Antibiotic Resistance to Management Strategies.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Safety and Immunogenicity of an Adjuvanted Clostridioides difficile Vaccine Candidate in Healthy Adults: A Randomized Placebo-Controlled Phase 1 Study.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Multivalent vaccine tackles C. difficile.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Novel coenzyme Q6 genetic variant increases susceptibility to pneumococcal disease.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Inno4Vac Workshop Report Part 1: Controlled Human Influenza Virus Infection Model (CHIVIM) Strain Selection and Immune Assays for CHIVIM Studies, November 2021, MHRA, UK.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7" w:tgtFrame="_blank">
            <w:r>
              <w:t xml:space="preserve">Unveiling the impact of antibiotic stress on biofilm formation and expression of toxin-antitoxin system genes in Clostridium difficile clinical isolates.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8" w:tgtFrame="_blank">
            <w:r>
              <w:t xml:space="preserve">Oral Vancomycin to Prevent Clostridioides difficile in Stem Cell Transplant Recipients: The Last Frontier in Antimicrobial Prophylaxis.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9" w:tgtFrame="_blank">
            <w:r>
              <w:t xml:space="preserve">Evaluation of Primary Oral Vancomycin Prophylaxis Against Clostridioides difficile Infection During Autologous Stem Cell Transplantation.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Gut microbiome therapy: fecal microbiota transplantation vs live biotherapeutic products.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Normalization of short-chain fatty acid concentration by bacterial count of stool samples improves discrimination between eubiotic and dysbiotic gut microbiota caused by Clostridioides difficile infection.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Safety and efficacy of fecal microbiota transplantation for viral diseases: A systematic review of clinical trials.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Unraveling Cecal Alterations in Clostridioides difficile Colonized Mice through Comprehensive Metabolic Profiling.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Synergistic oral beta-lactam combinations for treating tuberculosis.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Endoscopic diagnosis and management of adult inflammatory bowel disease: a consensus document from the American Society for Gastrointestinal Endoscopy IBD Endoscopy Consensus Panel.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Sterility in the offspring of spr-5; met-2 mutants may be caused by inherited H3K4 methylation and altered germline transcription.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International expert guidance for defining and monitoring small bowel strictures in Crohn's disease on intestinal ultrasound: a consensus statement.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Antioxidant and Pro-Oxidant Properties of Selected Clinically Applied Antibiotics: Therapeutic Insights.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Trends in COVID-19-Attributable Hospitalizations Among Adults With Laboratory-Confirmed SARS-CoV-2-COVID-NET, June 2020 to September 2023.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SQ31f is a potent non-tuberculous mycobacteria antibiotic by specifically targeting the mycobacterial F-ATP synthase.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Adjunctive linezolid versus clindamycin for toxin inhibition in β-lactam-treated patients with invasive group A streptococcal infections in 195 US hospitals from 2016 to 2021: a retrospective cohort study with target trial emulation.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Risk of Intestinal Complications, Extraintestinal Morbidity, and Mortality in Patients with Crohn's Disease and Ocular Involvement.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Impact of Gut Microbiota and SCFAs in the Pathogenesis of PCOS and the Effect of Metformin Therapy.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Genetic insight into the relationship between inflammatory bowel disease and Clostridioides difficile infection.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Post-Discharge Outcomes of Elderly Patients Hospitalized for Inflammatory Bowel Disease Flare Complicated by Clostridioides difficile Infection.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A Review of Epithelial Ion Transporters and Their Roles in Equine Infectious Colitis.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Gut Microbiota and New Microbiome-Targeted Drugs for Clostridioides difficile Infections.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Risk of Clostridioides difficile infection in inflammatory bowel disease patients undergoing vedolizumab treatment: a systematic review and meta-analysis.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Therapy of Aspiration: Out-of-Hospital and In-Hospital-Acquired.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NKp46(+) ILC3s promote early neutrophil defense against Clostridioides difficile infection through GM-CSF secretion.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Lateral effects of infection prevention measures during COVID-19 pandemic on hospital-acquired Clostridioides difficile infection.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Dynamics of metal/metalloid bioaccumulation and sensitivity in post-larvae shrimp (Macrobrachium rosenbergii) exposed to settleable atmospheric particulate matter from an industrial source.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Novel antibacterial pullulan derivatives modified with quaternary phosphonium salts for infected wound treatments.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Closing the gap on infection prevention staffing recommendations: Results from the beta version of the APIC staffing calculator.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Encapsulated donor faeces for faecal microbiota transplantation: the Glyprotect protocol.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Whole-genome sequencing of toxigenic Clostridioides difficile reveals multidrug resistance and virulence genes in strains of environmental and animal origin.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Persistent varices in cured patients: Understanding the role of hepatic venous pressure gradient.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Public health rapid response in managing COVID-19 outbreaks in residential aged care facilities: a regional public health unit perspective.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Predicting clinical trial success for Clostridium difficile infections based on preclinical data.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Pneumatosis Intestinalis and Pneumoperitoneum After Lung Transplantation: Single-Center Experience and Systematic Review.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Cardiovascular Computed Tomography and Magnetic Resonance Imaging Guideline of the Brazilian Society of Cardiology and the Brazilian College of Radiology - 2024.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Large Clostridial Toxins: A Brief Review and Insights into Antigen Design for Veterinary Vaccine Development.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When and What to Test for Diarrhea: Focus on Stool Testing.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Human Health Risk Assessment and Water Quality Index of piped water supply system in Gulshan-e-Iqbal Town, Karachi (A Preliminary Town level study).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Necrotizing Gallstone Pancreatitis in a Pediatric Patient: A Case Report and Review of Diagnostic and Management Challenges.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Fidaxomicin resistance in Clostridioides difficile: a systematic review and predictive modeling with RNA polymerase binding sites.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Dogs in Rio de Janeiro as reservoirs of Clostridioides difficile ribotypes causing CDI in humans.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16/j.ijbiomac.2024.136893" TargetMode="External"/><Relationship Id="rId13" Type="http://schemas.openxmlformats.org/officeDocument/2006/relationships/hyperlink" Target="https://dx.doi.org/10.1080/19490976.2024.2412376" TargetMode="External"/><Relationship Id="rId14" Type="http://schemas.openxmlformats.org/officeDocument/2006/relationships/hyperlink" Target="https://dx.doi.org/10.1080/19490976.2024.2415488" TargetMode="External"/><Relationship Id="rId15" Type="http://schemas.openxmlformats.org/officeDocument/2006/relationships/hyperlink" Target="https://dx.doi.org/10.1371/journal.pone.0311731" TargetMode="External"/><Relationship Id="rId16" Type="http://schemas.openxmlformats.org/officeDocument/2006/relationships/hyperlink" Target="https://dx.doi.org/10.1021/acs.jproteome.4c00578" TargetMode="External"/><Relationship Id="rId17" Type="http://schemas.openxmlformats.org/officeDocument/2006/relationships/hyperlink" Target="https://dx.doi.org/10.1016/S1473-3099(24)00507-3" TargetMode="External"/><Relationship Id="rId18" Type="http://schemas.openxmlformats.org/officeDocument/2006/relationships/hyperlink" Target="https://dx.doi.org/10.1080/09273948.2024.2413895" TargetMode="External"/><Relationship Id="rId19" Type="http://schemas.openxmlformats.org/officeDocument/2006/relationships/hyperlink" Target="https://dx.doi.org/10.3390/ijms251910636" TargetMode="External"/><Relationship Id="rId20" Type="http://schemas.openxmlformats.org/officeDocument/2006/relationships/hyperlink" Target="https://dx.doi.org/10.1128/msphere.00567-24" TargetMode="External"/><Relationship Id="rId21" Type="http://schemas.openxmlformats.org/officeDocument/2006/relationships/hyperlink" Target="https://dx.doi.org/10.1093/ecco-jcc/jjae161" TargetMode="External"/><Relationship Id="rId22" Type="http://schemas.openxmlformats.org/officeDocument/2006/relationships/hyperlink" Target="https://dx.doi.org/10.3390/vetsci11100480" TargetMode="External"/><Relationship Id="rId23" Type="http://schemas.openxmlformats.org/officeDocument/2006/relationships/hyperlink" Target="https://dx.doi.org/10.3390/antibiotics13100995" TargetMode="External"/><Relationship Id="rId24" Type="http://schemas.openxmlformats.org/officeDocument/2006/relationships/hyperlink" Target="https://dx.doi.org/10.1186/s12876-024-03460-z" TargetMode="External"/><Relationship Id="rId25" Type="http://schemas.openxmlformats.org/officeDocument/2006/relationships/hyperlink" Target="https://dx.doi.org/10.1055/s-0044-1791826" TargetMode="External"/><Relationship Id="rId26" Type="http://schemas.openxmlformats.org/officeDocument/2006/relationships/hyperlink" Target="https://dx.doi.org/10.1073/pnas.2416182121" TargetMode="External"/><Relationship Id="rId27" Type="http://schemas.openxmlformats.org/officeDocument/2006/relationships/hyperlink" Target="https://dx.doi.org/10.1177/17571774241251662" TargetMode="External"/><Relationship Id="rId28" Type="http://schemas.openxmlformats.org/officeDocument/2006/relationships/hyperlink" Target="https://dx.doi.org/10.1016/j.scitotenv.2024.177355" TargetMode="External"/><Relationship Id="rId29" Type="http://schemas.openxmlformats.org/officeDocument/2006/relationships/hyperlink" Target="https://dx.doi.org/10.1093/jambio/lxae255" TargetMode="External"/><Relationship Id="rId30" Type="http://schemas.openxmlformats.org/officeDocument/2006/relationships/hyperlink" Target="https://dx.doi.org/10.1016/j.gie.2024.08.034" TargetMode="External"/><Relationship Id="rId31" Type="http://schemas.openxmlformats.org/officeDocument/2006/relationships/hyperlink" Target="https://dx.doi.org/10.17912/micropub.biology.001365" TargetMode="External"/><Relationship Id="rId32" Type="http://schemas.openxmlformats.org/officeDocument/2006/relationships/hyperlink" Target="https://dx.doi.org/10.1016/S2468-1253(24)00265-6" TargetMode="External"/><Relationship Id="rId33" Type="http://schemas.openxmlformats.org/officeDocument/2006/relationships/hyperlink" Target="https://dx.doi.org/10.3390/ph17101257" TargetMode="External"/><Relationship Id="rId34" Type="http://schemas.openxmlformats.org/officeDocument/2006/relationships/hyperlink" Target="https://dx.doi.org/10.1111/irv.70021" TargetMode="External"/><Relationship Id="rId35" Type="http://schemas.openxmlformats.org/officeDocument/2006/relationships/hyperlink" Target="https://dx.doi.org/10.1093/jac/dkae406" TargetMode="External"/><Relationship Id="rId36" Type="http://schemas.openxmlformats.org/officeDocument/2006/relationships/hyperlink" Target="https://dx.doi.org/10.1016/j.ajic.2024.09.004" TargetMode="External"/><Relationship Id="rId37" Type="http://schemas.openxmlformats.org/officeDocument/2006/relationships/hyperlink" Target="https://dx.doi.org/10.1177/17562848241289065" TargetMode="External"/><Relationship Id="rId38" Type="http://schemas.openxmlformats.org/officeDocument/2006/relationships/hyperlink" Target="https://dx.doi.org/10.1186/s12917-024-04332-0" TargetMode="External"/><Relationship Id="rId39" Type="http://schemas.openxmlformats.org/officeDocument/2006/relationships/hyperlink" Target="https://dx.doi.org/10.1016/j.jhepr.2024.101170" TargetMode="External"/><Relationship Id="rId40" Type="http://schemas.openxmlformats.org/officeDocument/2006/relationships/hyperlink" Target="https://dx.doi.org/10.33321/cdi.2024.48.36" TargetMode="External"/><Relationship Id="rId41" Type="http://schemas.openxmlformats.org/officeDocument/2006/relationships/hyperlink" Target="https://dx.doi.org/10.3389/frai.2024.1487335" TargetMode="External"/><Relationship Id="rId42" Type="http://schemas.openxmlformats.org/officeDocument/2006/relationships/hyperlink" Target="https://dx.doi.org/10.1155/2024/8867932" TargetMode="External"/><Relationship Id="rId43" Type="http://schemas.openxmlformats.org/officeDocument/2006/relationships/hyperlink" Target="https://dx.doi.org/10.36660/abc.20240608" TargetMode="External"/><Relationship Id="rId44" Type="http://schemas.openxmlformats.org/officeDocument/2006/relationships/hyperlink" Target="https://dx.doi.org/10.1007/s12033-024-01303-6" TargetMode="External"/><Relationship Id="rId45" Type="http://schemas.openxmlformats.org/officeDocument/2006/relationships/hyperlink" Target="https://dx.doi.org/10.14309/ajg.0000000000003175" TargetMode="External"/><Relationship Id="rId46" Type="http://schemas.openxmlformats.org/officeDocument/2006/relationships/hyperlink" Target="https://dx.doi.org/10.1007/s10661-024-13346-y" TargetMode="External"/><Relationship Id="rId47" Type="http://schemas.openxmlformats.org/officeDocument/2006/relationships/hyperlink" Target="https://dx.doi.org/10.7759/cureus.70802" TargetMode="External"/><Relationship Id="rId48" Type="http://schemas.openxmlformats.org/officeDocument/2006/relationships/hyperlink" Target="https://dx.doi.org/10.1128/aac.01206-24" TargetMode="External"/><Relationship Id="rId49" Type="http://schemas.openxmlformats.org/officeDocument/2006/relationships/hyperlink" Target="https://dx.doi.org/10.1128/msphere.00706-24" TargetMode="External"/><Relationship Id="rId50" Type="http://schemas.openxmlformats.org/officeDocument/2006/relationships/hyperlink" Target="https://dx.doi.org/10.1684/pnv.2024.1181" TargetMode="External"/><Relationship Id="rId51" Type="http://schemas.openxmlformats.org/officeDocument/2006/relationships/hyperlink" Target="https://dx.doi.org/10.7759/cureus.70904" TargetMode="External"/><Relationship Id="rId52" Type="http://schemas.openxmlformats.org/officeDocument/2006/relationships/hyperlink" Target="https://dx.doi.org/10.1177/20503121241274192" TargetMode="External"/><Relationship Id="rId53" Type="http://schemas.openxmlformats.org/officeDocument/2006/relationships/hyperlink" Target="https://dx.doi.org/10.1177/2050313X241275445" TargetMode="External"/><Relationship Id="rId54" Type="http://schemas.openxmlformats.org/officeDocument/2006/relationships/hyperlink" Target="https://dx.doi.org/10.23736/S0031-0808.24.05111-5" TargetMode="External"/><Relationship Id="rId55" Type="http://schemas.openxmlformats.org/officeDocument/2006/relationships/hyperlink" Target="https://dx.doi.org/10.1016/j.rgmxen.2024.03.004" TargetMode="External"/><Relationship Id="rId56" Type="http://schemas.openxmlformats.org/officeDocument/2006/relationships/hyperlink" Target="https://dx.doi.org/10.1111/apt.18330" TargetMode="External"/><Relationship Id="rId57" Type="http://schemas.openxmlformats.org/officeDocument/2006/relationships/hyperlink" Target="https://dx.doi.org/10.1017/ice.2024.155" TargetMode="External"/><Relationship Id="rId58" Type="http://schemas.openxmlformats.org/officeDocument/2006/relationships/hyperlink" Target="https://dx.doi.org/10.1017/ice.2024.117" TargetMode="External"/><Relationship Id="rId59" Type="http://schemas.openxmlformats.org/officeDocument/2006/relationships/hyperlink" Target="https://dx.doi.org/10.14309/crj.0000000000001527" TargetMode="External"/><Relationship Id="rId60" Type="http://schemas.openxmlformats.org/officeDocument/2006/relationships/hyperlink" Target="https://dx.doi.org/10.3389/fcimb.2024.1456672" TargetMode="External"/><Relationship Id="rId61" Type="http://schemas.openxmlformats.org/officeDocument/2006/relationships/hyperlink" Target="https://dx.doi.org/10.1111/imj.16545" TargetMode="External"/><Relationship Id="rId62" Type="http://schemas.openxmlformats.org/officeDocument/2006/relationships/hyperlink" Target="https://dx.doi.org/10.1017/ice.2024.153" TargetMode="External"/><Relationship Id="rId63" Type="http://schemas.openxmlformats.org/officeDocument/2006/relationships/hyperlink" Target="https://dx.doi.org/10.33321/cdi.2024.48.51" TargetMode="External"/><Relationship Id="rId64" Type="http://schemas.openxmlformats.org/officeDocument/2006/relationships/hyperlink" Target="https://dx.doi.org/10.1093/ofid/ofae570" TargetMode="External"/><Relationship Id="rId65" Type="http://schemas.openxmlformats.org/officeDocument/2006/relationships/hyperlink" Target="https://dx.doi.org/10.1080/23744235.2024.2415694" TargetMode="External"/><Relationship Id="rId66" Type="http://schemas.openxmlformats.org/officeDocument/2006/relationships/hyperlink" Target="https://dx.doi.org/10.3390/microorganisms12102059" TargetMode="External"/><Relationship Id="rId67" Type="http://schemas.openxmlformats.org/officeDocument/2006/relationships/hyperlink" Target="https://dx.doi.org/10.1556/030.2024.02401" TargetMode="External"/><Relationship Id="rId68" Type="http://schemas.openxmlformats.org/officeDocument/2006/relationships/hyperlink" Target="https://dx.doi.org/10.3389/fphar.2024.1430724" TargetMode="External"/><Relationship Id="rId69" Type="http://schemas.openxmlformats.org/officeDocument/2006/relationships/hyperlink" Target="https://dx.doi.org/10.1080/19490976.2024.2423026" TargetMode="External"/><Relationship Id="rId70" Type="http://schemas.openxmlformats.org/officeDocument/2006/relationships/hyperlink" Target="https://dx.doi.org/10.1016/j.anaerobe.2024.102917" TargetMode="External"/><Relationship Id="rId71" Type="http://schemas.openxmlformats.org/officeDocument/2006/relationships/hyperlink" Target="https://dx.doi.org/10.3389/fmed.2024.1461801" TargetMode="External"/><Relationship Id="rId72" Type="http://schemas.openxmlformats.org/officeDocument/2006/relationships/hyperlink" Target="https://dx.doi.org/10.33321/cdi.2024.48.49" TargetMode="External"/><Relationship Id="rId73" Type="http://schemas.openxmlformats.org/officeDocument/2006/relationships/hyperlink" Target="https://dx.doi.org/10.1093/cid/ciae519" TargetMode="External"/><Relationship Id="rId74" Type="http://schemas.openxmlformats.org/officeDocument/2006/relationships/hyperlink" Target="https://dx.doi.org/10.1111/irv.70013" TargetMode="External"/><Relationship Id="rId75" Type="http://schemas.openxmlformats.org/officeDocument/2006/relationships/hyperlink" Target="https://dx.doi.org/10.1016/j.mad.2024.111998" TargetMode="External"/><Relationship Id="rId76" Type="http://schemas.openxmlformats.org/officeDocument/2006/relationships/hyperlink" Target="https://dx.doi.org/10.1093/infdis/jiae466" TargetMode="External"/><Relationship Id="rId77" Type="http://schemas.openxmlformats.org/officeDocument/2006/relationships/hyperlink" Target="https://dx.doi.org/10.1038/d41573-024-00174-5" TargetMode="External"/><Relationship Id="rId78" Type="http://schemas.openxmlformats.org/officeDocument/2006/relationships/hyperlink" Target="https://dx.doi.org/10.1038/s41590-024-01998-4" TargetMode="External"/><Relationship Id="rId79" Type="http://schemas.openxmlformats.org/officeDocument/2006/relationships/hyperlink" Target="https://dx.doi.org/10.1111/irv.70014" TargetMode="External"/><Relationship Id="rId80" Type="http://schemas.openxmlformats.org/officeDocument/2006/relationships/hyperlink" Target="https://dx.doi.org/10.1093/infdis/jiae498" TargetMode="External"/><Relationship Id="rId81" Type="http://schemas.openxmlformats.org/officeDocument/2006/relationships/hyperlink" Target="https://dx.doi.org/10.1017/ash.2024.387" TargetMode="External"/><Relationship Id="rId82" Type="http://schemas.openxmlformats.org/officeDocument/2006/relationships/hyperlink" Target="https://dx.doi.org/10.1017/ice.2024.140" TargetMode="External"/><Relationship Id="rId83" Type="http://schemas.openxmlformats.org/officeDocument/2006/relationships/hyperlink" Target="https://dx.doi.org/10.1017/ice.2024.128" TargetMode="External"/><Relationship Id="rId84" Type="http://schemas.openxmlformats.org/officeDocument/2006/relationships/hyperlink" Target="https://dx.doi.org/10.3390/antibiotics13100974" TargetMode="External"/><Relationship Id="rId85" Type="http://schemas.openxmlformats.org/officeDocument/2006/relationships/hyperlink" Target="https://dx.doi.org/10.3390/microorganisms12101933" TargetMode="External"/><Relationship Id="rId86" Type="http://schemas.openxmlformats.org/officeDocument/2006/relationships/hyperlink" Target="https://dx.doi.org/10.1128/msphere.00718-24" TargetMode="External"/><Relationship Id="rId87" Type="http://schemas.openxmlformats.org/officeDocument/2006/relationships/hyperlink" Target="https://dx.doi.org/10.1007/s11033-024-09993-6" TargetMode="External"/><Relationship Id="rId88" Type="http://schemas.openxmlformats.org/officeDocument/2006/relationships/hyperlink" Target="https://dx.doi.org/10.1093/ofid/ofae623" TargetMode="External"/><Relationship Id="rId89" Type="http://schemas.openxmlformats.org/officeDocument/2006/relationships/hyperlink" Target="https://dx.doi.org/10.1093/ofid/ofae622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