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{{ </w:t>
      </w:r>
      <w:proofErr w:type="spellStart"/>
      <w:r w:rsidR="00DD588A">
        <w:rPr>
          <w:b/>
          <w:bCs/>
          <w:sz w:val="36"/>
          <w:szCs w:val="36"/>
        </w:rPr>
        <w:t>start</w:t>
      </w:r>
      <w:proofErr w:type="gramEnd"/>
      <w:r w:rsidR="00DD588A">
        <w:rPr>
          <w:b/>
          <w:bCs/>
          <w:sz w:val="36"/>
          <w:szCs w:val="36"/>
        </w:rPr>
        <w:t>_date</w:t>
      </w:r>
      <w:proofErr w:type="spellEnd"/>
      <w:r w:rsidR="00DD588A">
        <w:rPr>
          <w:b/>
          <w:bCs/>
          <w:sz w:val="36"/>
          <w:szCs w:val="36"/>
        </w:rPr>
        <w:t xml:space="preserve"> }} – {{ </w:t>
      </w:r>
      <w:proofErr w:type="spellStart"/>
      <w:r w:rsidR="00DD588A">
        <w:rPr>
          <w:b/>
          <w:bCs/>
          <w:sz w:val="36"/>
          <w:szCs w:val="36"/>
        </w:rPr>
        <w:t>end_date</w:t>
      </w:r>
      <w:proofErr w:type="spellEnd"/>
      <w:r w:rsidR="00DD588A">
        <w:rPr>
          <w:b/>
          <w:bCs/>
          <w:sz w:val="36"/>
          <w:szCs w:val="36"/>
        </w:rPr>
        <w:t xml:space="preserve"> }}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rank1 %}</w:t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rank2 %}</w:t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</w:t>
      </w:r>
      <w:r w:rsidR="003A2AA9">
        <w:rPr>
          <w:color w:val="0F50FF"/>
          <w:u w:val="single"/>
        </w:rPr>
        <w:t>7</w:t>
      </w:r>
      <w:r w:rsidRPr="007C0C1A">
        <w:rPr>
          <w:color w:val="0F50FF"/>
          <w:u w:val="single"/>
        </w:rPr>
        <w:t xml:space="preserve"> %}</w:t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rank4 %}</w:t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rank5 %}</w:t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rank3 %}</w:t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rank6 %}</w:t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