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22CBB6">
      <w:pPr>
        <w:pStyle w:val="2"/>
        <w:keepNext w:val="0"/>
        <w:keepLines w:val="0"/>
        <w:pageBreakBefore w:val="0"/>
        <w:widowControl/>
        <w:suppressLineNumbers w:val="0"/>
        <w:shd w:val="clear" w:fill="FFFFFF"/>
        <w:kinsoku/>
        <w:wordWrap/>
        <w:overflowPunct/>
        <w:topLinePunct w:val="0"/>
        <w:autoSpaceDE/>
        <w:autoSpaceDN/>
        <w:bidi w:val="0"/>
        <w:adjustRightInd/>
        <w:snapToGrid w:val="0"/>
        <w:spacing w:beforeAutospacing="0" w:afterAutospacing="0" w:line="240" w:lineRule="auto"/>
        <w:ind w:left="0" w:right="0" w:firstLine="480" w:firstLineChars="200"/>
        <w:textAlignment w:val="auto"/>
        <w:rPr>
          <w:rFonts w:hint="default" w:ascii="Times New Roman" w:hAnsi="Times New Roman" w:eastAsia="宋体" w:cs="Segoe UI"/>
          <w:i w:val="0"/>
          <w:iCs w:val="0"/>
          <w:caps w:val="0"/>
          <w:color w:val="0F1115"/>
          <w:spacing w:val="0"/>
          <w:sz w:val="24"/>
          <w:szCs w:val="19"/>
          <w:shd w:val="clear" w:fill="FFFFFF"/>
        </w:rPr>
      </w:pPr>
      <w:r>
        <w:rPr>
          <w:rFonts w:hint="default" w:ascii="Times New Roman" w:hAnsi="Times New Roman" w:eastAsia="宋体" w:cs="Segoe UI"/>
          <w:i w:val="0"/>
          <w:iCs w:val="0"/>
          <w:caps w:val="0"/>
          <w:color w:val="0F1115"/>
          <w:spacing w:val="0"/>
          <w:sz w:val="24"/>
          <w:szCs w:val="19"/>
          <w:shd w:val="clear" w:fill="FFFFFF"/>
        </w:rPr>
        <w:t>本研究通过相关性分析，系统性地探讨了手机依赖与心理健康指标、手机使用功能与动机、以及人口学变量之间的关联。结果表明，手机依赖与个体心理健康状况存在显著关联。</w:t>
      </w:r>
    </w:p>
    <w:p w14:paraId="64909A5F">
      <w:pPr>
        <w:pStyle w:val="2"/>
        <w:keepNext w:val="0"/>
        <w:keepLines w:val="0"/>
        <w:pageBreakBefore w:val="0"/>
        <w:widowControl/>
        <w:suppressLineNumbers w:val="0"/>
        <w:shd w:val="clear" w:fill="FFFFFF"/>
        <w:kinsoku/>
        <w:wordWrap/>
        <w:overflowPunct/>
        <w:topLinePunct w:val="0"/>
        <w:autoSpaceDE/>
        <w:autoSpaceDN/>
        <w:bidi w:val="0"/>
        <w:adjustRightInd/>
        <w:snapToGrid w:val="0"/>
        <w:spacing w:beforeAutospacing="0" w:afterAutospacing="0" w:line="360" w:lineRule="auto"/>
        <w:ind w:left="0" w:right="0" w:firstLine="380" w:firstLineChars="200"/>
        <w:textAlignment w:val="auto"/>
        <w:rPr>
          <w:rFonts w:hint="default" w:ascii="Segoe UI" w:hAnsi="Segoe UI" w:eastAsia="Segoe UI" w:cs="Segoe UI"/>
          <w:i w:val="0"/>
          <w:iCs w:val="0"/>
          <w:caps w:val="0"/>
          <w:color w:val="0F1115"/>
          <w:spacing w:val="0"/>
          <w:sz w:val="19"/>
          <w:szCs w:val="19"/>
          <w:shd w:val="clear" w:fill="FFFFFF"/>
        </w:rPr>
      </w:pPr>
    </w:p>
    <w:tbl>
      <w:tblPr>
        <w:tblStyle w:val="4"/>
        <w:tblW w:w="11080" w:type="dxa"/>
        <w:tblInd w:w="-12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121"/>
        <w:gridCol w:w="876"/>
        <w:gridCol w:w="1146"/>
        <w:gridCol w:w="1096"/>
        <w:gridCol w:w="1144"/>
        <w:gridCol w:w="1099"/>
        <w:gridCol w:w="1122"/>
        <w:gridCol w:w="1065"/>
        <w:gridCol w:w="1121"/>
        <w:gridCol w:w="1290"/>
      </w:tblGrid>
      <w:tr w14:paraId="6C5AE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21" w:type="dxa"/>
            <w:tcBorders>
              <w:top w:val="single" w:color="000000" w:sz="12" w:space="0"/>
              <w:left w:val="nil"/>
              <w:bottom w:val="single" w:color="000000" w:sz="4" w:space="0"/>
              <w:right w:val="nil"/>
              <w:tl2br w:val="nil"/>
            </w:tcBorders>
            <w:shd w:val="clear" w:color="auto" w:fill="FFFFFF"/>
            <w:vAlign w:val="center"/>
          </w:tcPr>
          <w:p w14:paraId="6C59F573">
            <w:pPr>
              <w:pStyle w:val="2"/>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right="0"/>
              <w:jc w:val="center"/>
              <w:textAlignment w:val="auto"/>
              <w:rPr>
                <w:rFonts w:hint="eastAsia" w:ascii="宋体" w:hAnsi="宋体" w:eastAsia="宋体" w:cs="宋体"/>
                <w:b w:val="0"/>
                <w:i w:val="0"/>
                <w:iCs w:val="0"/>
                <w:caps w:val="0"/>
                <w:color w:val="000000"/>
                <w:spacing w:val="0"/>
                <w:sz w:val="21"/>
                <w:szCs w:val="21"/>
                <w:shd w:val="clear" w:fill="FFFFFF"/>
                <w:vertAlign w:val="baseline"/>
                <w:lang w:val="en-US" w:eastAsia="zh-CN"/>
              </w:rPr>
            </w:pPr>
          </w:p>
        </w:tc>
        <w:tc>
          <w:tcPr>
            <w:tcW w:w="876" w:type="dxa"/>
            <w:tcBorders>
              <w:top w:val="single" w:color="000000" w:sz="12" w:space="0"/>
              <w:left w:val="nil"/>
              <w:bottom w:val="single" w:color="000000" w:sz="4" w:space="0"/>
              <w:right w:val="nil"/>
            </w:tcBorders>
            <w:shd w:val="clear" w:color="auto" w:fill="FFFFFF"/>
            <w:vAlign w:val="center"/>
          </w:tcPr>
          <w:p w14:paraId="651F0098">
            <w:pPr>
              <w:pStyle w:val="2"/>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right="0"/>
              <w:jc w:val="center"/>
              <w:textAlignment w:val="auto"/>
              <w:rPr>
                <w:rFonts w:hint="eastAsia" w:ascii="宋体" w:hAnsi="宋体" w:eastAsia="宋体" w:cs="宋体"/>
                <w:b w:val="0"/>
                <w:i w:val="0"/>
                <w:iCs w:val="0"/>
                <w:caps w:val="0"/>
                <w:color w:val="000000"/>
                <w:spacing w:val="0"/>
                <w:sz w:val="21"/>
                <w:szCs w:val="21"/>
                <w:shd w:val="clear" w:fill="FFFFFF"/>
                <w:vertAlign w:val="baseline"/>
                <w:lang w:val="en-US" w:eastAsia="zh-CN"/>
              </w:rPr>
            </w:pPr>
          </w:p>
        </w:tc>
        <w:tc>
          <w:tcPr>
            <w:tcW w:w="1146" w:type="dxa"/>
            <w:tcBorders>
              <w:top w:val="single" w:color="000000" w:sz="12" w:space="0"/>
              <w:left w:val="nil"/>
              <w:bottom w:val="single" w:color="000000" w:sz="4" w:space="0"/>
              <w:right w:val="nil"/>
            </w:tcBorders>
            <w:shd w:val="clear" w:color="auto" w:fill="FFFFFF"/>
            <w:vAlign w:val="center"/>
          </w:tcPr>
          <w:p w14:paraId="3960B6C9">
            <w:pPr>
              <w:keepNext w:val="0"/>
              <w:keepLines w:val="0"/>
              <w:widowControl/>
              <w:suppressLineNumbers w:val="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手机依赖</w:t>
            </w:r>
          </w:p>
        </w:tc>
        <w:tc>
          <w:tcPr>
            <w:tcW w:w="1096" w:type="dxa"/>
            <w:tcBorders>
              <w:top w:val="single" w:color="000000" w:sz="12" w:space="0"/>
              <w:left w:val="nil"/>
              <w:bottom w:val="single" w:color="000000" w:sz="4" w:space="0"/>
              <w:right w:val="nil"/>
            </w:tcBorders>
            <w:shd w:val="clear" w:color="auto" w:fill="FFFFFF"/>
            <w:vAlign w:val="center"/>
          </w:tcPr>
          <w:p w14:paraId="26AE34BE">
            <w:pPr>
              <w:keepNext w:val="0"/>
              <w:keepLines w:val="0"/>
              <w:widowControl/>
              <w:suppressLineNumbers w:val="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压力维度</w:t>
            </w:r>
          </w:p>
        </w:tc>
        <w:tc>
          <w:tcPr>
            <w:tcW w:w="1144" w:type="dxa"/>
            <w:tcBorders>
              <w:top w:val="single" w:color="000000" w:sz="12" w:space="0"/>
              <w:left w:val="nil"/>
              <w:bottom w:val="single" w:color="000000" w:sz="4" w:space="0"/>
              <w:right w:val="nil"/>
            </w:tcBorders>
            <w:shd w:val="clear" w:color="auto" w:fill="FFFFFF"/>
            <w:vAlign w:val="center"/>
          </w:tcPr>
          <w:p w14:paraId="11DDB696">
            <w:pPr>
              <w:keepNext w:val="0"/>
              <w:keepLines w:val="0"/>
              <w:widowControl/>
              <w:suppressLineNumbers w:val="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焦虑维度</w:t>
            </w:r>
          </w:p>
        </w:tc>
        <w:tc>
          <w:tcPr>
            <w:tcW w:w="1099" w:type="dxa"/>
            <w:tcBorders>
              <w:top w:val="single" w:color="000000" w:sz="12" w:space="0"/>
              <w:left w:val="nil"/>
              <w:bottom w:val="single" w:color="000000" w:sz="4" w:space="0"/>
              <w:right w:val="nil"/>
            </w:tcBorders>
            <w:shd w:val="clear" w:color="auto" w:fill="FFFFFF"/>
            <w:vAlign w:val="center"/>
          </w:tcPr>
          <w:p w14:paraId="4D124D46">
            <w:pPr>
              <w:keepNext w:val="0"/>
              <w:keepLines w:val="0"/>
              <w:widowControl/>
              <w:suppressLineNumbers w:val="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抑郁维度</w:t>
            </w:r>
          </w:p>
        </w:tc>
        <w:tc>
          <w:tcPr>
            <w:tcW w:w="1122" w:type="dxa"/>
            <w:tcBorders>
              <w:top w:val="single" w:color="000000" w:sz="12" w:space="0"/>
              <w:left w:val="nil"/>
              <w:bottom w:val="single" w:color="000000" w:sz="4" w:space="0"/>
              <w:right w:val="nil"/>
            </w:tcBorders>
            <w:shd w:val="clear" w:color="auto" w:fill="FFFFFF"/>
            <w:vAlign w:val="center"/>
          </w:tcPr>
          <w:p w14:paraId="56A718EF">
            <w:pPr>
              <w:keepNext w:val="0"/>
              <w:keepLines w:val="0"/>
              <w:widowControl/>
              <w:suppressLineNumbers w:val="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戒断症状</w:t>
            </w:r>
          </w:p>
        </w:tc>
        <w:tc>
          <w:tcPr>
            <w:tcW w:w="1065" w:type="dxa"/>
            <w:tcBorders>
              <w:top w:val="single" w:color="000000" w:sz="12" w:space="0"/>
              <w:left w:val="nil"/>
              <w:bottom w:val="single" w:color="000000" w:sz="4" w:space="0"/>
              <w:right w:val="nil"/>
            </w:tcBorders>
            <w:shd w:val="clear" w:color="auto" w:fill="FFFFFF"/>
            <w:vAlign w:val="center"/>
          </w:tcPr>
          <w:p w14:paraId="581CEEBB">
            <w:pPr>
              <w:keepNext w:val="0"/>
              <w:keepLines w:val="0"/>
              <w:widowControl/>
              <w:suppressLineNumbers w:val="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渴求性</w:t>
            </w:r>
          </w:p>
        </w:tc>
        <w:tc>
          <w:tcPr>
            <w:tcW w:w="1121" w:type="dxa"/>
            <w:tcBorders>
              <w:top w:val="single" w:color="000000" w:sz="12" w:space="0"/>
              <w:left w:val="nil"/>
              <w:bottom w:val="single" w:color="000000" w:sz="4" w:space="0"/>
              <w:right w:val="nil"/>
            </w:tcBorders>
            <w:shd w:val="clear" w:color="auto" w:fill="FFFFFF"/>
            <w:vAlign w:val="center"/>
          </w:tcPr>
          <w:p w14:paraId="3820061C">
            <w:pPr>
              <w:keepNext w:val="0"/>
              <w:keepLines w:val="0"/>
              <w:widowControl/>
              <w:suppressLineNumbers w:val="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身心影响</w:t>
            </w:r>
          </w:p>
        </w:tc>
        <w:tc>
          <w:tcPr>
            <w:tcW w:w="1290" w:type="dxa"/>
            <w:tcBorders>
              <w:top w:val="single" w:color="000000" w:sz="12" w:space="0"/>
              <w:left w:val="nil"/>
              <w:bottom w:val="single" w:color="000000" w:sz="4" w:space="0"/>
              <w:right w:val="nil"/>
            </w:tcBorders>
            <w:shd w:val="clear" w:color="auto" w:fill="FFFFFF"/>
            <w:vAlign w:val="center"/>
          </w:tcPr>
          <w:p w14:paraId="1326BBE2">
            <w:pPr>
              <w:keepNext w:val="0"/>
              <w:keepLines w:val="0"/>
              <w:widowControl/>
              <w:suppressLineNumbers w:val="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每日手机使用时间</w:t>
            </w:r>
          </w:p>
        </w:tc>
      </w:tr>
      <w:tr w14:paraId="1F572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21" w:type="dxa"/>
            <w:tcBorders>
              <w:top w:val="single" w:color="000000" w:sz="4" w:space="0"/>
              <w:left w:val="nil"/>
              <w:bottom w:val="nil"/>
              <w:right w:val="nil"/>
            </w:tcBorders>
            <w:shd w:val="clear" w:color="auto" w:fill="FFFFFF"/>
            <w:vAlign w:val="center"/>
          </w:tcPr>
          <w:p w14:paraId="38171604">
            <w:pPr>
              <w:keepNext w:val="0"/>
              <w:keepLines w:val="0"/>
              <w:widowControl/>
              <w:suppressLineNumbers w:val="0"/>
              <w:jc w:val="center"/>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手机依赖</w:t>
            </w:r>
          </w:p>
        </w:tc>
        <w:tc>
          <w:tcPr>
            <w:tcW w:w="876" w:type="dxa"/>
            <w:tcBorders>
              <w:top w:val="single" w:color="000000" w:sz="4" w:space="0"/>
              <w:left w:val="nil"/>
              <w:bottom w:val="nil"/>
              <w:right w:val="nil"/>
            </w:tcBorders>
            <w:shd w:val="clear" w:color="auto" w:fill="FFFFFF"/>
            <w:vAlign w:val="center"/>
          </w:tcPr>
          <w:p w14:paraId="43ECB9FA">
            <w:pPr>
              <w:keepNext w:val="0"/>
              <w:keepLines w:val="0"/>
              <w:widowControl/>
              <w:suppressLineNumbers w:val="0"/>
              <w:jc w:val="center"/>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皮尔逊相关性</w:t>
            </w:r>
          </w:p>
        </w:tc>
        <w:tc>
          <w:tcPr>
            <w:tcW w:w="1146" w:type="dxa"/>
            <w:tcBorders>
              <w:top w:val="single" w:color="000000" w:sz="4" w:space="0"/>
              <w:left w:val="nil"/>
              <w:bottom w:val="nil"/>
              <w:right w:val="nil"/>
            </w:tcBorders>
            <w:shd w:val="clear" w:color="auto" w:fill="FFFFFF"/>
            <w:vAlign w:val="center"/>
          </w:tcPr>
          <w:p w14:paraId="778FE506">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1.000</w:t>
            </w:r>
          </w:p>
        </w:tc>
        <w:tc>
          <w:tcPr>
            <w:tcW w:w="1096" w:type="dxa"/>
            <w:tcBorders>
              <w:top w:val="single" w:color="000000" w:sz="4" w:space="0"/>
              <w:left w:val="nil"/>
              <w:bottom w:val="nil"/>
              <w:right w:val="nil"/>
            </w:tcBorders>
            <w:shd w:val="clear" w:color="auto" w:fill="FFFFFF"/>
            <w:vAlign w:val="center"/>
          </w:tcPr>
          <w:p w14:paraId="1B423548">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0.514**</w:t>
            </w:r>
          </w:p>
        </w:tc>
        <w:tc>
          <w:tcPr>
            <w:tcW w:w="1144" w:type="dxa"/>
            <w:tcBorders>
              <w:top w:val="single" w:color="000000" w:sz="4" w:space="0"/>
              <w:left w:val="nil"/>
              <w:bottom w:val="nil"/>
              <w:right w:val="nil"/>
            </w:tcBorders>
            <w:shd w:val="clear" w:color="auto" w:fill="FFFFFF"/>
            <w:vAlign w:val="center"/>
          </w:tcPr>
          <w:p w14:paraId="02980D3C">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0.461**</w:t>
            </w:r>
          </w:p>
        </w:tc>
        <w:tc>
          <w:tcPr>
            <w:tcW w:w="1099" w:type="dxa"/>
            <w:tcBorders>
              <w:top w:val="single" w:color="000000" w:sz="4" w:space="0"/>
              <w:left w:val="nil"/>
              <w:bottom w:val="nil"/>
              <w:right w:val="nil"/>
            </w:tcBorders>
            <w:shd w:val="clear" w:color="auto" w:fill="FFFFFF"/>
            <w:vAlign w:val="center"/>
          </w:tcPr>
          <w:p w14:paraId="17670A07">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0.499**</w:t>
            </w:r>
          </w:p>
        </w:tc>
        <w:tc>
          <w:tcPr>
            <w:tcW w:w="1122" w:type="dxa"/>
            <w:tcBorders>
              <w:top w:val="single" w:color="000000" w:sz="4" w:space="0"/>
              <w:left w:val="nil"/>
              <w:bottom w:val="nil"/>
              <w:right w:val="nil"/>
            </w:tcBorders>
            <w:shd w:val="clear" w:color="auto" w:fill="FFFFFF"/>
            <w:vAlign w:val="center"/>
          </w:tcPr>
          <w:p w14:paraId="406BC56C">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0.939**</w:t>
            </w:r>
          </w:p>
        </w:tc>
        <w:tc>
          <w:tcPr>
            <w:tcW w:w="1065" w:type="dxa"/>
            <w:tcBorders>
              <w:top w:val="single" w:color="000000" w:sz="4" w:space="0"/>
              <w:left w:val="nil"/>
              <w:bottom w:val="nil"/>
              <w:right w:val="nil"/>
            </w:tcBorders>
            <w:shd w:val="clear" w:color="auto" w:fill="FFFFFF"/>
            <w:vAlign w:val="center"/>
          </w:tcPr>
          <w:p w14:paraId="6163C75E">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0.890**</w:t>
            </w:r>
          </w:p>
        </w:tc>
        <w:tc>
          <w:tcPr>
            <w:tcW w:w="1121" w:type="dxa"/>
            <w:tcBorders>
              <w:top w:val="single" w:color="000000" w:sz="4" w:space="0"/>
              <w:left w:val="nil"/>
              <w:bottom w:val="nil"/>
              <w:right w:val="nil"/>
            </w:tcBorders>
            <w:shd w:val="clear" w:color="auto" w:fill="FFFFFF"/>
            <w:vAlign w:val="center"/>
          </w:tcPr>
          <w:p w14:paraId="3A8A46FE">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0.829**</w:t>
            </w:r>
          </w:p>
        </w:tc>
        <w:tc>
          <w:tcPr>
            <w:tcW w:w="1290" w:type="dxa"/>
            <w:tcBorders>
              <w:top w:val="single" w:color="000000" w:sz="4" w:space="0"/>
              <w:left w:val="nil"/>
              <w:bottom w:val="nil"/>
              <w:right w:val="nil"/>
            </w:tcBorders>
            <w:shd w:val="clear" w:color="auto" w:fill="FFFFFF"/>
            <w:vAlign w:val="center"/>
          </w:tcPr>
          <w:p w14:paraId="3DC23F90">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0.427**</w:t>
            </w:r>
          </w:p>
        </w:tc>
      </w:tr>
      <w:tr w14:paraId="4C734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21" w:type="dxa"/>
            <w:tcBorders>
              <w:top w:val="nil"/>
              <w:left w:val="nil"/>
              <w:bottom w:val="nil"/>
              <w:right w:val="nil"/>
            </w:tcBorders>
            <w:shd w:val="clear" w:color="auto" w:fill="FFFFFF"/>
            <w:vAlign w:val="center"/>
          </w:tcPr>
          <w:p w14:paraId="46AE265C">
            <w:pPr>
              <w:jc w:val="center"/>
              <w:rPr>
                <w:rFonts w:hint="default" w:ascii="Segoe UI" w:hAnsi="Segoe UI" w:eastAsia="Segoe UI" w:cs="Segoe UI"/>
                <w:b w:val="0"/>
                <w:i w:val="0"/>
                <w:iCs w:val="0"/>
                <w:caps w:val="0"/>
                <w:color w:val="000000"/>
                <w:spacing w:val="0"/>
                <w:sz w:val="21"/>
                <w:szCs w:val="21"/>
                <w:shd w:val="clear" w:fill="FFFFFF"/>
                <w:vertAlign w:val="baseline"/>
              </w:rPr>
            </w:pPr>
          </w:p>
        </w:tc>
        <w:tc>
          <w:tcPr>
            <w:tcW w:w="876" w:type="dxa"/>
            <w:tcBorders>
              <w:top w:val="nil"/>
              <w:left w:val="nil"/>
              <w:bottom w:val="nil"/>
              <w:right w:val="nil"/>
            </w:tcBorders>
            <w:shd w:val="clear" w:color="auto" w:fill="FFFFFF"/>
            <w:vAlign w:val="center"/>
          </w:tcPr>
          <w:p w14:paraId="26A0A0E1">
            <w:pPr>
              <w:keepNext w:val="0"/>
              <w:keepLines w:val="0"/>
              <w:widowControl/>
              <w:suppressLineNumbers w:val="0"/>
              <w:jc w:val="center"/>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显著性</w:t>
            </w:r>
          </w:p>
        </w:tc>
        <w:tc>
          <w:tcPr>
            <w:tcW w:w="1146" w:type="dxa"/>
            <w:tcBorders>
              <w:top w:val="nil"/>
              <w:left w:val="nil"/>
              <w:bottom w:val="nil"/>
              <w:right w:val="nil"/>
            </w:tcBorders>
            <w:shd w:val="clear" w:color="auto" w:fill="FFFFFF"/>
            <w:vAlign w:val="center"/>
          </w:tcPr>
          <w:p w14:paraId="26D433F8">
            <w:pPr>
              <w:jc w:val="right"/>
              <w:rPr>
                <w:rFonts w:hint="default" w:ascii="Segoe UI" w:hAnsi="Segoe UI" w:eastAsia="Segoe UI" w:cs="Segoe UI"/>
                <w:b w:val="0"/>
                <w:i w:val="0"/>
                <w:iCs w:val="0"/>
                <w:caps w:val="0"/>
                <w:color w:val="000000"/>
                <w:spacing w:val="0"/>
                <w:sz w:val="21"/>
                <w:szCs w:val="21"/>
                <w:shd w:val="clear" w:fill="FFFFFF"/>
                <w:vertAlign w:val="baseline"/>
              </w:rPr>
            </w:pPr>
          </w:p>
        </w:tc>
        <w:tc>
          <w:tcPr>
            <w:tcW w:w="1096" w:type="dxa"/>
            <w:tcBorders>
              <w:top w:val="nil"/>
              <w:left w:val="nil"/>
              <w:bottom w:val="nil"/>
              <w:right w:val="nil"/>
            </w:tcBorders>
            <w:shd w:val="clear" w:color="auto" w:fill="FFFFFF"/>
            <w:vAlign w:val="center"/>
          </w:tcPr>
          <w:p w14:paraId="6125B7B2">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&lt;0.001</w:t>
            </w:r>
          </w:p>
        </w:tc>
        <w:tc>
          <w:tcPr>
            <w:tcW w:w="1144" w:type="dxa"/>
            <w:tcBorders>
              <w:top w:val="nil"/>
              <w:left w:val="nil"/>
              <w:bottom w:val="nil"/>
              <w:right w:val="nil"/>
            </w:tcBorders>
            <w:shd w:val="clear" w:color="auto" w:fill="FFFFFF"/>
            <w:vAlign w:val="center"/>
          </w:tcPr>
          <w:p w14:paraId="76C62B09">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&lt;0.001</w:t>
            </w:r>
          </w:p>
        </w:tc>
        <w:tc>
          <w:tcPr>
            <w:tcW w:w="1099" w:type="dxa"/>
            <w:tcBorders>
              <w:top w:val="nil"/>
              <w:left w:val="nil"/>
              <w:bottom w:val="nil"/>
              <w:right w:val="nil"/>
            </w:tcBorders>
            <w:shd w:val="clear" w:color="auto" w:fill="FFFFFF"/>
            <w:vAlign w:val="center"/>
          </w:tcPr>
          <w:p w14:paraId="06572F23">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&lt;0.001</w:t>
            </w:r>
          </w:p>
        </w:tc>
        <w:tc>
          <w:tcPr>
            <w:tcW w:w="1122" w:type="dxa"/>
            <w:tcBorders>
              <w:top w:val="nil"/>
              <w:left w:val="nil"/>
              <w:bottom w:val="nil"/>
              <w:right w:val="nil"/>
            </w:tcBorders>
            <w:shd w:val="clear" w:color="auto" w:fill="FFFFFF"/>
            <w:vAlign w:val="center"/>
          </w:tcPr>
          <w:p w14:paraId="2E8356E7">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&lt;0.001</w:t>
            </w:r>
          </w:p>
        </w:tc>
        <w:tc>
          <w:tcPr>
            <w:tcW w:w="1065" w:type="dxa"/>
            <w:tcBorders>
              <w:top w:val="nil"/>
              <w:left w:val="nil"/>
              <w:bottom w:val="nil"/>
              <w:right w:val="nil"/>
            </w:tcBorders>
            <w:shd w:val="clear" w:color="auto" w:fill="FFFFFF"/>
            <w:vAlign w:val="center"/>
          </w:tcPr>
          <w:p w14:paraId="5B2D5ACB">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&lt;0.001</w:t>
            </w:r>
          </w:p>
        </w:tc>
        <w:tc>
          <w:tcPr>
            <w:tcW w:w="1121" w:type="dxa"/>
            <w:tcBorders>
              <w:top w:val="nil"/>
              <w:left w:val="nil"/>
              <w:bottom w:val="nil"/>
              <w:right w:val="nil"/>
            </w:tcBorders>
            <w:shd w:val="clear" w:color="auto" w:fill="FFFFFF"/>
            <w:vAlign w:val="center"/>
          </w:tcPr>
          <w:p w14:paraId="21CEF678">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&lt;0.001</w:t>
            </w:r>
          </w:p>
        </w:tc>
        <w:tc>
          <w:tcPr>
            <w:tcW w:w="1290" w:type="dxa"/>
            <w:tcBorders>
              <w:top w:val="nil"/>
              <w:left w:val="nil"/>
              <w:bottom w:val="nil"/>
              <w:right w:val="nil"/>
            </w:tcBorders>
            <w:shd w:val="clear" w:color="auto" w:fill="FFFFFF"/>
            <w:vAlign w:val="center"/>
          </w:tcPr>
          <w:p w14:paraId="597EFECE">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&lt;0.001</w:t>
            </w:r>
          </w:p>
        </w:tc>
      </w:tr>
      <w:tr w14:paraId="078BD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21" w:type="dxa"/>
            <w:tcBorders>
              <w:top w:val="nil"/>
              <w:left w:val="nil"/>
              <w:bottom w:val="nil"/>
              <w:right w:val="nil"/>
            </w:tcBorders>
            <w:shd w:val="clear" w:color="auto" w:fill="FFFFFF"/>
            <w:vAlign w:val="center"/>
          </w:tcPr>
          <w:p w14:paraId="3C458379">
            <w:pPr>
              <w:keepNext w:val="0"/>
              <w:keepLines w:val="0"/>
              <w:widowControl/>
              <w:suppressLineNumbers w:val="0"/>
              <w:jc w:val="center"/>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压力维度</w:t>
            </w:r>
          </w:p>
        </w:tc>
        <w:tc>
          <w:tcPr>
            <w:tcW w:w="876" w:type="dxa"/>
            <w:tcBorders>
              <w:top w:val="nil"/>
              <w:left w:val="nil"/>
              <w:bottom w:val="nil"/>
              <w:right w:val="nil"/>
            </w:tcBorders>
            <w:shd w:val="clear" w:color="auto" w:fill="FFFFFF"/>
            <w:vAlign w:val="center"/>
          </w:tcPr>
          <w:p w14:paraId="01474A70">
            <w:pPr>
              <w:keepNext w:val="0"/>
              <w:keepLines w:val="0"/>
              <w:widowControl/>
              <w:suppressLineNumbers w:val="0"/>
              <w:jc w:val="center"/>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皮尔逊相关性</w:t>
            </w:r>
          </w:p>
        </w:tc>
        <w:tc>
          <w:tcPr>
            <w:tcW w:w="1146" w:type="dxa"/>
            <w:tcBorders>
              <w:top w:val="nil"/>
              <w:left w:val="nil"/>
              <w:bottom w:val="nil"/>
              <w:right w:val="nil"/>
            </w:tcBorders>
            <w:shd w:val="clear" w:color="auto" w:fill="FFFFFF"/>
            <w:vAlign w:val="center"/>
          </w:tcPr>
          <w:p w14:paraId="28125686">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0.514**</w:t>
            </w:r>
          </w:p>
        </w:tc>
        <w:tc>
          <w:tcPr>
            <w:tcW w:w="1096" w:type="dxa"/>
            <w:tcBorders>
              <w:top w:val="nil"/>
              <w:left w:val="nil"/>
              <w:bottom w:val="nil"/>
              <w:right w:val="nil"/>
            </w:tcBorders>
            <w:shd w:val="clear" w:color="auto" w:fill="FFFFFF"/>
            <w:vAlign w:val="center"/>
          </w:tcPr>
          <w:p w14:paraId="5A6C71AC">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 xml:space="preserve">1.000 </w:t>
            </w:r>
          </w:p>
        </w:tc>
        <w:tc>
          <w:tcPr>
            <w:tcW w:w="1144" w:type="dxa"/>
            <w:tcBorders>
              <w:top w:val="nil"/>
              <w:left w:val="nil"/>
              <w:bottom w:val="nil"/>
              <w:right w:val="nil"/>
            </w:tcBorders>
            <w:shd w:val="clear" w:color="auto" w:fill="FFFFFF"/>
            <w:vAlign w:val="center"/>
          </w:tcPr>
          <w:p w14:paraId="42670F1C">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0.666**</w:t>
            </w:r>
          </w:p>
        </w:tc>
        <w:tc>
          <w:tcPr>
            <w:tcW w:w="1099" w:type="dxa"/>
            <w:tcBorders>
              <w:top w:val="nil"/>
              <w:left w:val="nil"/>
              <w:bottom w:val="nil"/>
              <w:right w:val="nil"/>
            </w:tcBorders>
            <w:shd w:val="clear" w:color="auto" w:fill="FFFFFF"/>
            <w:vAlign w:val="center"/>
          </w:tcPr>
          <w:p w14:paraId="65BEA16C">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0.675**</w:t>
            </w:r>
          </w:p>
        </w:tc>
        <w:tc>
          <w:tcPr>
            <w:tcW w:w="1122" w:type="dxa"/>
            <w:tcBorders>
              <w:top w:val="nil"/>
              <w:left w:val="nil"/>
              <w:bottom w:val="nil"/>
              <w:right w:val="nil"/>
            </w:tcBorders>
            <w:shd w:val="clear" w:color="auto" w:fill="FFFFFF"/>
            <w:vAlign w:val="center"/>
          </w:tcPr>
          <w:p w14:paraId="62FB9640">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0.414**</w:t>
            </w:r>
          </w:p>
        </w:tc>
        <w:tc>
          <w:tcPr>
            <w:tcW w:w="1065" w:type="dxa"/>
            <w:tcBorders>
              <w:top w:val="nil"/>
              <w:left w:val="nil"/>
              <w:bottom w:val="nil"/>
              <w:right w:val="nil"/>
            </w:tcBorders>
            <w:shd w:val="clear" w:color="auto" w:fill="FFFFFF"/>
            <w:vAlign w:val="center"/>
          </w:tcPr>
          <w:p w14:paraId="3E9D3663">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0.441**</w:t>
            </w:r>
          </w:p>
        </w:tc>
        <w:tc>
          <w:tcPr>
            <w:tcW w:w="1121" w:type="dxa"/>
            <w:tcBorders>
              <w:top w:val="nil"/>
              <w:left w:val="nil"/>
              <w:bottom w:val="nil"/>
              <w:right w:val="nil"/>
            </w:tcBorders>
            <w:shd w:val="clear" w:color="auto" w:fill="FFFFFF"/>
            <w:vAlign w:val="center"/>
          </w:tcPr>
          <w:p w14:paraId="42FECB7E">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0.543**</w:t>
            </w:r>
          </w:p>
        </w:tc>
        <w:tc>
          <w:tcPr>
            <w:tcW w:w="1290" w:type="dxa"/>
            <w:tcBorders>
              <w:top w:val="nil"/>
              <w:left w:val="nil"/>
              <w:bottom w:val="nil"/>
              <w:right w:val="nil"/>
            </w:tcBorders>
            <w:shd w:val="clear" w:color="auto" w:fill="FFFFFF"/>
            <w:vAlign w:val="center"/>
          </w:tcPr>
          <w:p w14:paraId="687B8318">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0.218</w:t>
            </w:r>
          </w:p>
        </w:tc>
      </w:tr>
      <w:tr w14:paraId="2CF2D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21" w:type="dxa"/>
            <w:tcBorders>
              <w:top w:val="nil"/>
              <w:left w:val="nil"/>
              <w:bottom w:val="nil"/>
              <w:right w:val="nil"/>
            </w:tcBorders>
            <w:shd w:val="clear" w:color="auto" w:fill="FFFFFF"/>
            <w:vAlign w:val="center"/>
          </w:tcPr>
          <w:p w14:paraId="43CB3A73">
            <w:pPr>
              <w:jc w:val="center"/>
              <w:rPr>
                <w:rFonts w:hint="default" w:ascii="Segoe UI" w:hAnsi="Segoe UI" w:eastAsia="Segoe UI" w:cs="Segoe UI"/>
                <w:b w:val="0"/>
                <w:i w:val="0"/>
                <w:iCs w:val="0"/>
                <w:caps w:val="0"/>
                <w:color w:val="000000"/>
                <w:spacing w:val="0"/>
                <w:sz w:val="21"/>
                <w:szCs w:val="21"/>
                <w:shd w:val="clear" w:fill="FFFFFF"/>
                <w:vertAlign w:val="baseline"/>
              </w:rPr>
            </w:pPr>
          </w:p>
        </w:tc>
        <w:tc>
          <w:tcPr>
            <w:tcW w:w="876" w:type="dxa"/>
            <w:tcBorders>
              <w:top w:val="nil"/>
              <w:left w:val="nil"/>
              <w:bottom w:val="nil"/>
              <w:right w:val="nil"/>
            </w:tcBorders>
            <w:shd w:val="clear" w:color="auto" w:fill="FFFFFF"/>
            <w:vAlign w:val="center"/>
          </w:tcPr>
          <w:p w14:paraId="3BEC7ACD">
            <w:pPr>
              <w:keepNext w:val="0"/>
              <w:keepLines w:val="0"/>
              <w:widowControl/>
              <w:suppressLineNumbers w:val="0"/>
              <w:jc w:val="center"/>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显著性</w:t>
            </w:r>
          </w:p>
        </w:tc>
        <w:tc>
          <w:tcPr>
            <w:tcW w:w="1146" w:type="dxa"/>
            <w:tcBorders>
              <w:top w:val="nil"/>
              <w:left w:val="nil"/>
              <w:bottom w:val="nil"/>
              <w:right w:val="nil"/>
            </w:tcBorders>
            <w:shd w:val="clear" w:color="auto" w:fill="FFFFFF"/>
            <w:vAlign w:val="center"/>
          </w:tcPr>
          <w:p w14:paraId="571221AC">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&lt;0.001</w:t>
            </w:r>
          </w:p>
        </w:tc>
        <w:tc>
          <w:tcPr>
            <w:tcW w:w="1096" w:type="dxa"/>
            <w:tcBorders>
              <w:top w:val="nil"/>
              <w:left w:val="nil"/>
              <w:bottom w:val="nil"/>
              <w:right w:val="nil"/>
            </w:tcBorders>
            <w:shd w:val="clear" w:color="auto" w:fill="FFFFFF"/>
            <w:vAlign w:val="center"/>
          </w:tcPr>
          <w:p w14:paraId="75A9DA90">
            <w:pPr>
              <w:jc w:val="right"/>
              <w:rPr>
                <w:rFonts w:hint="default" w:ascii="Segoe UI" w:hAnsi="Segoe UI" w:eastAsia="Segoe UI" w:cs="Segoe UI"/>
                <w:b w:val="0"/>
                <w:i w:val="0"/>
                <w:iCs w:val="0"/>
                <w:caps w:val="0"/>
                <w:color w:val="000000"/>
                <w:spacing w:val="0"/>
                <w:sz w:val="21"/>
                <w:szCs w:val="21"/>
                <w:shd w:val="clear" w:fill="FFFFFF"/>
                <w:vertAlign w:val="baseline"/>
              </w:rPr>
            </w:pPr>
          </w:p>
        </w:tc>
        <w:tc>
          <w:tcPr>
            <w:tcW w:w="1144" w:type="dxa"/>
            <w:tcBorders>
              <w:top w:val="nil"/>
              <w:left w:val="nil"/>
              <w:bottom w:val="nil"/>
              <w:right w:val="nil"/>
            </w:tcBorders>
            <w:shd w:val="clear" w:color="auto" w:fill="FFFFFF"/>
            <w:vAlign w:val="center"/>
          </w:tcPr>
          <w:p w14:paraId="14E2B6DD">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&lt;0.001</w:t>
            </w:r>
          </w:p>
        </w:tc>
        <w:tc>
          <w:tcPr>
            <w:tcW w:w="1099" w:type="dxa"/>
            <w:tcBorders>
              <w:top w:val="nil"/>
              <w:left w:val="nil"/>
              <w:bottom w:val="nil"/>
              <w:right w:val="nil"/>
            </w:tcBorders>
            <w:shd w:val="clear" w:color="auto" w:fill="FFFFFF"/>
            <w:vAlign w:val="center"/>
          </w:tcPr>
          <w:p w14:paraId="21D513A2">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&lt;0.001</w:t>
            </w:r>
          </w:p>
        </w:tc>
        <w:tc>
          <w:tcPr>
            <w:tcW w:w="1122" w:type="dxa"/>
            <w:tcBorders>
              <w:top w:val="nil"/>
              <w:left w:val="nil"/>
              <w:bottom w:val="nil"/>
              <w:right w:val="nil"/>
            </w:tcBorders>
            <w:shd w:val="clear" w:color="auto" w:fill="FFFFFF"/>
            <w:vAlign w:val="center"/>
          </w:tcPr>
          <w:p w14:paraId="0509D152">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 xml:space="preserve">0.001 </w:t>
            </w:r>
          </w:p>
        </w:tc>
        <w:tc>
          <w:tcPr>
            <w:tcW w:w="1065" w:type="dxa"/>
            <w:tcBorders>
              <w:top w:val="nil"/>
              <w:left w:val="nil"/>
              <w:bottom w:val="nil"/>
              <w:right w:val="nil"/>
            </w:tcBorders>
            <w:shd w:val="clear" w:color="auto" w:fill="FFFFFF"/>
            <w:vAlign w:val="center"/>
          </w:tcPr>
          <w:p w14:paraId="7D91595E">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&lt;0.001</w:t>
            </w:r>
          </w:p>
        </w:tc>
        <w:tc>
          <w:tcPr>
            <w:tcW w:w="1121" w:type="dxa"/>
            <w:tcBorders>
              <w:top w:val="nil"/>
              <w:left w:val="nil"/>
              <w:bottom w:val="nil"/>
              <w:right w:val="nil"/>
            </w:tcBorders>
            <w:shd w:val="clear" w:color="auto" w:fill="FFFFFF"/>
            <w:vAlign w:val="center"/>
          </w:tcPr>
          <w:p w14:paraId="3FD80419">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&lt;0.001</w:t>
            </w:r>
          </w:p>
        </w:tc>
        <w:tc>
          <w:tcPr>
            <w:tcW w:w="1290" w:type="dxa"/>
            <w:tcBorders>
              <w:top w:val="nil"/>
              <w:left w:val="nil"/>
              <w:bottom w:val="nil"/>
              <w:right w:val="nil"/>
            </w:tcBorders>
            <w:shd w:val="clear" w:color="auto" w:fill="FFFFFF"/>
            <w:vAlign w:val="center"/>
          </w:tcPr>
          <w:p w14:paraId="7001A663">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0.097</w:t>
            </w:r>
          </w:p>
        </w:tc>
      </w:tr>
      <w:tr w14:paraId="2F5A5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21" w:type="dxa"/>
            <w:tcBorders>
              <w:top w:val="nil"/>
              <w:left w:val="nil"/>
              <w:bottom w:val="nil"/>
              <w:right w:val="nil"/>
            </w:tcBorders>
            <w:shd w:val="clear" w:color="auto" w:fill="FFFFFF"/>
            <w:vAlign w:val="center"/>
          </w:tcPr>
          <w:p w14:paraId="6B993563">
            <w:pPr>
              <w:keepNext w:val="0"/>
              <w:keepLines w:val="0"/>
              <w:widowControl/>
              <w:suppressLineNumbers w:val="0"/>
              <w:jc w:val="center"/>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焦虑维度</w:t>
            </w:r>
          </w:p>
        </w:tc>
        <w:tc>
          <w:tcPr>
            <w:tcW w:w="876" w:type="dxa"/>
            <w:tcBorders>
              <w:top w:val="nil"/>
              <w:left w:val="nil"/>
              <w:bottom w:val="nil"/>
              <w:right w:val="nil"/>
            </w:tcBorders>
            <w:shd w:val="clear" w:color="auto" w:fill="FFFFFF"/>
            <w:vAlign w:val="center"/>
          </w:tcPr>
          <w:p w14:paraId="5586836B">
            <w:pPr>
              <w:keepNext w:val="0"/>
              <w:keepLines w:val="0"/>
              <w:widowControl/>
              <w:suppressLineNumbers w:val="0"/>
              <w:jc w:val="center"/>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皮尔逊相关性</w:t>
            </w:r>
          </w:p>
        </w:tc>
        <w:tc>
          <w:tcPr>
            <w:tcW w:w="1146" w:type="dxa"/>
            <w:tcBorders>
              <w:top w:val="nil"/>
              <w:left w:val="nil"/>
              <w:bottom w:val="nil"/>
              <w:right w:val="nil"/>
            </w:tcBorders>
            <w:shd w:val="clear" w:color="auto" w:fill="FFFFFF"/>
            <w:vAlign w:val="center"/>
          </w:tcPr>
          <w:p w14:paraId="0A524ADF">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0.461**</w:t>
            </w:r>
          </w:p>
        </w:tc>
        <w:tc>
          <w:tcPr>
            <w:tcW w:w="1096" w:type="dxa"/>
            <w:tcBorders>
              <w:top w:val="nil"/>
              <w:left w:val="nil"/>
              <w:bottom w:val="nil"/>
              <w:right w:val="nil"/>
            </w:tcBorders>
            <w:shd w:val="clear" w:color="auto" w:fill="FFFFFF"/>
            <w:vAlign w:val="center"/>
          </w:tcPr>
          <w:p w14:paraId="4938D19D">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0.666**</w:t>
            </w:r>
          </w:p>
        </w:tc>
        <w:tc>
          <w:tcPr>
            <w:tcW w:w="1144" w:type="dxa"/>
            <w:tcBorders>
              <w:top w:val="nil"/>
              <w:left w:val="nil"/>
              <w:bottom w:val="nil"/>
              <w:right w:val="nil"/>
            </w:tcBorders>
            <w:shd w:val="clear" w:color="auto" w:fill="FFFFFF"/>
            <w:vAlign w:val="center"/>
          </w:tcPr>
          <w:p w14:paraId="77059EDE">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 xml:space="preserve">1.000 </w:t>
            </w:r>
          </w:p>
        </w:tc>
        <w:tc>
          <w:tcPr>
            <w:tcW w:w="1099" w:type="dxa"/>
            <w:tcBorders>
              <w:top w:val="nil"/>
              <w:left w:val="nil"/>
              <w:bottom w:val="nil"/>
              <w:right w:val="nil"/>
            </w:tcBorders>
            <w:shd w:val="clear" w:color="auto" w:fill="FFFFFF"/>
            <w:vAlign w:val="center"/>
          </w:tcPr>
          <w:p w14:paraId="2F765149">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0.744**</w:t>
            </w:r>
          </w:p>
        </w:tc>
        <w:tc>
          <w:tcPr>
            <w:tcW w:w="1122" w:type="dxa"/>
            <w:tcBorders>
              <w:top w:val="nil"/>
              <w:left w:val="nil"/>
              <w:bottom w:val="nil"/>
              <w:right w:val="nil"/>
            </w:tcBorders>
            <w:shd w:val="clear" w:color="auto" w:fill="FFFFFF"/>
            <w:vAlign w:val="center"/>
          </w:tcPr>
          <w:p w14:paraId="1401AFAC">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0.355**</w:t>
            </w:r>
          </w:p>
        </w:tc>
        <w:tc>
          <w:tcPr>
            <w:tcW w:w="1065" w:type="dxa"/>
            <w:tcBorders>
              <w:top w:val="nil"/>
              <w:left w:val="nil"/>
              <w:bottom w:val="nil"/>
              <w:right w:val="nil"/>
            </w:tcBorders>
            <w:shd w:val="clear" w:color="auto" w:fill="FFFFFF"/>
            <w:vAlign w:val="center"/>
          </w:tcPr>
          <w:p w14:paraId="045767EC">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0.499**</w:t>
            </w:r>
          </w:p>
        </w:tc>
        <w:tc>
          <w:tcPr>
            <w:tcW w:w="1121" w:type="dxa"/>
            <w:tcBorders>
              <w:top w:val="nil"/>
              <w:left w:val="nil"/>
              <w:bottom w:val="nil"/>
              <w:right w:val="nil"/>
            </w:tcBorders>
            <w:shd w:val="clear" w:color="auto" w:fill="FFFFFF"/>
            <w:vAlign w:val="center"/>
          </w:tcPr>
          <w:p w14:paraId="5FB3C56D">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0.431**</w:t>
            </w:r>
          </w:p>
        </w:tc>
        <w:tc>
          <w:tcPr>
            <w:tcW w:w="1290" w:type="dxa"/>
            <w:tcBorders>
              <w:top w:val="nil"/>
              <w:left w:val="nil"/>
              <w:bottom w:val="nil"/>
              <w:right w:val="nil"/>
            </w:tcBorders>
            <w:shd w:val="clear" w:color="auto" w:fill="FFFFFF"/>
            <w:vAlign w:val="center"/>
          </w:tcPr>
          <w:p w14:paraId="57AF289B">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0.189</w:t>
            </w:r>
          </w:p>
        </w:tc>
      </w:tr>
      <w:tr w14:paraId="7029D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21" w:type="dxa"/>
            <w:tcBorders>
              <w:top w:val="nil"/>
              <w:left w:val="nil"/>
              <w:bottom w:val="nil"/>
              <w:right w:val="nil"/>
            </w:tcBorders>
            <w:shd w:val="clear" w:color="auto" w:fill="FFFFFF"/>
            <w:vAlign w:val="center"/>
          </w:tcPr>
          <w:p w14:paraId="1A0A86B4">
            <w:pPr>
              <w:jc w:val="center"/>
              <w:rPr>
                <w:rFonts w:hint="default" w:ascii="Segoe UI" w:hAnsi="Segoe UI" w:eastAsia="Segoe UI" w:cs="Segoe UI"/>
                <w:b w:val="0"/>
                <w:i w:val="0"/>
                <w:iCs w:val="0"/>
                <w:caps w:val="0"/>
                <w:color w:val="000000"/>
                <w:spacing w:val="0"/>
                <w:sz w:val="21"/>
                <w:szCs w:val="21"/>
                <w:shd w:val="clear" w:fill="FFFFFF"/>
                <w:vertAlign w:val="baseline"/>
              </w:rPr>
            </w:pPr>
          </w:p>
        </w:tc>
        <w:tc>
          <w:tcPr>
            <w:tcW w:w="876" w:type="dxa"/>
            <w:tcBorders>
              <w:top w:val="nil"/>
              <w:left w:val="nil"/>
              <w:bottom w:val="nil"/>
              <w:right w:val="nil"/>
            </w:tcBorders>
            <w:shd w:val="clear" w:color="auto" w:fill="FFFFFF"/>
            <w:vAlign w:val="center"/>
          </w:tcPr>
          <w:p w14:paraId="3A1E8FBC">
            <w:pPr>
              <w:keepNext w:val="0"/>
              <w:keepLines w:val="0"/>
              <w:widowControl/>
              <w:suppressLineNumbers w:val="0"/>
              <w:jc w:val="center"/>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显著性</w:t>
            </w:r>
          </w:p>
        </w:tc>
        <w:tc>
          <w:tcPr>
            <w:tcW w:w="1146" w:type="dxa"/>
            <w:tcBorders>
              <w:top w:val="nil"/>
              <w:left w:val="nil"/>
              <w:bottom w:val="nil"/>
              <w:right w:val="nil"/>
            </w:tcBorders>
            <w:shd w:val="clear" w:color="auto" w:fill="FFFFFF"/>
            <w:vAlign w:val="center"/>
          </w:tcPr>
          <w:p w14:paraId="70E70B26">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&lt;0.001</w:t>
            </w:r>
          </w:p>
        </w:tc>
        <w:tc>
          <w:tcPr>
            <w:tcW w:w="1096" w:type="dxa"/>
            <w:tcBorders>
              <w:top w:val="nil"/>
              <w:left w:val="nil"/>
              <w:bottom w:val="nil"/>
              <w:right w:val="nil"/>
            </w:tcBorders>
            <w:shd w:val="clear" w:color="auto" w:fill="FFFFFF"/>
            <w:vAlign w:val="center"/>
          </w:tcPr>
          <w:p w14:paraId="19032F68">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&lt;0.001</w:t>
            </w:r>
          </w:p>
        </w:tc>
        <w:tc>
          <w:tcPr>
            <w:tcW w:w="1144" w:type="dxa"/>
            <w:tcBorders>
              <w:top w:val="nil"/>
              <w:left w:val="nil"/>
              <w:bottom w:val="nil"/>
              <w:right w:val="nil"/>
            </w:tcBorders>
            <w:shd w:val="clear" w:color="auto" w:fill="FFFFFF"/>
            <w:vAlign w:val="center"/>
          </w:tcPr>
          <w:p w14:paraId="647BC07B">
            <w:pPr>
              <w:jc w:val="right"/>
              <w:rPr>
                <w:rFonts w:hint="default" w:ascii="Segoe UI" w:hAnsi="Segoe UI" w:eastAsia="Segoe UI" w:cs="Segoe UI"/>
                <w:b w:val="0"/>
                <w:i w:val="0"/>
                <w:iCs w:val="0"/>
                <w:caps w:val="0"/>
                <w:color w:val="000000"/>
                <w:spacing w:val="0"/>
                <w:sz w:val="21"/>
                <w:szCs w:val="21"/>
                <w:shd w:val="clear" w:fill="FFFFFF"/>
                <w:vertAlign w:val="baseline"/>
              </w:rPr>
            </w:pPr>
          </w:p>
        </w:tc>
        <w:tc>
          <w:tcPr>
            <w:tcW w:w="1099" w:type="dxa"/>
            <w:tcBorders>
              <w:top w:val="nil"/>
              <w:left w:val="nil"/>
              <w:bottom w:val="nil"/>
              <w:right w:val="nil"/>
            </w:tcBorders>
            <w:shd w:val="clear" w:color="auto" w:fill="FFFFFF"/>
            <w:vAlign w:val="center"/>
          </w:tcPr>
          <w:p w14:paraId="0CB5394F">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&lt;0.001</w:t>
            </w:r>
          </w:p>
        </w:tc>
        <w:tc>
          <w:tcPr>
            <w:tcW w:w="1122" w:type="dxa"/>
            <w:tcBorders>
              <w:top w:val="nil"/>
              <w:left w:val="nil"/>
              <w:bottom w:val="nil"/>
              <w:right w:val="nil"/>
            </w:tcBorders>
            <w:shd w:val="clear" w:color="auto" w:fill="FFFFFF"/>
            <w:vAlign w:val="center"/>
          </w:tcPr>
          <w:p w14:paraId="23E4A153">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 xml:space="preserve">0.006 </w:t>
            </w:r>
          </w:p>
        </w:tc>
        <w:tc>
          <w:tcPr>
            <w:tcW w:w="1065" w:type="dxa"/>
            <w:tcBorders>
              <w:top w:val="nil"/>
              <w:left w:val="nil"/>
              <w:bottom w:val="nil"/>
              <w:right w:val="nil"/>
            </w:tcBorders>
            <w:shd w:val="clear" w:color="auto" w:fill="FFFFFF"/>
            <w:vAlign w:val="center"/>
          </w:tcPr>
          <w:p w14:paraId="7A6DDD6F">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&lt;0.001</w:t>
            </w:r>
          </w:p>
        </w:tc>
        <w:tc>
          <w:tcPr>
            <w:tcW w:w="1121" w:type="dxa"/>
            <w:tcBorders>
              <w:top w:val="nil"/>
              <w:left w:val="nil"/>
              <w:bottom w:val="nil"/>
              <w:right w:val="nil"/>
            </w:tcBorders>
            <w:shd w:val="clear" w:color="auto" w:fill="FFFFFF"/>
            <w:vAlign w:val="center"/>
          </w:tcPr>
          <w:p w14:paraId="2DD44FCC">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&lt;0.001</w:t>
            </w:r>
          </w:p>
        </w:tc>
        <w:tc>
          <w:tcPr>
            <w:tcW w:w="1290" w:type="dxa"/>
            <w:tcBorders>
              <w:top w:val="nil"/>
              <w:left w:val="nil"/>
              <w:bottom w:val="nil"/>
              <w:right w:val="nil"/>
            </w:tcBorders>
            <w:shd w:val="clear" w:color="auto" w:fill="FFFFFF"/>
            <w:vAlign w:val="center"/>
          </w:tcPr>
          <w:p w14:paraId="08472BF0">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0.153</w:t>
            </w:r>
          </w:p>
        </w:tc>
      </w:tr>
      <w:tr w14:paraId="39CD8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21" w:type="dxa"/>
            <w:tcBorders>
              <w:top w:val="nil"/>
              <w:left w:val="nil"/>
              <w:bottom w:val="nil"/>
              <w:right w:val="nil"/>
            </w:tcBorders>
            <w:shd w:val="clear" w:color="auto" w:fill="FFFFFF"/>
            <w:vAlign w:val="center"/>
          </w:tcPr>
          <w:p w14:paraId="163952E9">
            <w:pPr>
              <w:keepNext w:val="0"/>
              <w:keepLines w:val="0"/>
              <w:widowControl/>
              <w:suppressLineNumbers w:val="0"/>
              <w:jc w:val="center"/>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抑郁维度</w:t>
            </w:r>
          </w:p>
        </w:tc>
        <w:tc>
          <w:tcPr>
            <w:tcW w:w="876" w:type="dxa"/>
            <w:tcBorders>
              <w:top w:val="nil"/>
              <w:left w:val="nil"/>
              <w:bottom w:val="nil"/>
              <w:right w:val="nil"/>
            </w:tcBorders>
            <w:shd w:val="clear" w:color="auto" w:fill="FFFFFF"/>
            <w:vAlign w:val="center"/>
          </w:tcPr>
          <w:p w14:paraId="459C4FC3">
            <w:pPr>
              <w:keepNext w:val="0"/>
              <w:keepLines w:val="0"/>
              <w:widowControl/>
              <w:suppressLineNumbers w:val="0"/>
              <w:jc w:val="center"/>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皮尔逊相关性</w:t>
            </w:r>
          </w:p>
        </w:tc>
        <w:tc>
          <w:tcPr>
            <w:tcW w:w="1146" w:type="dxa"/>
            <w:tcBorders>
              <w:top w:val="nil"/>
              <w:left w:val="nil"/>
              <w:bottom w:val="nil"/>
              <w:right w:val="nil"/>
            </w:tcBorders>
            <w:shd w:val="clear" w:color="auto" w:fill="FFFFFF"/>
            <w:vAlign w:val="center"/>
          </w:tcPr>
          <w:p w14:paraId="2CED34CA">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0.499**</w:t>
            </w:r>
          </w:p>
        </w:tc>
        <w:tc>
          <w:tcPr>
            <w:tcW w:w="1096" w:type="dxa"/>
            <w:tcBorders>
              <w:top w:val="nil"/>
              <w:left w:val="nil"/>
              <w:bottom w:val="nil"/>
              <w:right w:val="nil"/>
            </w:tcBorders>
            <w:shd w:val="clear" w:color="auto" w:fill="FFFFFF"/>
            <w:vAlign w:val="center"/>
          </w:tcPr>
          <w:p w14:paraId="312F4FC2">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0.675**</w:t>
            </w:r>
          </w:p>
        </w:tc>
        <w:tc>
          <w:tcPr>
            <w:tcW w:w="1144" w:type="dxa"/>
            <w:tcBorders>
              <w:top w:val="nil"/>
              <w:left w:val="nil"/>
              <w:bottom w:val="nil"/>
              <w:right w:val="nil"/>
            </w:tcBorders>
            <w:shd w:val="clear" w:color="auto" w:fill="FFFFFF"/>
            <w:vAlign w:val="center"/>
          </w:tcPr>
          <w:p w14:paraId="3CBB9AF0">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0.744**</w:t>
            </w:r>
          </w:p>
        </w:tc>
        <w:tc>
          <w:tcPr>
            <w:tcW w:w="1099" w:type="dxa"/>
            <w:tcBorders>
              <w:top w:val="nil"/>
              <w:left w:val="nil"/>
              <w:bottom w:val="nil"/>
              <w:right w:val="nil"/>
            </w:tcBorders>
            <w:shd w:val="clear" w:color="auto" w:fill="FFFFFF"/>
            <w:vAlign w:val="center"/>
          </w:tcPr>
          <w:p w14:paraId="45A6B141">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 xml:space="preserve">1.000 </w:t>
            </w:r>
          </w:p>
        </w:tc>
        <w:tc>
          <w:tcPr>
            <w:tcW w:w="1122" w:type="dxa"/>
            <w:tcBorders>
              <w:top w:val="nil"/>
              <w:left w:val="nil"/>
              <w:bottom w:val="nil"/>
              <w:right w:val="nil"/>
            </w:tcBorders>
            <w:shd w:val="clear" w:color="auto" w:fill="FFFFFF"/>
            <w:vAlign w:val="center"/>
          </w:tcPr>
          <w:p w14:paraId="5D412BBD">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0.425**</w:t>
            </w:r>
          </w:p>
        </w:tc>
        <w:tc>
          <w:tcPr>
            <w:tcW w:w="1065" w:type="dxa"/>
            <w:tcBorders>
              <w:top w:val="nil"/>
              <w:left w:val="nil"/>
              <w:bottom w:val="nil"/>
              <w:right w:val="nil"/>
            </w:tcBorders>
            <w:shd w:val="clear" w:color="auto" w:fill="FFFFFF"/>
            <w:vAlign w:val="center"/>
          </w:tcPr>
          <w:p w14:paraId="74493515">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0.431**</w:t>
            </w:r>
          </w:p>
        </w:tc>
        <w:tc>
          <w:tcPr>
            <w:tcW w:w="1121" w:type="dxa"/>
            <w:tcBorders>
              <w:top w:val="nil"/>
              <w:left w:val="nil"/>
              <w:bottom w:val="nil"/>
              <w:right w:val="nil"/>
            </w:tcBorders>
            <w:shd w:val="clear" w:color="auto" w:fill="FFFFFF"/>
            <w:vAlign w:val="center"/>
          </w:tcPr>
          <w:p w14:paraId="02DFE34B">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0.490**</w:t>
            </w:r>
          </w:p>
        </w:tc>
        <w:tc>
          <w:tcPr>
            <w:tcW w:w="1290" w:type="dxa"/>
            <w:tcBorders>
              <w:top w:val="nil"/>
              <w:left w:val="nil"/>
              <w:bottom w:val="nil"/>
              <w:right w:val="nil"/>
            </w:tcBorders>
            <w:shd w:val="clear" w:color="auto" w:fill="FFFFFF"/>
            <w:vAlign w:val="center"/>
          </w:tcPr>
          <w:p w14:paraId="502CD6DB">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0.134</w:t>
            </w:r>
          </w:p>
        </w:tc>
      </w:tr>
      <w:tr w14:paraId="0E62B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21" w:type="dxa"/>
            <w:tcBorders>
              <w:top w:val="nil"/>
              <w:left w:val="nil"/>
              <w:bottom w:val="nil"/>
              <w:right w:val="nil"/>
            </w:tcBorders>
            <w:shd w:val="clear" w:color="auto" w:fill="FFFFFF"/>
            <w:vAlign w:val="center"/>
          </w:tcPr>
          <w:p w14:paraId="076DEFB3">
            <w:pPr>
              <w:jc w:val="center"/>
              <w:rPr>
                <w:rFonts w:hint="default" w:ascii="Segoe UI" w:hAnsi="Segoe UI" w:eastAsia="Segoe UI" w:cs="Segoe UI"/>
                <w:b w:val="0"/>
                <w:i w:val="0"/>
                <w:iCs w:val="0"/>
                <w:caps w:val="0"/>
                <w:color w:val="000000"/>
                <w:spacing w:val="0"/>
                <w:sz w:val="21"/>
                <w:szCs w:val="21"/>
                <w:shd w:val="clear" w:fill="FFFFFF"/>
                <w:vertAlign w:val="baseline"/>
              </w:rPr>
            </w:pPr>
          </w:p>
        </w:tc>
        <w:tc>
          <w:tcPr>
            <w:tcW w:w="876" w:type="dxa"/>
            <w:tcBorders>
              <w:top w:val="nil"/>
              <w:left w:val="nil"/>
              <w:bottom w:val="nil"/>
              <w:right w:val="nil"/>
            </w:tcBorders>
            <w:shd w:val="clear" w:color="auto" w:fill="FFFFFF"/>
            <w:vAlign w:val="center"/>
          </w:tcPr>
          <w:p w14:paraId="29CB7F9B">
            <w:pPr>
              <w:keepNext w:val="0"/>
              <w:keepLines w:val="0"/>
              <w:widowControl/>
              <w:suppressLineNumbers w:val="0"/>
              <w:jc w:val="center"/>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显著性</w:t>
            </w:r>
          </w:p>
        </w:tc>
        <w:tc>
          <w:tcPr>
            <w:tcW w:w="1146" w:type="dxa"/>
            <w:tcBorders>
              <w:top w:val="nil"/>
              <w:left w:val="nil"/>
              <w:bottom w:val="nil"/>
              <w:right w:val="nil"/>
            </w:tcBorders>
            <w:shd w:val="clear" w:color="auto" w:fill="FFFFFF"/>
            <w:vAlign w:val="center"/>
          </w:tcPr>
          <w:p w14:paraId="11E6B1BD">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&lt;0.001</w:t>
            </w:r>
          </w:p>
        </w:tc>
        <w:tc>
          <w:tcPr>
            <w:tcW w:w="1096" w:type="dxa"/>
            <w:tcBorders>
              <w:top w:val="nil"/>
              <w:left w:val="nil"/>
              <w:bottom w:val="nil"/>
              <w:right w:val="nil"/>
            </w:tcBorders>
            <w:shd w:val="clear" w:color="auto" w:fill="FFFFFF"/>
            <w:vAlign w:val="center"/>
          </w:tcPr>
          <w:p w14:paraId="356DD875">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&lt;0.001</w:t>
            </w:r>
          </w:p>
        </w:tc>
        <w:tc>
          <w:tcPr>
            <w:tcW w:w="1144" w:type="dxa"/>
            <w:tcBorders>
              <w:top w:val="nil"/>
              <w:left w:val="nil"/>
              <w:bottom w:val="nil"/>
              <w:right w:val="nil"/>
            </w:tcBorders>
            <w:shd w:val="clear" w:color="auto" w:fill="FFFFFF"/>
            <w:vAlign w:val="center"/>
          </w:tcPr>
          <w:p w14:paraId="7E42B6E5">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&lt;0.001</w:t>
            </w:r>
          </w:p>
        </w:tc>
        <w:tc>
          <w:tcPr>
            <w:tcW w:w="1099" w:type="dxa"/>
            <w:tcBorders>
              <w:top w:val="nil"/>
              <w:left w:val="nil"/>
              <w:bottom w:val="nil"/>
              <w:right w:val="nil"/>
            </w:tcBorders>
            <w:shd w:val="clear" w:color="auto" w:fill="FFFFFF"/>
            <w:vAlign w:val="center"/>
          </w:tcPr>
          <w:p w14:paraId="5C18FDC7">
            <w:pPr>
              <w:jc w:val="right"/>
              <w:rPr>
                <w:rFonts w:hint="default" w:ascii="Segoe UI" w:hAnsi="Segoe UI" w:eastAsia="Segoe UI" w:cs="Segoe UI"/>
                <w:b w:val="0"/>
                <w:i w:val="0"/>
                <w:iCs w:val="0"/>
                <w:caps w:val="0"/>
                <w:color w:val="000000"/>
                <w:spacing w:val="0"/>
                <w:sz w:val="21"/>
                <w:szCs w:val="21"/>
                <w:shd w:val="clear" w:fill="FFFFFF"/>
                <w:vertAlign w:val="baseline"/>
              </w:rPr>
            </w:pPr>
          </w:p>
        </w:tc>
        <w:tc>
          <w:tcPr>
            <w:tcW w:w="1122" w:type="dxa"/>
            <w:tcBorders>
              <w:top w:val="nil"/>
              <w:left w:val="nil"/>
              <w:bottom w:val="nil"/>
              <w:right w:val="nil"/>
            </w:tcBorders>
            <w:shd w:val="clear" w:color="auto" w:fill="FFFFFF"/>
            <w:vAlign w:val="center"/>
          </w:tcPr>
          <w:p w14:paraId="106D3B54">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&lt;0.001</w:t>
            </w:r>
          </w:p>
        </w:tc>
        <w:tc>
          <w:tcPr>
            <w:tcW w:w="1065" w:type="dxa"/>
            <w:tcBorders>
              <w:top w:val="nil"/>
              <w:left w:val="nil"/>
              <w:bottom w:val="nil"/>
              <w:right w:val="nil"/>
            </w:tcBorders>
            <w:shd w:val="clear" w:color="auto" w:fill="FFFFFF"/>
            <w:vAlign w:val="center"/>
          </w:tcPr>
          <w:p w14:paraId="33442789">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&lt;0.001</w:t>
            </w:r>
          </w:p>
        </w:tc>
        <w:tc>
          <w:tcPr>
            <w:tcW w:w="1121" w:type="dxa"/>
            <w:tcBorders>
              <w:top w:val="nil"/>
              <w:left w:val="nil"/>
              <w:bottom w:val="nil"/>
              <w:right w:val="nil"/>
            </w:tcBorders>
            <w:shd w:val="clear" w:color="auto" w:fill="FFFFFF"/>
            <w:vAlign w:val="center"/>
          </w:tcPr>
          <w:p w14:paraId="399F4BC9">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&lt;0.001</w:t>
            </w:r>
          </w:p>
        </w:tc>
        <w:tc>
          <w:tcPr>
            <w:tcW w:w="1290" w:type="dxa"/>
            <w:tcBorders>
              <w:top w:val="nil"/>
              <w:left w:val="nil"/>
              <w:bottom w:val="nil"/>
              <w:right w:val="nil"/>
            </w:tcBorders>
            <w:shd w:val="clear" w:color="auto" w:fill="FFFFFF"/>
            <w:vAlign w:val="center"/>
          </w:tcPr>
          <w:p w14:paraId="22F2D9DA">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0.311</w:t>
            </w:r>
          </w:p>
        </w:tc>
      </w:tr>
      <w:tr w14:paraId="4CE61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21" w:type="dxa"/>
            <w:tcBorders>
              <w:top w:val="nil"/>
              <w:left w:val="nil"/>
              <w:bottom w:val="nil"/>
              <w:right w:val="nil"/>
            </w:tcBorders>
            <w:shd w:val="clear" w:color="auto" w:fill="FFFFFF"/>
            <w:vAlign w:val="center"/>
          </w:tcPr>
          <w:p w14:paraId="0DDAC29A">
            <w:pPr>
              <w:keepNext w:val="0"/>
              <w:keepLines w:val="0"/>
              <w:widowControl/>
              <w:suppressLineNumbers w:val="0"/>
              <w:jc w:val="center"/>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戒断症状</w:t>
            </w:r>
          </w:p>
        </w:tc>
        <w:tc>
          <w:tcPr>
            <w:tcW w:w="876" w:type="dxa"/>
            <w:tcBorders>
              <w:top w:val="nil"/>
              <w:left w:val="nil"/>
              <w:bottom w:val="nil"/>
              <w:right w:val="nil"/>
            </w:tcBorders>
            <w:shd w:val="clear" w:color="auto" w:fill="FFFFFF"/>
            <w:vAlign w:val="center"/>
          </w:tcPr>
          <w:p w14:paraId="43AA87CD">
            <w:pPr>
              <w:keepNext w:val="0"/>
              <w:keepLines w:val="0"/>
              <w:widowControl/>
              <w:suppressLineNumbers w:val="0"/>
              <w:jc w:val="center"/>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皮尔逊相关性</w:t>
            </w:r>
          </w:p>
        </w:tc>
        <w:tc>
          <w:tcPr>
            <w:tcW w:w="1146" w:type="dxa"/>
            <w:tcBorders>
              <w:top w:val="nil"/>
              <w:left w:val="nil"/>
              <w:bottom w:val="nil"/>
              <w:right w:val="nil"/>
            </w:tcBorders>
            <w:shd w:val="clear" w:color="auto" w:fill="FFFFFF"/>
            <w:vAlign w:val="center"/>
          </w:tcPr>
          <w:p w14:paraId="71350F39">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0.939**</w:t>
            </w:r>
          </w:p>
        </w:tc>
        <w:tc>
          <w:tcPr>
            <w:tcW w:w="1096" w:type="dxa"/>
            <w:tcBorders>
              <w:top w:val="nil"/>
              <w:left w:val="nil"/>
              <w:bottom w:val="nil"/>
              <w:right w:val="nil"/>
            </w:tcBorders>
            <w:shd w:val="clear" w:color="auto" w:fill="FFFFFF"/>
            <w:vAlign w:val="center"/>
          </w:tcPr>
          <w:p w14:paraId="7BC93958">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0.414**</w:t>
            </w:r>
          </w:p>
        </w:tc>
        <w:tc>
          <w:tcPr>
            <w:tcW w:w="1144" w:type="dxa"/>
            <w:tcBorders>
              <w:top w:val="nil"/>
              <w:left w:val="nil"/>
              <w:bottom w:val="nil"/>
              <w:right w:val="nil"/>
            </w:tcBorders>
            <w:shd w:val="clear" w:color="auto" w:fill="FFFFFF"/>
            <w:vAlign w:val="center"/>
          </w:tcPr>
          <w:p w14:paraId="7DA42C89">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0.355**</w:t>
            </w:r>
          </w:p>
        </w:tc>
        <w:tc>
          <w:tcPr>
            <w:tcW w:w="1099" w:type="dxa"/>
            <w:tcBorders>
              <w:top w:val="nil"/>
              <w:left w:val="nil"/>
              <w:bottom w:val="nil"/>
              <w:right w:val="nil"/>
            </w:tcBorders>
            <w:shd w:val="clear" w:color="auto" w:fill="FFFFFF"/>
            <w:vAlign w:val="center"/>
          </w:tcPr>
          <w:p w14:paraId="6F8F28F6">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0.425**</w:t>
            </w:r>
          </w:p>
        </w:tc>
        <w:tc>
          <w:tcPr>
            <w:tcW w:w="1122" w:type="dxa"/>
            <w:tcBorders>
              <w:top w:val="nil"/>
              <w:left w:val="nil"/>
              <w:bottom w:val="nil"/>
              <w:right w:val="nil"/>
            </w:tcBorders>
            <w:shd w:val="clear" w:color="auto" w:fill="FFFFFF"/>
            <w:vAlign w:val="center"/>
          </w:tcPr>
          <w:p w14:paraId="27892753">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 xml:space="preserve">1.000 </w:t>
            </w:r>
          </w:p>
        </w:tc>
        <w:tc>
          <w:tcPr>
            <w:tcW w:w="1065" w:type="dxa"/>
            <w:tcBorders>
              <w:top w:val="nil"/>
              <w:left w:val="nil"/>
              <w:bottom w:val="nil"/>
              <w:right w:val="nil"/>
            </w:tcBorders>
            <w:shd w:val="clear" w:color="auto" w:fill="FFFFFF"/>
            <w:vAlign w:val="center"/>
          </w:tcPr>
          <w:p w14:paraId="66531621">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0.796**</w:t>
            </w:r>
          </w:p>
        </w:tc>
        <w:tc>
          <w:tcPr>
            <w:tcW w:w="1121" w:type="dxa"/>
            <w:tcBorders>
              <w:top w:val="nil"/>
              <w:left w:val="nil"/>
              <w:bottom w:val="nil"/>
              <w:right w:val="nil"/>
            </w:tcBorders>
            <w:shd w:val="clear" w:color="auto" w:fill="FFFFFF"/>
            <w:vAlign w:val="center"/>
          </w:tcPr>
          <w:p w14:paraId="402A3F87">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0.626**</w:t>
            </w:r>
          </w:p>
        </w:tc>
        <w:tc>
          <w:tcPr>
            <w:tcW w:w="1290" w:type="dxa"/>
            <w:tcBorders>
              <w:top w:val="nil"/>
              <w:left w:val="nil"/>
              <w:bottom w:val="nil"/>
              <w:right w:val="nil"/>
            </w:tcBorders>
            <w:shd w:val="clear" w:color="auto" w:fill="FFFFFF"/>
            <w:vAlign w:val="center"/>
          </w:tcPr>
          <w:p w14:paraId="4DDCB8EB">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0.315*</w:t>
            </w:r>
          </w:p>
        </w:tc>
      </w:tr>
      <w:tr w14:paraId="77F30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21" w:type="dxa"/>
            <w:tcBorders>
              <w:top w:val="nil"/>
              <w:left w:val="nil"/>
              <w:bottom w:val="nil"/>
              <w:right w:val="nil"/>
            </w:tcBorders>
            <w:shd w:val="clear" w:color="auto" w:fill="FFFFFF"/>
            <w:vAlign w:val="center"/>
          </w:tcPr>
          <w:p w14:paraId="081CDA03">
            <w:pPr>
              <w:jc w:val="center"/>
              <w:rPr>
                <w:rFonts w:hint="default" w:ascii="Segoe UI" w:hAnsi="Segoe UI" w:eastAsia="Segoe UI" w:cs="Segoe UI"/>
                <w:b w:val="0"/>
                <w:i w:val="0"/>
                <w:iCs w:val="0"/>
                <w:caps w:val="0"/>
                <w:color w:val="000000"/>
                <w:spacing w:val="0"/>
                <w:sz w:val="21"/>
                <w:szCs w:val="21"/>
                <w:shd w:val="clear" w:fill="FFFFFF"/>
                <w:vertAlign w:val="baseline"/>
              </w:rPr>
            </w:pPr>
          </w:p>
        </w:tc>
        <w:tc>
          <w:tcPr>
            <w:tcW w:w="876" w:type="dxa"/>
            <w:tcBorders>
              <w:top w:val="nil"/>
              <w:left w:val="nil"/>
              <w:bottom w:val="nil"/>
              <w:right w:val="nil"/>
            </w:tcBorders>
            <w:shd w:val="clear" w:color="auto" w:fill="FFFFFF"/>
            <w:vAlign w:val="center"/>
          </w:tcPr>
          <w:p w14:paraId="7B9755ED">
            <w:pPr>
              <w:keepNext w:val="0"/>
              <w:keepLines w:val="0"/>
              <w:widowControl/>
              <w:suppressLineNumbers w:val="0"/>
              <w:jc w:val="center"/>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显著性</w:t>
            </w:r>
          </w:p>
        </w:tc>
        <w:tc>
          <w:tcPr>
            <w:tcW w:w="1146" w:type="dxa"/>
            <w:tcBorders>
              <w:top w:val="nil"/>
              <w:left w:val="nil"/>
              <w:bottom w:val="nil"/>
              <w:right w:val="nil"/>
            </w:tcBorders>
            <w:shd w:val="clear" w:color="auto" w:fill="FFFFFF"/>
            <w:vAlign w:val="center"/>
          </w:tcPr>
          <w:p w14:paraId="7D39733C">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&lt;0.001</w:t>
            </w:r>
          </w:p>
        </w:tc>
        <w:tc>
          <w:tcPr>
            <w:tcW w:w="1096" w:type="dxa"/>
            <w:tcBorders>
              <w:top w:val="nil"/>
              <w:left w:val="nil"/>
              <w:bottom w:val="nil"/>
              <w:right w:val="nil"/>
            </w:tcBorders>
            <w:shd w:val="clear" w:color="auto" w:fill="FFFFFF"/>
            <w:vAlign w:val="center"/>
          </w:tcPr>
          <w:p w14:paraId="71648961">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 xml:space="preserve">0.001 </w:t>
            </w:r>
          </w:p>
        </w:tc>
        <w:tc>
          <w:tcPr>
            <w:tcW w:w="1144" w:type="dxa"/>
            <w:tcBorders>
              <w:top w:val="nil"/>
              <w:left w:val="nil"/>
              <w:bottom w:val="nil"/>
              <w:right w:val="nil"/>
            </w:tcBorders>
            <w:shd w:val="clear" w:color="auto" w:fill="FFFFFF"/>
            <w:vAlign w:val="center"/>
          </w:tcPr>
          <w:p w14:paraId="37CED8D3">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 xml:space="preserve">0.006 </w:t>
            </w:r>
          </w:p>
        </w:tc>
        <w:tc>
          <w:tcPr>
            <w:tcW w:w="1099" w:type="dxa"/>
            <w:tcBorders>
              <w:top w:val="nil"/>
              <w:left w:val="nil"/>
              <w:bottom w:val="nil"/>
              <w:right w:val="nil"/>
            </w:tcBorders>
            <w:shd w:val="clear" w:color="auto" w:fill="FFFFFF"/>
            <w:vAlign w:val="center"/>
          </w:tcPr>
          <w:p w14:paraId="7D087A4C">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&lt;0.001</w:t>
            </w:r>
          </w:p>
        </w:tc>
        <w:tc>
          <w:tcPr>
            <w:tcW w:w="1122" w:type="dxa"/>
            <w:tcBorders>
              <w:top w:val="nil"/>
              <w:left w:val="nil"/>
              <w:bottom w:val="nil"/>
              <w:right w:val="nil"/>
            </w:tcBorders>
            <w:shd w:val="clear" w:color="auto" w:fill="FFFFFF"/>
            <w:vAlign w:val="center"/>
          </w:tcPr>
          <w:p w14:paraId="75FD2219">
            <w:pPr>
              <w:jc w:val="right"/>
              <w:rPr>
                <w:rFonts w:hint="default" w:ascii="Segoe UI" w:hAnsi="Segoe UI" w:eastAsia="Segoe UI" w:cs="Segoe UI"/>
                <w:b w:val="0"/>
                <w:i w:val="0"/>
                <w:iCs w:val="0"/>
                <w:caps w:val="0"/>
                <w:color w:val="000000"/>
                <w:spacing w:val="0"/>
                <w:sz w:val="21"/>
                <w:szCs w:val="21"/>
                <w:shd w:val="clear" w:fill="FFFFFF"/>
                <w:vertAlign w:val="baseline"/>
              </w:rPr>
            </w:pPr>
          </w:p>
        </w:tc>
        <w:tc>
          <w:tcPr>
            <w:tcW w:w="1065" w:type="dxa"/>
            <w:tcBorders>
              <w:top w:val="nil"/>
              <w:left w:val="nil"/>
              <w:bottom w:val="nil"/>
              <w:right w:val="nil"/>
            </w:tcBorders>
            <w:shd w:val="clear" w:color="auto" w:fill="FFFFFF"/>
            <w:vAlign w:val="center"/>
          </w:tcPr>
          <w:p w14:paraId="0F7D3CB0">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&lt;0.001</w:t>
            </w:r>
          </w:p>
        </w:tc>
        <w:tc>
          <w:tcPr>
            <w:tcW w:w="1121" w:type="dxa"/>
            <w:tcBorders>
              <w:top w:val="nil"/>
              <w:left w:val="nil"/>
              <w:bottom w:val="nil"/>
              <w:right w:val="nil"/>
            </w:tcBorders>
            <w:shd w:val="clear" w:color="auto" w:fill="FFFFFF"/>
            <w:vAlign w:val="center"/>
          </w:tcPr>
          <w:p w14:paraId="37F04D87">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&lt;0.001</w:t>
            </w:r>
          </w:p>
        </w:tc>
        <w:tc>
          <w:tcPr>
            <w:tcW w:w="1290" w:type="dxa"/>
            <w:tcBorders>
              <w:top w:val="nil"/>
              <w:left w:val="nil"/>
              <w:bottom w:val="nil"/>
              <w:right w:val="nil"/>
            </w:tcBorders>
            <w:shd w:val="clear" w:color="auto" w:fill="FFFFFF"/>
            <w:vAlign w:val="center"/>
          </w:tcPr>
          <w:p w14:paraId="0C9139D0">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0.015</w:t>
            </w:r>
          </w:p>
        </w:tc>
      </w:tr>
      <w:tr w14:paraId="5C9D6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21" w:type="dxa"/>
            <w:tcBorders>
              <w:top w:val="nil"/>
              <w:left w:val="nil"/>
              <w:bottom w:val="nil"/>
              <w:right w:val="nil"/>
            </w:tcBorders>
            <w:shd w:val="clear" w:color="auto" w:fill="FFFFFF"/>
            <w:vAlign w:val="center"/>
          </w:tcPr>
          <w:p w14:paraId="1D8C4B30">
            <w:pPr>
              <w:keepNext w:val="0"/>
              <w:keepLines w:val="0"/>
              <w:widowControl/>
              <w:suppressLineNumbers w:val="0"/>
              <w:jc w:val="center"/>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渴求性</w:t>
            </w:r>
          </w:p>
        </w:tc>
        <w:tc>
          <w:tcPr>
            <w:tcW w:w="876" w:type="dxa"/>
            <w:tcBorders>
              <w:top w:val="nil"/>
              <w:left w:val="nil"/>
              <w:bottom w:val="nil"/>
              <w:right w:val="nil"/>
            </w:tcBorders>
            <w:shd w:val="clear" w:color="auto" w:fill="FFFFFF"/>
            <w:vAlign w:val="center"/>
          </w:tcPr>
          <w:p w14:paraId="390668F8">
            <w:pPr>
              <w:keepNext w:val="0"/>
              <w:keepLines w:val="0"/>
              <w:widowControl/>
              <w:suppressLineNumbers w:val="0"/>
              <w:jc w:val="center"/>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皮尔逊相关性</w:t>
            </w:r>
          </w:p>
        </w:tc>
        <w:tc>
          <w:tcPr>
            <w:tcW w:w="1146" w:type="dxa"/>
            <w:tcBorders>
              <w:top w:val="nil"/>
              <w:left w:val="nil"/>
              <w:bottom w:val="nil"/>
              <w:right w:val="nil"/>
            </w:tcBorders>
            <w:shd w:val="clear" w:color="auto" w:fill="FFFFFF"/>
            <w:vAlign w:val="center"/>
          </w:tcPr>
          <w:p w14:paraId="7529CF38">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0.890**</w:t>
            </w:r>
          </w:p>
        </w:tc>
        <w:tc>
          <w:tcPr>
            <w:tcW w:w="1096" w:type="dxa"/>
            <w:tcBorders>
              <w:top w:val="nil"/>
              <w:left w:val="nil"/>
              <w:bottom w:val="nil"/>
              <w:right w:val="nil"/>
            </w:tcBorders>
            <w:shd w:val="clear" w:color="auto" w:fill="FFFFFF"/>
            <w:vAlign w:val="center"/>
          </w:tcPr>
          <w:p w14:paraId="6D6F3F73">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0.441**</w:t>
            </w:r>
          </w:p>
        </w:tc>
        <w:tc>
          <w:tcPr>
            <w:tcW w:w="1144" w:type="dxa"/>
            <w:tcBorders>
              <w:top w:val="nil"/>
              <w:left w:val="nil"/>
              <w:bottom w:val="nil"/>
              <w:right w:val="nil"/>
            </w:tcBorders>
            <w:shd w:val="clear" w:color="auto" w:fill="FFFFFF"/>
            <w:vAlign w:val="center"/>
          </w:tcPr>
          <w:p w14:paraId="7E25B2AF">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0.499**</w:t>
            </w:r>
          </w:p>
        </w:tc>
        <w:tc>
          <w:tcPr>
            <w:tcW w:w="1099" w:type="dxa"/>
            <w:tcBorders>
              <w:top w:val="nil"/>
              <w:left w:val="nil"/>
              <w:bottom w:val="nil"/>
              <w:right w:val="nil"/>
            </w:tcBorders>
            <w:shd w:val="clear" w:color="auto" w:fill="FFFFFF"/>
            <w:vAlign w:val="center"/>
          </w:tcPr>
          <w:p w14:paraId="2ECD112B">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0.431**</w:t>
            </w:r>
          </w:p>
        </w:tc>
        <w:tc>
          <w:tcPr>
            <w:tcW w:w="1122" w:type="dxa"/>
            <w:tcBorders>
              <w:top w:val="nil"/>
              <w:left w:val="nil"/>
              <w:bottom w:val="nil"/>
              <w:right w:val="nil"/>
            </w:tcBorders>
            <w:shd w:val="clear" w:color="auto" w:fill="FFFFFF"/>
            <w:vAlign w:val="center"/>
          </w:tcPr>
          <w:p w14:paraId="01C3A256">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0.796**</w:t>
            </w:r>
          </w:p>
        </w:tc>
        <w:tc>
          <w:tcPr>
            <w:tcW w:w="1065" w:type="dxa"/>
            <w:tcBorders>
              <w:top w:val="nil"/>
              <w:left w:val="nil"/>
              <w:bottom w:val="nil"/>
              <w:right w:val="nil"/>
            </w:tcBorders>
            <w:shd w:val="clear" w:color="auto" w:fill="FFFFFF"/>
            <w:vAlign w:val="center"/>
          </w:tcPr>
          <w:p w14:paraId="39124C64">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 xml:space="preserve">1.000 </w:t>
            </w:r>
          </w:p>
        </w:tc>
        <w:tc>
          <w:tcPr>
            <w:tcW w:w="1121" w:type="dxa"/>
            <w:tcBorders>
              <w:top w:val="nil"/>
              <w:left w:val="nil"/>
              <w:bottom w:val="nil"/>
              <w:right w:val="nil"/>
            </w:tcBorders>
            <w:shd w:val="clear" w:color="auto" w:fill="FFFFFF"/>
            <w:vAlign w:val="center"/>
          </w:tcPr>
          <w:p w14:paraId="1FC4D371">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0.635**</w:t>
            </w:r>
          </w:p>
        </w:tc>
        <w:tc>
          <w:tcPr>
            <w:tcW w:w="1290" w:type="dxa"/>
            <w:tcBorders>
              <w:top w:val="nil"/>
              <w:left w:val="nil"/>
              <w:bottom w:val="nil"/>
              <w:right w:val="nil"/>
            </w:tcBorders>
            <w:shd w:val="clear" w:color="auto" w:fill="FFFFFF"/>
            <w:vAlign w:val="center"/>
          </w:tcPr>
          <w:p w14:paraId="0ABB70C5">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0.389**</w:t>
            </w:r>
          </w:p>
        </w:tc>
      </w:tr>
      <w:tr w14:paraId="50F24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21" w:type="dxa"/>
            <w:tcBorders>
              <w:top w:val="nil"/>
              <w:left w:val="nil"/>
              <w:bottom w:val="nil"/>
              <w:right w:val="nil"/>
            </w:tcBorders>
            <w:shd w:val="clear" w:color="auto" w:fill="FFFFFF"/>
            <w:vAlign w:val="center"/>
          </w:tcPr>
          <w:p w14:paraId="4851193E">
            <w:pPr>
              <w:jc w:val="center"/>
              <w:rPr>
                <w:rFonts w:hint="default" w:ascii="Segoe UI" w:hAnsi="Segoe UI" w:eastAsia="Segoe UI" w:cs="Segoe UI"/>
                <w:b w:val="0"/>
                <w:i w:val="0"/>
                <w:iCs w:val="0"/>
                <w:caps w:val="0"/>
                <w:color w:val="000000"/>
                <w:spacing w:val="0"/>
                <w:sz w:val="21"/>
                <w:szCs w:val="21"/>
                <w:shd w:val="clear" w:fill="FFFFFF"/>
                <w:vertAlign w:val="baseline"/>
              </w:rPr>
            </w:pPr>
          </w:p>
        </w:tc>
        <w:tc>
          <w:tcPr>
            <w:tcW w:w="876" w:type="dxa"/>
            <w:tcBorders>
              <w:top w:val="nil"/>
              <w:left w:val="nil"/>
              <w:bottom w:val="nil"/>
              <w:right w:val="nil"/>
            </w:tcBorders>
            <w:shd w:val="clear" w:color="auto" w:fill="FFFFFF"/>
            <w:vAlign w:val="center"/>
          </w:tcPr>
          <w:p w14:paraId="75E96E79">
            <w:pPr>
              <w:keepNext w:val="0"/>
              <w:keepLines w:val="0"/>
              <w:widowControl/>
              <w:suppressLineNumbers w:val="0"/>
              <w:jc w:val="center"/>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显著性</w:t>
            </w:r>
          </w:p>
        </w:tc>
        <w:tc>
          <w:tcPr>
            <w:tcW w:w="1146" w:type="dxa"/>
            <w:tcBorders>
              <w:top w:val="nil"/>
              <w:left w:val="nil"/>
              <w:bottom w:val="nil"/>
              <w:right w:val="nil"/>
            </w:tcBorders>
            <w:shd w:val="clear" w:color="auto" w:fill="FFFFFF"/>
            <w:vAlign w:val="center"/>
          </w:tcPr>
          <w:p w14:paraId="5E006BAA">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&lt;0.001</w:t>
            </w:r>
          </w:p>
        </w:tc>
        <w:tc>
          <w:tcPr>
            <w:tcW w:w="1096" w:type="dxa"/>
            <w:tcBorders>
              <w:top w:val="nil"/>
              <w:left w:val="nil"/>
              <w:bottom w:val="nil"/>
              <w:right w:val="nil"/>
            </w:tcBorders>
            <w:shd w:val="clear" w:color="auto" w:fill="FFFFFF"/>
            <w:vAlign w:val="center"/>
          </w:tcPr>
          <w:p w14:paraId="64C906CC">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&lt;0.001</w:t>
            </w:r>
          </w:p>
        </w:tc>
        <w:tc>
          <w:tcPr>
            <w:tcW w:w="1144" w:type="dxa"/>
            <w:tcBorders>
              <w:top w:val="nil"/>
              <w:left w:val="nil"/>
              <w:bottom w:val="nil"/>
              <w:right w:val="nil"/>
            </w:tcBorders>
            <w:shd w:val="clear" w:color="auto" w:fill="FFFFFF"/>
            <w:vAlign w:val="center"/>
          </w:tcPr>
          <w:p w14:paraId="06E2490B">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&lt;0.001</w:t>
            </w:r>
          </w:p>
        </w:tc>
        <w:tc>
          <w:tcPr>
            <w:tcW w:w="1099" w:type="dxa"/>
            <w:tcBorders>
              <w:top w:val="nil"/>
              <w:left w:val="nil"/>
              <w:bottom w:val="nil"/>
              <w:right w:val="nil"/>
            </w:tcBorders>
            <w:shd w:val="clear" w:color="auto" w:fill="FFFFFF"/>
            <w:vAlign w:val="center"/>
          </w:tcPr>
          <w:p w14:paraId="1C4CA7EB">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&lt;0.001</w:t>
            </w:r>
          </w:p>
        </w:tc>
        <w:tc>
          <w:tcPr>
            <w:tcW w:w="1122" w:type="dxa"/>
            <w:tcBorders>
              <w:top w:val="nil"/>
              <w:left w:val="nil"/>
              <w:bottom w:val="nil"/>
              <w:right w:val="nil"/>
            </w:tcBorders>
            <w:shd w:val="clear" w:color="auto" w:fill="FFFFFF"/>
            <w:vAlign w:val="center"/>
          </w:tcPr>
          <w:p w14:paraId="5AB7F7A3">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&lt;0.001</w:t>
            </w:r>
          </w:p>
        </w:tc>
        <w:tc>
          <w:tcPr>
            <w:tcW w:w="1065" w:type="dxa"/>
            <w:tcBorders>
              <w:top w:val="nil"/>
              <w:left w:val="nil"/>
              <w:bottom w:val="nil"/>
              <w:right w:val="nil"/>
            </w:tcBorders>
            <w:shd w:val="clear" w:color="auto" w:fill="FFFFFF"/>
            <w:vAlign w:val="center"/>
          </w:tcPr>
          <w:p w14:paraId="570BF1B1">
            <w:pPr>
              <w:jc w:val="right"/>
              <w:rPr>
                <w:rFonts w:hint="default" w:ascii="Segoe UI" w:hAnsi="Segoe UI" w:eastAsia="Segoe UI" w:cs="Segoe UI"/>
                <w:b w:val="0"/>
                <w:i w:val="0"/>
                <w:iCs w:val="0"/>
                <w:caps w:val="0"/>
                <w:color w:val="000000"/>
                <w:spacing w:val="0"/>
                <w:sz w:val="21"/>
                <w:szCs w:val="21"/>
                <w:shd w:val="clear" w:fill="FFFFFF"/>
                <w:vertAlign w:val="baseline"/>
              </w:rPr>
            </w:pPr>
          </w:p>
        </w:tc>
        <w:tc>
          <w:tcPr>
            <w:tcW w:w="1121" w:type="dxa"/>
            <w:tcBorders>
              <w:top w:val="nil"/>
              <w:left w:val="nil"/>
              <w:bottom w:val="nil"/>
              <w:right w:val="nil"/>
            </w:tcBorders>
            <w:shd w:val="clear" w:color="auto" w:fill="FFFFFF"/>
            <w:vAlign w:val="center"/>
          </w:tcPr>
          <w:p w14:paraId="72DA27D9">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&lt;0.001</w:t>
            </w:r>
          </w:p>
        </w:tc>
        <w:tc>
          <w:tcPr>
            <w:tcW w:w="1290" w:type="dxa"/>
            <w:tcBorders>
              <w:top w:val="nil"/>
              <w:left w:val="nil"/>
              <w:bottom w:val="nil"/>
              <w:right w:val="nil"/>
            </w:tcBorders>
            <w:shd w:val="clear" w:color="auto" w:fill="FFFFFF"/>
            <w:vAlign w:val="center"/>
          </w:tcPr>
          <w:p w14:paraId="2598405C">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0.002</w:t>
            </w:r>
          </w:p>
        </w:tc>
      </w:tr>
      <w:tr w14:paraId="2BDE2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21" w:type="dxa"/>
            <w:tcBorders>
              <w:top w:val="nil"/>
              <w:left w:val="nil"/>
              <w:bottom w:val="nil"/>
              <w:right w:val="nil"/>
            </w:tcBorders>
            <w:shd w:val="clear" w:color="auto" w:fill="FFFFFF"/>
            <w:vAlign w:val="center"/>
          </w:tcPr>
          <w:p w14:paraId="2CB9A03E">
            <w:pPr>
              <w:keepNext w:val="0"/>
              <w:keepLines w:val="0"/>
              <w:widowControl/>
              <w:suppressLineNumbers w:val="0"/>
              <w:jc w:val="center"/>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身心影响</w:t>
            </w:r>
          </w:p>
        </w:tc>
        <w:tc>
          <w:tcPr>
            <w:tcW w:w="876" w:type="dxa"/>
            <w:tcBorders>
              <w:top w:val="nil"/>
              <w:left w:val="nil"/>
              <w:bottom w:val="nil"/>
              <w:right w:val="nil"/>
            </w:tcBorders>
            <w:shd w:val="clear" w:color="auto" w:fill="FFFFFF"/>
            <w:vAlign w:val="center"/>
          </w:tcPr>
          <w:p w14:paraId="13FABDCD">
            <w:pPr>
              <w:keepNext w:val="0"/>
              <w:keepLines w:val="0"/>
              <w:widowControl/>
              <w:suppressLineNumbers w:val="0"/>
              <w:jc w:val="center"/>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皮尔逊相关性</w:t>
            </w:r>
          </w:p>
        </w:tc>
        <w:tc>
          <w:tcPr>
            <w:tcW w:w="1146" w:type="dxa"/>
            <w:tcBorders>
              <w:top w:val="nil"/>
              <w:left w:val="nil"/>
              <w:bottom w:val="nil"/>
              <w:right w:val="nil"/>
            </w:tcBorders>
            <w:shd w:val="clear" w:color="auto" w:fill="FFFFFF"/>
            <w:vAlign w:val="center"/>
          </w:tcPr>
          <w:p w14:paraId="0BBCF5B5">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0.829**</w:t>
            </w:r>
          </w:p>
        </w:tc>
        <w:tc>
          <w:tcPr>
            <w:tcW w:w="1096" w:type="dxa"/>
            <w:tcBorders>
              <w:top w:val="nil"/>
              <w:left w:val="nil"/>
              <w:bottom w:val="nil"/>
              <w:right w:val="nil"/>
            </w:tcBorders>
            <w:shd w:val="clear" w:color="auto" w:fill="FFFFFF"/>
            <w:vAlign w:val="center"/>
          </w:tcPr>
          <w:p w14:paraId="499C1066">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0.543**</w:t>
            </w:r>
          </w:p>
        </w:tc>
        <w:tc>
          <w:tcPr>
            <w:tcW w:w="1144" w:type="dxa"/>
            <w:tcBorders>
              <w:top w:val="nil"/>
              <w:left w:val="nil"/>
              <w:bottom w:val="nil"/>
              <w:right w:val="nil"/>
            </w:tcBorders>
            <w:shd w:val="clear" w:color="auto" w:fill="FFFFFF"/>
            <w:vAlign w:val="center"/>
          </w:tcPr>
          <w:p w14:paraId="4B67B1CC">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0.431**</w:t>
            </w:r>
          </w:p>
        </w:tc>
        <w:tc>
          <w:tcPr>
            <w:tcW w:w="1099" w:type="dxa"/>
            <w:tcBorders>
              <w:top w:val="nil"/>
              <w:left w:val="nil"/>
              <w:bottom w:val="nil"/>
              <w:right w:val="nil"/>
            </w:tcBorders>
            <w:shd w:val="clear" w:color="auto" w:fill="FFFFFF"/>
            <w:vAlign w:val="center"/>
          </w:tcPr>
          <w:p w14:paraId="15AE2FD2">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0.490**</w:t>
            </w:r>
          </w:p>
        </w:tc>
        <w:tc>
          <w:tcPr>
            <w:tcW w:w="1122" w:type="dxa"/>
            <w:tcBorders>
              <w:top w:val="nil"/>
              <w:left w:val="nil"/>
              <w:bottom w:val="nil"/>
              <w:right w:val="nil"/>
            </w:tcBorders>
            <w:shd w:val="clear" w:color="auto" w:fill="FFFFFF"/>
            <w:vAlign w:val="center"/>
          </w:tcPr>
          <w:p w14:paraId="27F0EAE0">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0.626**</w:t>
            </w:r>
          </w:p>
        </w:tc>
        <w:tc>
          <w:tcPr>
            <w:tcW w:w="1065" w:type="dxa"/>
            <w:tcBorders>
              <w:top w:val="nil"/>
              <w:left w:val="nil"/>
              <w:bottom w:val="nil"/>
              <w:right w:val="nil"/>
            </w:tcBorders>
            <w:shd w:val="clear" w:color="auto" w:fill="FFFFFF"/>
            <w:vAlign w:val="center"/>
          </w:tcPr>
          <w:p w14:paraId="6A6ECB6D">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0.635**</w:t>
            </w:r>
          </w:p>
        </w:tc>
        <w:tc>
          <w:tcPr>
            <w:tcW w:w="1121" w:type="dxa"/>
            <w:tcBorders>
              <w:top w:val="nil"/>
              <w:left w:val="nil"/>
              <w:bottom w:val="nil"/>
              <w:right w:val="nil"/>
            </w:tcBorders>
            <w:shd w:val="clear" w:color="auto" w:fill="FFFFFF"/>
            <w:vAlign w:val="center"/>
          </w:tcPr>
          <w:p w14:paraId="6B0DAC94">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 xml:space="preserve">1.000 </w:t>
            </w:r>
          </w:p>
        </w:tc>
        <w:tc>
          <w:tcPr>
            <w:tcW w:w="1290" w:type="dxa"/>
            <w:tcBorders>
              <w:top w:val="nil"/>
              <w:left w:val="nil"/>
              <w:bottom w:val="nil"/>
              <w:right w:val="nil"/>
            </w:tcBorders>
            <w:shd w:val="clear" w:color="auto" w:fill="FFFFFF"/>
            <w:vAlign w:val="center"/>
          </w:tcPr>
          <w:p w14:paraId="4E1CA5ED">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0.477**</w:t>
            </w:r>
          </w:p>
        </w:tc>
      </w:tr>
      <w:tr w14:paraId="03EF5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21" w:type="dxa"/>
            <w:tcBorders>
              <w:top w:val="nil"/>
              <w:left w:val="nil"/>
              <w:bottom w:val="single" w:color="000000" w:sz="12" w:space="0"/>
              <w:right w:val="nil"/>
            </w:tcBorders>
            <w:shd w:val="clear" w:color="auto" w:fill="FFFFFF"/>
            <w:vAlign w:val="center"/>
          </w:tcPr>
          <w:p w14:paraId="474E5B43">
            <w:pPr>
              <w:jc w:val="center"/>
              <w:rPr>
                <w:rFonts w:hint="default" w:ascii="Segoe UI" w:hAnsi="Segoe UI" w:eastAsia="Segoe UI" w:cs="Segoe UI"/>
                <w:b w:val="0"/>
                <w:i w:val="0"/>
                <w:iCs w:val="0"/>
                <w:caps w:val="0"/>
                <w:color w:val="000000"/>
                <w:spacing w:val="0"/>
                <w:sz w:val="21"/>
                <w:szCs w:val="21"/>
                <w:shd w:val="clear" w:fill="FFFFFF"/>
                <w:vertAlign w:val="baseline"/>
              </w:rPr>
            </w:pPr>
          </w:p>
        </w:tc>
        <w:tc>
          <w:tcPr>
            <w:tcW w:w="876" w:type="dxa"/>
            <w:tcBorders>
              <w:top w:val="nil"/>
              <w:left w:val="nil"/>
              <w:bottom w:val="single" w:color="000000" w:sz="12" w:space="0"/>
              <w:right w:val="nil"/>
            </w:tcBorders>
            <w:shd w:val="clear" w:color="auto" w:fill="FFFFFF"/>
            <w:vAlign w:val="center"/>
          </w:tcPr>
          <w:p w14:paraId="642E3E2B">
            <w:pPr>
              <w:keepNext w:val="0"/>
              <w:keepLines w:val="0"/>
              <w:widowControl/>
              <w:suppressLineNumbers w:val="0"/>
              <w:jc w:val="center"/>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显著性</w:t>
            </w:r>
          </w:p>
        </w:tc>
        <w:tc>
          <w:tcPr>
            <w:tcW w:w="1146" w:type="dxa"/>
            <w:tcBorders>
              <w:top w:val="nil"/>
              <w:left w:val="nil"/>
              <w:bottom w:val="single" w:color="000000" w:sz="12" w:space="0"/>
              <w:right w:val="nil"/>
            </w:tcBorders>
            <w:shd w:val="clear" w:color="auto" w:fill="FFFFFF"/>
            <w:vAlign w:val="center"/>
          </w:tcPr>
          <w:p w14:paraId="03B31DA4">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&lt;0.001</w:t>
            </w:r>
          </w:p>
        </w:tc>
        <w:tc>
          <w:tcPr>
            <w:tcW w:w="1096" w:type="dxa"/>
            <w:tcBorders>
              <w:top w:val="nil"/>
              <w:left w:val="nil"/>
              <w:bottom w:val="single" w:color="000000" w:sz="12" w:space="0"/>
              <w:right w:val="nil"/>
            </w:tcBorders>
            <w:shd w:val="clear" w:color="auto" w:fill="FFFFFF"/>
            <w:vAlign w:val="center"/>
          </w:tcPr>
          <w:p w14:paraId="7AA2D29D">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&lt;0.001</w:t>
            </w:r>
          </w:p>
        </w:tc>
        <w:tc>
          <w:tcPr>
            <w:tcW w:w="1144" w:type="dxa"/>
            <w:tcBorders>
              <w:top w:val="nil"/>
              <w:left w:val="nil"/>
              <w:bottom w:val="single" w:color="000000" w:sz="12" w:space="0"/>
              <w:right w:val="nil"/>
            </w:tcBorders>
            <w:shd w:val="clear" w:color="auto" w:fill="FFFFFF"/>
            <w:vAlign w:val="center"/>
          </w:tcPr>
          <w:p w14:paraId="419D3496">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&lt;0.001</w:t>
            </w:r>
          </w:p>
        </w:tc>
        <w:tc>
          <w:tcPr>
            <w:tcW w:w="1099" w:type="dxa"/>
            <w:tcBorders>
              <w:top w:val="nil"/>
              <w:left w:val="nil"/>
              <w:bottom w:val="single" w:color="000000" w:sz="12" w:space="0"/>
              <w:right w:val="nil"/>
            </w:tcBorders>
            <w:shd w:val="clear" w:color="auto" w:fill="FFFFFF"/>
            <w:vAlign w:val="center"/>
          </w:tcPr>
          <w:p w14:paraId="4070B7DE">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&lt;0.001</w:t>
            </w:r>
          </w:p>
        </w:tc>
        <w:tc>
          <w:tcPr>
            <w:tcW w:w="1122" w:type="dxa"/>
            <w:tcBorders>
              <w:top w:val="nil"/>
              <w:left w:val="nil"/>
              <w:bottom w:val="single" w:color="000000" w:sz="12" w:space="0"/>
              <w:right w:val="nil"/>
            </w:tcBorders>
            <w:shd w:val="clear" w:color="auto" w:fill="FFFFFF"/>
            <w:vAlign w:val="center"/>
          </w:tcPr>
          <w:p w14:paraId="767CCAFF">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&lt;0.001</w:t>
            </w:r>
          </w:p>
        </w:tc>
        <w:tc>
          <w:tcPr>
            <w:tcW w:w="1065" w:type="dxa"/>
            <w:tcBorders>
              <w:top w:val="nil"/>
              <w:left w:val="nil"/>
              <w:bottom w:val="single" w:color="000000" w:sz="12" w:space="0"/>
              <w:right w:val="nil"/>
            </w:tcBorders>
            <w:shd w:val="clear" w:color="auto" w:fill="FFFFFF"/>
            <w:vAlign w:val="center"/>
          </w:tcPr>
          <w:p w14:paraId="27B2F17F">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&lt;0.001</w:t>
            </w:r>
          </w:p>
        </w:tc>
        <w:tc>
          <w:tcPr>
            <w:tcW w:w="1121" w:type="dxa"/>
            <w:tcBorders>
              <w:top w:val="nil"/>
              <w:left w:val="nil"/>
              <w:bottom w:val="single" w:color="000000" w:sz="12" w:space="0"/>
              <w:right w:val="nil"/>
            </w:tcBorders>
            <w:shd w:val="clear" w:color="auto" w:fill="FFFFFF"/>
            <w:vAlign w:val="center"/>
          </w:tcPr>
          <w:p w14:paraId="7F4891CD">
            <w:pPr>
              <w:jc w:val="right"/>
              <w:rPr>
                <w:rFonts w:hint="default" w:ascii="Segoe UI" w:hAnsi="Segoe UI" w:eastAsia="Segoe UI" w:cs="Segoe UI"/>
                <w:b w:val="0"/>
                <w:i w:val="0"/>
                <w:iCs w:val="0"/>
                <w:caps w:val="0"/>
                <w:color w:val="000000"/>
                <w:spacing w:val="0"/>
                <w:sz w:val="21"/>
                <w:szCs w:val="21"/>
                <w:shd w:val="clear" w:fill="FFFFFF"/>
                <w:vertAlign w:val="baseline"/>
              </w:rPr>
            </w:pPr>
          </w:p>
        </w:tc>
        <w:tc>
          <w:tcPr>
            <w:tcW w:w="1290" w:type="dxa"/>
            <w:tcBorders>
              <w:top w:val="nil"/>
              <w:left w:val="nil"/>
              <w:bottom w:val="single" w:color="000000" w:sz="12" w:space="0"/>
              <w:right w:val="nil"/>
            </w:tcBorders>
            <w:shd w:val="clear" w:color="auto" w:fill="FFFFFF"/>
            <w:vAlign w:val="center"/>
          </w:tcPr>
          <w:p w14:paraId="10B3911B">
            <w:pPr>
              <w:keepNext w:val="0"/>
              <w:keepLines w:val="0"/>
              <w:widowControl/>
              <w:suppressLineNumbers w:val="0"/>
              <w:jc w:val="right"/>
              <w:textAlignment w:val="center"/>
              <w:rPr>
                <w:rFonts w:hint="default" w:ascii="Segoe UI" w:hAnsi="Segoe UI" w:eastAsia="Segoe UI" w:cs="Segoe UI"/>
                <w:b w:val="0"/>
                <w:i w:val="0"/>
                <w:iCs w:val="0"/>
                <w:caps w:val="0"/>
                <w:color w:val="000000"/>
                <w:spacing w:val="0"/>
                <w:sz w:val="21"/>
                <w:szCs w:val="21"/>
                <w:shd w:val="clear" w:fill="FFFFFF"/>
                <w:vertAlign w:val="baseline"/>
              </w:rPr>
            </w:pPr>
            <w:r>
              <w:rPr>
                <w:rFonts w:hint="eastAsia" w:ascii="宋体" w:hAnsi="宋体" w:eastAsia="宋体" w:cs="宋体"/>
                <w:i w:val="0"/>
                <w:iCs w:val="0"/>
                <w:color w:val="000000"/>
                <w:kern w:val="0"/>
                <w:sz w:val="21"/>
                <w:szCs w:val="21"/>
                <w:u w:val="none"/>
                <w:lang w:val="en-US" w:eastAsia="zh-CN" w:bidi="ar"/>
              </w:rPr>
              <w:t>&lt;0.001</w:t>
            </w:r>
          </w:p>
        </w:tc>
      </w:tr>
    </w:tbl>
    <w:p w14:paraId="223A20D9">
      <w:pPr>
        <w:pStyle w:val="2"/>
        <w:keepNext w:val="0"/>
        <w:keepLines w:val="0"/>
        <w:pageBreakBefore w:val="0"/>
        <w:widowControl/>
        <w:suppressLineNumbers w:val="0"/>
        <w:shd w:val="clear" w:fill="FFFFFF"/>
        <w:kinsoku/>
        <w:wordWrap/>
        <w:overflowPunct/>
        <w:topLinePunct w:val="0"/>
        <w:autoSpaceDE/>
        <w:autoSpaceDN/>
        <w:bidi w:val="0"/>
        <w:adjustRightInd/>
        <w:snapToGrid w:val="0"/>
        <w:spacing w:beforeAutospacing="0" w:afterAutospacing="0" w:line="240" w:lineRule="auto"/>
        <w:ind w:right="0"/>
        <w:textAlignment w:val="auto"/>
        <w:rPr>
          <w:rFonts w:hint="eastAsia" w:ascii="Segoe UI" w:hAnsi="Segoe UI" w:eastAsia="宋体" w:cs="Segoe UI"/>
          <w:i w:val="0"/>
          <w:iCs w:val="0"/>
          <w:caps w:val="0"/>
          <w:color w:val="0F1115"/>
          <w:spacing w:val="0"/>
          <w:sz w:val="19"/>
          <w:szCs w:val="19"/>
          <w:shd w:val="clear" w:fill="FFFFFF"/>
          <w:lang w:val="en-US" w:eastAsia="zh-CN"/>
        </w:rPr>
      </w:pPr>
      <w:r>
        <w:rPr>
          <w:rFonts w:hint="eastAsia" w:ascii="Segoe UI" w:hAnsi="Segoe UI" w:eastAsia="宋体" w:cs="Segoe UI"/>
          <w:i w:val="0"/>
          <w:iCs w:val="0"/>
          <w:caps w:val="0"/>
          <w:color w:val="0F1115"/>
          <w:spacing w:val="0"/>
          <w:sz w:val="19"/>
          <w:szCs w:val="19"/>
          <w:shd w:val="clear" w:fill="FFFFFF"/>
          <w:lang w:val="en-US" w:eastAsia="zh-CN"/>
        </w:rPr>
        <w:t>**.在0.001级别（双尾），相关性显著</w:t>
      </w:r>
    </w:p>
    <w:p w14:paraId="044ACB0B">
      <w:pPr>
        <w:pStyle w:val="2"/>
        <w:keepNext w:val="0"/>
        <w:keepLines w:val="0"/>
        <w:pageBreakBefore w:val="0"/>
        <w:widowControl/>
        <w:suppressLineNumbers w:val="0"/>
        <w:shd w:val="clear" w:fill="FFFFFF"/>
        <w:kinsoku/>
        <w:wordWrap/>
        <w:overflowPunct/>
        <w:topLinePunct w:val="0"/>
        <w:autoSpaceDE/>
        <w:autoSpaceDN/>
        <w:bidi w:val="0"/>
        <w:adjustRightInd/>
        <w:snapToGrid w:val="0"/>
        <w:spacing w:beforeAutospacing="0" w:afterAutospacing="0" w:line="240" w:lineRule="auto"/>
        <w:ind w:right="0"/>
        <w:textAlignment w:val="auto"/>
        <w:rPr>
          <w:rFonts w:hint="default" w:ascii="Segoe UI" w:hAnsi="Segoe UI" w:eastAsia="Segoe UI" w:cs="Segoe UI"/>
          <w:i w:val="0"/>
          <w:iCs w:val="0"/>
          <w:caps w:val="0"/>
          <w:color w:val="0F1115"/>
          <w:spacing w:val="0"/>
          <w:sz w:val="19"/>
          <w:szCs w:val="19"/>
          <w:shd w:val="clear" w:fill="FFFFFF"/>
        </w:rPr>
      </w:pPr>
      <w:r>
        <w:rPr>
          <w:rFonts w:hint="eastAsia" w:ascii="Segoe UI" w:hAnsi="Segoe UI" w:eastAsia="宋体" w:cs="Segoe UI"/>
          <w:i w:val="0"/>
          <w:iCs w:val="0"/>
          <w:caps w:val="0"/>
          <w:color w:val="0F1115"/>
          <w:spacing w:val="0"/>
          <w:sz w:val="19"/>
          <w:szCs w:val="19"/>
          <w:shd w:val="clear" w:fill="FFFFFF"/>
          <w:lang w:val="en-US" w:eastAsia="zh-CN"/>
        </w:rPr>
        <w:t>*.在0.05级别（双尾），相关性显著</w:t>
      </w:r>
    </w:p>
    <w:p w14:paraId="3C28CE6E">
      <w:pPr>
        <w:pStyle w:val="2"/>
        <w:keepNext w:val="0"/>
        <w:keepLines w:val="0"/>
        <w:pageBreakBefore w:val="0"/>
        <w:widowControl/>
        <w:suppressLineNumbers w:val="0"/>
        <w:shd w:val="clear" w:fill="FFFFFF"/>
        <w:kinsoku/>
        <w:wordWrap/>
        <w:overflowPunct/>
        <w:topLinePunct w:val="0"/>
        <w:autoSpaceDE/>
        <w:autoSpaceDN/>
        <w:bidi w:val="0"/>
        <w:adjustRightInd/>
        <w:snapToGrid w:val="0"/>
        <w:spacing w:beforeAutospacing="0" w:afterAutospacing="0" w:line="360" w:lineRule="auto"/>
        <w:ind w:left="0" w:right="0" w:firstLine="380" w:firstLineChars="200"/>
        <w:textAlignment w:val="auto"/>
        <w:rPr>
          <w:rFonts w:hint="default" w:ascii="Segoe UI" w:hAnsi="Segoe UI" w:eastAsia="Segoe UI" w:cs="Segoe UI"/>
          <w:i w:val="0"/>
          <w:iCs w:val="0"/>
          <w:caps w:val="0"/>
          <w:color w:val="0F1115"/>
          <w:spacing w:val="0"/>
          <w:sz w:val="19"/>
          <w:szCs w:val="19"/>
          <w:shd w:val="clear" w:fill="FFFFFF"/>
        </w:rPr>
      </w:pPr>
    </w:p>
    <w:tbl>
      <w:tblPr>
        <w:tblStyle w:val="4"/>
        <w:tblW w:w="10088" w:type="dxa"/>
        <w:tblInd w:w="-10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1649"/>
        <w:gridCol w:w="1524"/>
        <w:gridCol w:w="1609"/>
        <w:gridCol w:w="1448"/>
        <w:gridCol w:w="1771"/>
      </w:tblGrid>
      <w:tr w14:paraId="59273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7" w:type="dxa"/>
            <w:tcBorders>
              <w:top w:val="single" w:color="000000" w:sz="12" w:space="0"/>
              <w:left w:val="nil"/>
              <w:bottom w:val="single" w:color="000000" w:sz="4" w:space="0"/>
              <w:right w:val="nil"/>
              <w:tl2br w:val="nil"/>
            </w:tcBorders>
            <w:shd w:val="clear" w:color="auto" w:fill="FFFFFF"/>
          </w:tcPr>
          <w:p w14:paraId="151FCBAB">
            <w:pPr>
              <w:keepNext w:val="0"/>
              <w:keepLines w:val="0"/>
              <w:widowControl/>
              <w:suppressLineNumbers w:val="0"/>
              <w:jc w:val="center"/>
              <w:textAlignment w:val="center"/>
              <w:rPr>
                <w:rFonts w:hint="default" w:ascii="宋体" w:hAnsi="宋体" w:eastAsia="宋体" w:cs="宋体"/>
                <w:i w:val="0"/>
                <w:iCs w:val="0"/>
                <w:color w:val="000000"/>
                <w:kern w:val="0"/>
                <w:sz w:val="21"/>
                <w:szCs w:val="21"/>
                <w:u w:val="none"/>
                <w:lang w:val="en-US" w:eastAsia="zh-CN" w:bidi="ar"/>
              </w:rPr>
            </w:pPr>
          </w:p>
        </w:tc>
        <w:tc>
          <w:tcPr>
            <w:tcW w:w="1649" w:type="dxa"/>
            <w:tcBorders>
              <w:top w:val="single" w:color="000000" w:sz="12" w:space="0"/>
              <w:left w:val="nil"/>
              <w:bottom w:val="single" w:color="000000" w:sz="4" w:space="0"/>
              <w:right w:val="nil"/>
            </w:tcBorders>
            <w:shd w:val="clear" w:color="auto" w:fill="FFFFFF"/>
          </w:tcPr>
          <w:p w14:paraId="2731B3D3">
            <w:pPr>
              <w:keepNext w:val="0"/>
              <w:keepLines w:val="0"/>
              <w:widowControl/>
              <w:suppressLineNumbers w:val="0"/>
              <w:jc w:val="center"/>
              <w:textAlignment w:val="center"/>
              <w:rPr>
                <w:rFonts w:hint="default" w:ascii="宋体" w:hAnsi="宋体" w:eastAsia="宋体" w:cs="宋体"/>
                <w:i w:val="0"/>
                <w:iCs w:val="0"/>
                <w:color w:val="000000"/>
                <w:kern w:val="0"/>
                <w:sz w:val="21"/>
                <w:szCs w:val="21"/>
                <w:u w:val="none"/>
                <w:lang w:val="en-US" w:eastAsia="zh-CN" w:bidi="ar"/>
              </w:rPr>
            </w:pPr>
          </w:p>
        </w:tc>
        <w:tc>
          <w:tcPr>
            <w:tcW w:w="1524" w:type="dxa"/>
            <w:tcBorders>
              <w:top w:val="single" w:color="000000" w:sz="12" w:space="0"/>
              <w:left w:val="nil"/>
              <w:bottom w:val="single" w:color="000000" w:sz="4" w:space="0"/>
              <w:right w:val="nil"/>
            </w:tcBorders>
            <w:shd w:val="clear" w:color="auto" w:fill="FFFFFF"/>
          </w:tcPr>
          <w:p w14:paraId="64B2C273">
            <w:pPr>
              <w:keepNext w:val="0"/>
              <w:keepLines w:val="0"/>
              <w:widowControl/>
              <w:suppressLineNumbers w:val="0"/>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手机依赖总分</w:t>
            </w:r>
          </w:p>
        </w:tc>
        <w:tc>
          <w:tcPr>
            <w:tcW w:w="1609" w:type="dxa"/>
            <w:tcBorders>
              <w:top w:val="single" w:color="000000" w:sz="12" w:space="0"/>
              <w:left w:val="nil"/>
              <w:bottom w:val="single" w:color="000000" w:sz="4" w:space="0"/>
              <w:right w:val="nil"/>
            </w:tcBorders>
            <w:shd w:val="clear" w:color="auto" w:fill="FFFFFF"/>
          </w:tcPr>
          <w:p w14:paraId="3EF06D07">
            <w:pPr>
              <w:keepNext w:val="0"/>
              <w:keepLines w:val="0"/>
              <w:widowControl/>
              <w:suppressLineNumbers w:val="0"/>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戒断症状</w:t>
            </w:r>
          </w:p>
        </w:tc>
        <w:tc>
          <w:tcPr>
            <w:tcW w:w="1448" w:type="dxa"/>
            <w:tcBorders>
              <w:top w:val="single" w:color="000000" w:sz="12" w:space="0"/>
              <w:left w:val="nil"/>
              <w:bottom w:val="single" w:color="000000" w:sz="4" w:space="0"/>
              <w:right w:val="nil"/>
            </w:tcBorders>
            <w:shd w:val="clear" w:color="auto" w:fill="FFFFFF"/>
          </w:tcPr>
          <w:p w14:paraId="72E4F501">
            <w:pPr>
              <w:keepNext w:val="0"/>
              <w:keepLines w:val="0"/>
              <w:widowControl/>
              <w:suppressLineNumbers w:val="0"/>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渴求性</w:t>
            </w:r>
          </w:p>
        </w:tc>
        <w:tc>
          <w:tcPr>
            <w:tcW w:w="1771" w:type="dxa"/>
            <w:tcBorders>
              <w:top w:val="single" w:color="000000" w:sz="12" w:space="0"/>
              <w:left w:val="nil"/>
              <w:bottom w:val="single" w:color="000000" w:sz="4" w:space="0"/>
              <w:right w:val="nil"/>
            </w:tcBorders>
            <w:shd w:val="clear" w:color="auto" w:fill="FFFFFF"/>
          </w:tcPr>
          <w:p w14:paraId="2D16520F">
            <w:pPr>
              <w:keepNext w:val="0"/>
              <w:keepLines w:val="0"/>
              <w:widowControl/>
              <w:suppressLineNumbers w:val="0"/>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焦虑维度</w:t>
            </w:r>
          </w:p>
        </w:tc>
      </w:tr>
      <w:tr w14:paraId="6BF01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7" w:type="dxa"/>
            <w:vMerge w:val="restart"/>
            <w:tcBorders>
              <w:top w:val="single" w:color="000000" w:sz="4" w:space="0"/>
              <w:left w:val="nil"/>
              <w:right w:val="nil"/>
            </w:tcBorders>
            <w:shd w:val="clear" w:color="auto" w:fill="FFFFFF"/>
          </w:tcPr>
          <w:p w14:paraId="108ACF5B">
            <w:pPr>
              <w:keepNext w:val="0"/>
              <w:keepLines w:val="0"/>
              <w:widowControl/>
              <w:suppressLineNumbers w:val="0"/>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手机功能-上网</w:t>
            </w:r>
          </w:p>
        </w:tc>
        <w:tc>
          <w:tcPr>
            <w:tcW w:w="1649" w:type="dxa"/>
            <w:tcBorders>
              <w:top w:val="single" w:color="000000" w:sz="4" w:space="0"/>
              <w:left w:val="nil"/>
              <w:bottom w:val="nil"/>
              <w:right w:val="nil"/>
            </w:tcBorders>
            <w:shd w:val="clear" w:color="auto" w:fill="FFFFFF"/>
          </w:tcPr>
          <w:p w14:paraId="30F5F3B3">
            <w:pPr>
              <w:keepNext w:val="0"/>
              <w:keepLines w:val="0"/>
              <w:widowControl/>
              <w:suppressLineNumbers w:val="0"/>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皮尔逊相关性</w:t>
            </w:r>
          </w:p>
        </w:tc>
        <w:tc>
          <w:tcPr>
            <w:tcW w:w="1524" w:type="dxa"/>
            <w:tcBorders>
              <w:top w:val="single" w:color="000000" w:sz="4" w:space="0"/>
              <w:left w:val="nil"/>
              <w:bottom w:val="nil"/>
              <w:right w:val="nil"/>
            </w:tcBorders>
            <w:shd w:val="clear" w:color="auto" w:fill="FFFFFF"/>
          </w:tcPr>
          <w:p w14:paraId="4EF92772">
            <w:pPr>
              <w:keepNext w:val="0"/>
              <w:keepLines w:val="0"/>
              <w:widowControl/>
              <w:suppressLineNumbers w:val="0"/>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-0.258*</w:t>
            </w:r>
          </w:p>
        </w:tc>
        <w:tc>
          <w:tcPr>
            <w:tcW w:w="1609" w:type="dxa"/>
            <w:tcBorders>
              <w:top w:val="single" w:color="000000" w:sz="4" w:space="0"/>
              <w:left w:val="nil"/>
              <w:bottom w:val="nil"/>
              <w:right w:val="nil"/>
            </w:tcBorders>
            <w:shd w:val="clear" w:color="auto" w:fill="FFFFFF"/>
          </w:tcPr>
          <w:p w14:paraId="097D9011">
            <w:pPr>
              <w:keepNext w:val="0"/>
              <w:keepLines w:val="0"/>
              <w:widowControl/>
              <w:suppressLineNumbers w:val="0"/>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-0.287*</w:t>
            </w:r>
          </w:p>
        </w:tc>
        <w:tc>
          <w:tcPr>
            <w:tcW w:w="1448" w:type="dxa"/>
            <w:tcBorders>
              <w:top w:val="single" w:color="000000" w:sz="4" w:space="0"/>
              <w:left w:val="nil"/>
              <w:bottom w:val="nil"/>
              <w:right w:val="nil"/>
            </w:tcBorders>
            <w:shd w:val="clear" w:color="auto" w:fill="FFFFFF"/>
          </w:tcPr>
          <w:p w14:paraId="2A43D498">
            <w:pPr>
              <w:keepNext w:val="0"/>
              <w:keepLines w:val="0"/>
              <w:widowControl/>
              <w:suppressLineNumbers w:val="0"/>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-0.354*</w:t>
            </w:r>
          </w:p>
        </w:tc>
        <w:tc>
          <w:tcPr>
            <w:tcW w:w="1771" w:type="dxa"/>
            <w:tcBorders>
              <w:top w:val="single" w:color="000000" w:sz="4" w:space="0"/>
              <w:left w:val="nil"/>
              <w:bottom w:val="nil"/>
              <w:right w:val="nil"/>
            </w:tcBorders>
            <w:shd w:val="clear" w:color="auto" w:fill="FFFFFF"/>
          </w:tcPr>
          <w:p w14:paraId="1717C75B">
            <w:pPr>
              <w:keepNext w:val="0"/>
              <w:keepLines w:val="0"/>
              <w:widowControl/>
              <w:suppressLineNumbers w:val="0"/>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-0.213</w:t>
            </w:r>
          </w:p>
        </w:tc>
      </w:tr>
      <w:tr w14:paraId="6B0A9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7" w:type="dxa"/>
            <w:vMerge w:val="continue"/>
            <w:tcBorders>
              <w:left w:val="nil"/>
              <w:bottom w:val="nil"/>
              <w:right w:val="nil"/>
            </w:tcBorders>
            <w:shd w:val="clear" w:color="auto" w:fill="FFFFFF"/>
          </w:tcPr>
          <w:p w14:paraId="68DFE971">
            <w:pPr>
              <w:keepNext w:val="0"/>
              <w:keepLines w:val="0"/>
              <w:widowControl/>
              <w:suppressLineNumbers w:val="0"/>
              <w:jc w:val="center"/>
              <w:textAlignment w:val="center"/>
              <w:rPr>
                <w:rFonts w:hint="default" w:ascii="宋体" w:hAnsi="宋体" w:eastAsia="宋体" w:cs="宋体"/>
                <w:i w:val="0"/>
                <w:iCs w:val="0"/>
                <w:color w:val="000000"/>
                <w:kern w:val="0"/>
                <w:sz w:val="21"/>
                <w:szCs w:val="21"/>
                <w:u w:val="none"/>
                <w:lang w:val="en-US" w:eastAsia="zh-CN" w:bidi="ar"/>
              </w:rPr>
            </w:pPr>
          </w:p>
        </w:tc>
        <w:tc>
          <w:tcPr>
            <w:tcW w:w="1649" w:type="dxa"/>
            <w:tcBorders>
              <w:top w:val="nil"/>
              <w:left w:val="nil"/>
              <w:bottom w:val="nil"/>
              <w:right w:val="nil"/>
            </w:tcBorders>
            <w:shd w:val="clear" w:color="auto" w:fill="FFFFFF"/>
          </w:tcPr>
          <w:p w14:paraId="09223FFA">
            <w:pPr>
              <w:keepNext w:val="0"/>
              <w:keepLines w:val="0"/>
              <w:widowControl/>
              <w:suppressLineNumbers w:val="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显著性</w:t>
            </w:r>
          </w:p>
        </w:tc>
        <w:tc>
          <w:tcPr>
            <w:tcW w:w="1524" w:type="dxa"/>
            <w:tcBorders>
              <w:top w:val="nil"/>
              <w:left w:val="nil"/>
              <w:bottom w:val="nil"/>
              <w:right w:val="nil"/>
            </w:tcBorders>
            <w:shd w:val="clear" w:color="auto" w:fill="FFFFFF"/>
          </w:tcPr>
          <w:p w14:paraId="27ED5231">
            <w:pPr>
              <w:keepNext w:val="0"/>
              <w:keepLines w:val="0"/>
              <w:widowControl/>
              <w:suppressLineNumbers w:val="0"/>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0.049</w:t>
            </w:r>
          </w:p>
        </w:tc>
        <w:tc>
          <w:tcPr>
            <w:tcW w:w="1609" w:type="dxa"/>
            <w:tcBorders>
              <w:top w:val="nil"/>
              <w:left w:val="nil"/>
              <w:bottom w:val="nil"/>
              <w:right w:val="nil"/>
            </w:tcBorders>
            <w:shd w:val="clear" w:color="auto" w:fill="FFFFFF"/>
          </w:tcPr>
          <w:p w14:paraId="76285737">
            <w:pPr>
              <w:keepNext w:val="0"/>
              <w:keepLines w:val="0"/>
              <w:widowControl/>
              <w:suppressLineNumbers w:val="0"/>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0.027</w:t>
            </w:r>
          </w:p>
        </w:tc>
        <w:tc>
          <w:tcPr>
            <w:tcW w:w="1448" w:type="dxa"/>
            <w:tcBorders>
              <w:top w:val="nil"/>
              <w:left w:val="nil"/>
              <w:bottom w:val="nil"/>
              <w:right w:val="nil"/>
            </w:tcBorders>
            <w:shd w:val="clear" w:color="auto" w:fill="FFFFFF"/>
          </w:tcPr>
          <w:p w14:paraId="5B838ED5">
            <w:pPr>
              <w:keepNext w:val="0"/>
              <w:keepLines w:val="0"/>
              <w:widowControl/>
              <w:suppressLineNumbers w:val="0"/>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0.006</w:t>
            </w:r>
          </w:p>
        </w:tc>
        <w:tc>
          <w:tcPr>
            <w:tcW w:w="1771" w:type="dxa"/>
            <w:tcBorders>
              <w:top w:val="nil"/>
              <w:left w:val="nil"/>
              <w:bottom w:val="nil"/>
              <w:right w:val="nil"/>
            </w:tcBorders>
            <w:shd w:val="clear" w:color="auto" w:fill="FFFFFF"/>
          </w:tcPr>
          <w:p w14:paraId="1FCC0F4F">
            <w:pPr>
              <w:keepNext w:val="0"/>
              <w:keepLines w:val="0"/>
              <w:widowControl/>
              <w:suppressLineNumbers w:val="0"/>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0.105</w:t>
            </w:r>
          </w:p>
        </w:tc>
      </w:tr>
      <w:tr w14:paraId="05A3A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7" w:type="dxa"/>
            <w:vMerge w:val="restart"/>
            <w:tcBorders>
              <w:top w:val="nil"/>
              <w:left w:val="nil"/>
              <w:right w:val="nil"/>
            </w:tcBorders>
            <w:shd w:val="clear" w:color="auto" w:fill="FFFFFF"/>
          </w:tcPr>
          <w:p w14:paraId="0A40CBF1">
            <w:pPr>
              <w:keepNext w:val="0"/>
              <w:keepLines w:val="0"/>
              <w:widowControl/>
              <w:suppressLineNumbers w:val="0"/>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手机动机-体现个性</w:t>
            </w:r>
          </w:p>
        </w:tc>
        <w:tc>
          <w:tcPr>
            <w:tcW w:w="1649" w:type="dxa"/>
            <w:tcBorders>
              <w:top w:val="nil"/>
              <w:left w:val="nil"/>
              <w:bottom w:val="nil"/>
              <w:right w:val="nil"/>
            </w:tcBorders>
            <w:shd w:val="clear" w:color="auto" w:fill="FFFFFF"/>
          </w:tcPr>
          <w:p w14:paraId="787EEB11">
            <w:pPr>
              <w:keepNext w:val="0"/>
              <w:keepLines w:val="0"/>
              <w:widowControl/>
              <w:suppressLineNumbers w:val="0"/>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皮尔逊相关性</w:t>
            </w:r>
          </w:p>
        </w:tc>
        <w:tc>
          <w:tcPr>
            <w:tcW w:w="1524" w:type="dxa"/>
            <w:tcBorders>
              <w:top w:val="nil"/>
              <w:left w:val="nil"/>
              <w:bottom w:val="nil"/>
              <w:right w:val="nil"/>
            </w:tcBorders>
            <w:shd w:val="clear" w:color="auto" w:fill="FFFFFF"/>
          </w:tcPr>
          <w:p w14:paraId="3A94D9E3">
            <w:pPr>
              <w:keepNext w:val="0"/>
              <w:keepLines w:val="0"/>
              <w:widowControl/>
              <w:suppressLineNumbers w:val="0"/>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0.341*</w:t>
            </w:r>
          </w:p>
        </w:tc>
        <w:tc>
          <w:tcPr>
            <w:tcW w:w="1609" w:type="dxa"/>
            <w:tcBorders>
              <w:top w:val="nil"/>
              <w:left w:val="nil"/>
              <w:bottom w:val="nil"/>
              <w:right w:val="nil"/>
            </w:tcBorders>
            <w:shd w:val="clear" w:color="auto" w:fill="FFFFFF"/>
          </w:tcPr>
          <w:p w14:paraId="50C626A4">
            <w:pPr>
              <w:keepNext w:val="0"/>
              <w:keepLines w:val="0"/>
              <w:widowControl/>
              <w:suppressLineNumbers w:val="0"/>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0.248</w:t>
            </w:r>
          </w:p>
        </w:tc>
        <w:tc>
          <w:tcPr>
            <w:tcW w:w="1448" w:type="dxa"/>
            <w:tcBorders>
              <w:top w:val="nil"/>
              <w:left w:val="nil"/>
              <w:bottom w:val="nil"/>
              <w:right w:val="nil"/>
            </w:tcBorders>
            <w:shd w:val="clear" w:color="auto" w:fill="FFFFFF"/>
          </w:tcPr>
          <w:p w14:paraId="50B5045E">
            <w:pPr>
              <w:keepNext w:val="0"/>
              <w:keepLines w:val="0"/>
              <w:widowControl/>
              <w:suppressLineNumbers w:val="0"/>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0.484**</w:t>
            </w:r>
          </w:p>
        </w:tc>
        <w:tc>
          <w:tcPr>
            <w:tcW w:w="1771" w:type="dxa"/>
            <w:tcBorders>
              <w:top w:val="nil"/>
              <w:left w:val="nil"/>
              <w:bottom w:val="nil"/>
              <w:right w:val="nil"/>
            </w:tcBorders>
            <w:shd w:val="clear" w:color="auto" w:fill="FFFFFF"/>
          </w:tcPr>
          <w:p w14:paraId="4D604203">
            <w:pPr>
              <w:keepNext w:val="0"/>
              <w:keepLines w:val="0"/>
              <w:widowControl/>
              <w:suppressLineNumbers w:val="0"/>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0.287*</w:t>
            </w:r>
          </w:p>
        </w:tc>
      </w:tr>
      <w:tr w14:paraId="644D7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7" w:type="dxa"/>
            <w:vMerge w:val="continue"/>
            <w:tcBorders>
              <w:left w:val="nil"/>
              <w:bottom w:val="single" w:color="000000" w:sz="12" w:space="0"/>
              <w:right w:val="nil"/>
            </w:tcBorders>
            <w:shd w:val="clear" w:color="auto" w:fill="FFFFFF"/>
          </w:tcPr>
          <w:p w14:paraId="72000426">
            <w:pPr>
              <w:keepNext w:val="0"/>
              <w:keepLines w:val="0"/>
              <w:widowControl/>
              <w:suppressLineNumbers w:val="0"/>
              <w:jc w:val="center"/>
              <w:textAlignment w:val="center"/>
              <w:rPr>
                <w:rFonts w:hint="default" w:ascii="宋体" w:hAnsi="宋体" w:eastAsia="宋体" w:cs="宋体"/>
                <w:i w:val="0"/>
                <w:iCs w:val="0"/>
                <w:color w:val="000000"/>
                <w:kern w:val="0"/>
                <w:sz w:val="21"/>
                <w:szCs w:val="21"/>
                <w:u w:val="none"/>
                <w:lang w:val="en-US" w:eastAsia="zh-CN" w:bidi="ar"/>
              </w:rPr>
            </w:pPr>
          </w:p>
        </w:tc>
        <w:tc>
          <w:tcPr>
            <w:tcW w:w="1649" w:type="dxa"/>
            <w:tcBorders>
              <w:top w:val="nil"/>
              <w:left w:val="nil"/>
              <w:bottom w:val="single" w:color="000000" w:sz="12" w:space="0"/>
              <w:right w:val="nil"/>
            </w:tcBorders>
            <w:shd w:val="clear" w:color="auto" w:fill="FFFFFF"/>
          </w:tcPr>
          <w:p w14:paraId="1221C248">
            <w:pPr>
              <w:keepNext w:val="0"/>
              <w:keepLines w:val="0"/>
              <w:widowControl/>
              <w:suppressLineNumbers w:val="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显著性</w:t>
            </w:r>
          </w:p>
        </w:tc>
        <w:tc>
          <w:tcPr>
            <w:tcW w:w="1524" w:type="dxa"/>
            <w:tcBorders>
              <w:top w:val="nil"/>
              <w:left w:val="nil"/>
              <w:bottom w:val="single" w:color="000000" w:sz="12" w:space="0"/>
              <w:right w:val="nil"/>
            </w:tcBorders>
            <w:shd w:val="clear" w:color="auto" w:fill="FFFFFF"/>
          </w:tcPr>
          <w:p w14:paraId="4D95ACEC">
            <w:pPr>
              <w:keepNext w:val="0"/>
              <w:keepLines w:val="0"/>
              <w:widowControl/>
              <w:suppressLineNumbers w:val="0"/>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0.008</w:t>
            </w:r>
          </w:p>
        </w:tc>
        <w:tc>
          <w:tcPr>
            <w:tcW w:w="1609" w:type="dxa"/>
            <w:tcBorders>
              <w:top w:val="nil"/>
              <w:left w:val="nil"/>
              <w:bottom w:val="single" w:color="000000" w:sz="12" w:space="0"/>
              <w:right w:val="nil"/>
            </w:tcBorders>
            <w:shd w:val="clear" w:color="auto" w:fill="FFFFFF"/>
          </w:tcPr>
          <w:p w14:paraId="7F68D750">
            <w:pPr>
              <w:keepNext w:val="0"/>
              <w:keepLines w:val="0"/>
              <w:widowControl/>
              <w:suppressLineNumbers w:val="0"/>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0.059</w:t>
            </w:r>
          </w:p>
        </w:tc>
        <w:tc>
          <w:tcPr>
            <w:tcW w:w="1448" w:type="dxa"/>
            <w:tcBorders>
              <w:top w:val="nil"/>
              <w:left w:val="nil"/>
              <w:bottom w:val="single" w:color="000000" w:sz="12" w:space="0"/>
              <w:right w:val="nil"/>
            </w:tcBorders>
            <w:shd w:val="clear" w:color="auto" w:fill="FFFFFF"/>
          </w:tcPr>
          <w:p w14:paraId="0DE8B909">
            <w:pPr>
              <w:keepNext w:val="0"/>
              <w:keepLines w:val="0"/>
              <w:widowControl/>
              <w:suppressLineNumbers w:val="0"/>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&lt;0.001</w:t>
            </w:r>
          </w:p>
        </w:tc>
        <w:tc>
          <w:tcPr>
            <w:tcW w:w="1771" w:type="dxa"/>
            <w:tcBorders>
              <w:top w:val="nil"/>
              <w:left w:val="nil"/>
              <w:bottom w:val="single" w:color="000000" w:sz="12" w:space="0"/>
              <w:right w:val="nil"/>
            </w:tcBorders>
            <w:shd w:val="clear" w:color="auto" w:fill="FFFFFF"/>
          </w:tcPr>
          <w:p w14:paraId="4A21BF99">
            <w:pPr>
              <w:keepNext w:val="0"/>
              <w:keepLines w:val="0"/>
              <w:widowControl/>
              <w:suppressLineNumbers w:val="0"/>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0.028</w:t>
            </w:r>
          </w:p>
        </w:tc>
      </w:tr>
    </w:tbl>
    <w:p w14:paraId="0893D7F8">
      <w:pPr>
        <w:pStyle w:val="2"/>
        <w:keepNext w:val="0"/>
        <w:keepLines w:val="0"/>
        <w:pageBreakBefore w:val="0"/>
        <w:widowControl/>
        <w:suppressLineNumbers w:val="0"/>
        <w:shd w:val="clear" w:fill="FFFFFF"/>
        <w:kinsoku/>
        <w:wordWrap/>
        <w:overflowPunct/>
        <w:topLinePunct w:val="0"/>
        <w:autoSpaceDE/>
        <w:autoSpaceDN/>
        <w:bidi w:val="0"/>
        <w:adjustRightInd/>
        <w:snapToGrid w:val="0"/>
        <w:spacing w:beforeAutospacing="0" w:afterAutospacing="0" w:line="240" w:lineRule="auto"/>
        <w:ind w:right="0"/>
        <w:textAlignment w:val="auto"/>
        <w:rPr>
          <w:rFonts w:hint="eastAsia" w:ascii="Segoe UI" w:hAnsi="Segoe UI" w:eastAsia="宋体" w:cs="Segoe UI"/>
          <w:i w:val="0"/>
          <w:iCs w:val="0"/>
          <w:caps w:val="0"/>
          <w:color w:val="0F1115"/>
          <w:spacing w:val="0"/>
          <w:sz w:val="19"/>
          <w:szCs w:val="19"/>
          <w:shd w:val="clear" w:fill="FFFFFF"/>
          <w:lang w:val="en-US" w:eastAsia="zh-CN"/>
        </w:rPr>
      </w:pPr>
      <w:r>
        <w:rPr>
          <w:rFonts w:hint="eastAsia" w:ascii="Segoe UI" w:hAnsi="Segoe UI" w:eastAsia="宋体" w:cs="Segoe UI"/>
          <w:i w:val="0"/>
          <w:iCs w:val="0"/>
          <w:caps w:val="0"/>
          <w:color w:val="0F1115"/>
          <w:spacing w:val="0"/>
          <w:sz w:val="19"/>
          <w:szCs w:val="19"/>
          <w:shd w:val="clear" w:fill="FFFFFF"/>
          <w:lang w:val="en-US" w:eastAsia="zh-CN"/>
        </w:rPr>
        <w:t>**.在0.001级别（双尾），相关性显著</w:t>
      </w:r>
    </w:p>
    <w:p w14:paraId="2F783262">
      <w:pPr>
        <w:pStyle w:val="2"/>
        <w:keepNext w:val="0"/>
        <w:keepLines w:val="0"/>
        <w:pageBreakBefore w:val="0"/>
        <w:widowControl/>
        <w:suppressLineNumbers w:val="0"/>
        <w:shd w:val="clear" w:fill="FFFFFF"/>
        <w:kinsoku/>
        <w:wordWrap/>
        <w:overflowPunct/>
        <w:topLinePunct w:val="0"/>
        <w:autoSpaceDE/>
        <w:autoSpaceDN/>
        <w:bidi w:val="0"/>
        <w:adjustRightInd/>
        <w:snapToGrid w:val="0"/>
        <w:spacing w:beforeAutospacing="0" w:afterAutospacing="0" w:line="240" w:lineRule="auto"/>
        <w:ind w:right="0"/>
        <w:textAlignment w:val="auto"/>
        <w:rPr>
          <w:rFonts w:hint="default" w:ascii="Segoe UI" w:hAnsi="Segoe UI" w:eastAsia="宋体" w:cs="Segoe UI"/>
          <w:i w:val="0"/>
          <w:iCs w:val="0"/>
          <w:caps w:val="0"/>
          <w:color w:val="0F1115"/>
          <w:spacing w:val="0"/>
          <w:sz w:val="19"/>
          <w:szCs w:val="19"/>
          <w:shd w:val="clear" w:fill="FFFFFF"/>
          <w:lang w:val="en-US" w:eastAsia="zh-CN"/>
        </w:rPr>
      </w:pPr>
      <w:r>
        <w:rPr>
          <w:rFonts w:hint="eastAsia" w:ascii="Segoe UI" w:hAnsi="Segoe UI" w:eastAsia="宋体" w:cs="Segoe UI"/>
          <w:i w:val="0"/>
          <w:iCs w:val="0"/>
          <w:caps w:val="0"/>
          <w:color w:val="0F1115"/>
          <w:spacing w:val="0"/>
          <w:sz w:val="19"/>
          <w:szCs w:val="19"/>
          <w:shd w:val="clear" w:fill="FFFFFF"/>
          <w:lang w:val="en-US" w:eastAsia="zh-CN"/>
        </w:rPr>
        <w:t>*.在0.05级别（双尾），相关性显著</w:t>
      </w:r>
    </w:p>
    <w:p w14:paraId="0D94F245">
      <w:pPr>
        <w:pStyle w:val="2"/>
        <w:keepNext w:val="0"/>
        <w:keepLines w:val="0"/>
        <w:pageBreakBefore w:val="0"/>
        <w:widowControl/>
        <w:suppressLineNumbers w:val="0"/>
        <w:shd w:val="clear" w:fill="FFFFFF"/>
        <w:kinsoku/>
        <w:wordWrap/>
        <w:overflowPunct/>
        <w:topLinePunct w:val="0"/>
        <w:autoSpaceDE/>
        <w:autoSpaceDN/>
        <w:bidi w:val="0"/>
        <w:adjustRightInd/>
        <w:snapToGrid w:val="0"/>
        <w:spacing w:beforeAutospacing="0" w:afterAutospacing="0" w:line="360" w:lineRule="auto"/>
        <w:ind w:right="0"/>
        <w:textAlignment w:val="auto"/>
        <w:rPr>
          <w:rFonts w:hint="default" w:ascii="Segoe UI" w:hAnsi="Segoe UI" w:eastAsia="Segoe UI" w:cs="Segoe UI"/>
          <w:i w:val="0"/>
          <w:iCs w:val="0"/>
          <w:caps w:val="0"/>
          <w:color w:val="0F1115"/>
          <w:spacing w:val="0"/>
          <w:sz w:val="19"/>
          <w:szCs w:val="19"/>
          <w:shd w:val="clear" w:fill="FFFFFF"/>
        </w:rPr>
      </w:pPr>
      <w:bookmarkStart w:id="0" w:name="_GoBack"/>
      <w:bookmarkEnd w:id="0"/>
    </w:p>
    <w:p w14:paraId="16532205">
      <w:pPr>
        <w:pStyle w:val="2"/>
        <w:keepNext w:val="0"/>
        <w:keepLines w:val="0"/>
        <w:pageBreakBefore w:val="0"/>
        <w:widowControl/>
        <w:suppressLineNumbers w:val="0"/>
        <w:shd w:val="clear" w:fill="FFFFFF"/>
        <w:kinsoku/>
        <w:wordWrap/>
        <w:overflowPunct/>
        <w:topLinePunct w:val="0"/>
        <w:autoSpaceDE/>
        <w:autoSpaceDN/>
        <w:bidi w:val="0"/>
        <w:adjustRightInd/>
        <w:snapToGrid w:val="0"/>
        <w:spacing w:beforeAutospacing="0" w:afterAutospacing="0" w:line="240" w:lineRule="auto"/>
        <w:ind w:left="0" w:right="0" w:firstLine="480" w:firstLineChars="200"/>
        <w:textAlignment w:val="auto"/>
        <w:rPr>
          <w:rFonts w:hint="default" w:ascii="Times New Roman" w:hAnsi="Times New Roman" w:eastAsia="宋体" w:cs="Segoe UI"/>
          <w:i w:val="0"/>
          <w:iCs w:val="0"/>
          <w:caps w:val="0"/>
          <w:color w:val="0F1115"/>
          <w:spacing w:val="0"/>
          <w:sz w:val="24"/>
          <w:szCs w:val="19"/>
        </w:rPr>
      </w:pPr>
      <w:r>
        <w:rPr>
          <w:rFonts w:hint="default" w:ascii="Times New Roman" w:hAnsi="Times New Roman" w:eastAsia="宋体" w:cs="Segoe UI"/>
          <w:i w:val="0"/>
          <w:iCs w:val="0"/>
          <w:caps w:val="0"/>
          <w:color w:val="0F1115"/>
          <w:spacing w:val="0"/>
          <w:sz w:val="24"/>
          <w:szCs w:val="19"/>
          <w:shd w:val="clear" w:fill="FFFFFF"/>
        </w:rPr>
        <w:t>首先，手机依赖总体水平与心理健康指标呈现出中等程度且具有高度统计学意义的正相关。具体而言，手机依赖总分与压力（r = 0.514, p &lt; 0.001）、焦虑（r = 0.461, p &lt; 0.001）及抑郁（r = 0.499, p &lt; 0.001）均显著正相关。这表明，个体对手机的依赖程度越高，其体验到的心理困扰水平也相应越高。此外，手机依赖的三个核心维度——戒断症状、渴求性以及身心影响——彼此之间及与依赖总分之间均存在高度相关（r值介于0.626至0.939之间，p &lt; 0.001），这验证了手机依赖构念的内在一致性。每日手机使用时间虽与依赖总分显著正相关（r = 0.427, p &lt; 0.001），但其与压力、焦虑和抑郁的直接关联未达到显著性水平，暗示使用时长</w:t>
      </w:r>
      <w:r>
        <w:rPr>
          <w:rFonts w:hint="eastAsia" w:ascii="Times New Roman" w:hAnsi="Times New Roman" w:eastAsia="宋体" w:cs="Segoe UI"/>
          <w:i w:val="0"/>
          <w:iCs w:val="0"/>
          <w:caps w:val="0"/>
          <w:color w:val="0F1115"/>
          <w:spacing w:val="0"/>
          <w:sz w:val="24"/>
          <w:szCs w:val="19"/>
          <w:shd w:val="clear" w:fill="FFFFFF"/>
          <w:lang w:val="en-US" w:eastAsia="zh-CN"/>
        </w:rPr>
        <w:t>并非</w:t>
      </w:r>
      <w:r>
        <w:rPr>
          <w:rFonts w:hint="default" w:ascii="Times New Roman" w:hAnsi="Times New Roman" w:eastAsia="宋体" w:cs="Segoe UI"/>
          <w:i w:val="0"/>
          <w:iCs w:val="0"/>
          <w:caps w:val="0"/>
          <w:color w:val="0F1115"/>
          <w:spacing w:val="0"/>
          <w:sz w:val="24"/>
          <w:szCs w:val="19"/>
          <w:shd w:val="clear" w:fill="FFFFFF"/>
        </w:rPr>
        <w:t>影响心理健康</w:t>
      </w:r>
      <w:r>
        <w:rPr>
          <w:rFonts w:hint="eastAsia" w:ascii="Times New Roman" w:hAnsi="Times New Roman" w:eastAsia="宋体" w:cs="Segoe UI"/>
          <w:i w:val="0"/>
          <w:iCs w:val="0"/>
          <w:caps w:val="0"/>
          <w:color w:val="0F1115"/>
          <w:spacing w:val="0"/>
          <w:sz w:val="24"/>
          <w:szCs w:val="19"/>
          <w:shd w:val="clear" w:fill="FFFFFF"/>
          <w:lang w:val="en-US" w:eastAsia="zh-CN"/>
        </w:rPr>
        <w:t>的</w:t>
      </w:r>
      <w:r>
        <w:rPr>
          <w:rFonts w:hint="default" w:ascii="Times New Roman" w:hAnsi="Times New Roman" w:eastAsia="宋体" w:cs="Segoe UI"/>
          <w:i w:val="0"/>
          <w:iCs w:val="0"/>
          <w:caps w:val="0"/>
          <w:color w:val="0F1115"/>
          <w:spacing w:val="0"/>
          <w:sz w:val="24"/>
          <w:szCs w:val="19"/>
          <w:shd w:val="clear" w:fill="FFFFFF"/>
        </w:rPr>
        <w:t>直接原因。</w:t>
      </w:r>
    </w:p>
    <w:p w14:paraId="7243B42E">
      <w:pPr>
        <w:pStyle w:val="2"/>
        <w:keepNext w:val="0"/>
        <w:keepLines w:val="0"/>
        <w:pageBreakBefore w:val="0"/>
        <w:widowControl/>
        <w:suppressLineNumbers w:val="0"/>
        <w:shd w:val="clear" w:fill="FFFFFF"/>
        <w:kinsoku/>
        <w:wordWrap/>
        <w:overflowPunct/>
        <w:topLinePunct w:val="0"/>
        <w:autoSpaceDE/>
        <w:autoSpaceDN/>
        <w:bidi w:val="0"/>
        <w:adjustRightInd/>
        <w:snapToGrid w:val="0"/>
        <w:spacing w:beforeAutospacing="0" w:afterAutospacing="0" w:line="240" w:lineRule="auto"/>
        <w:ind w:left="0" w:right="0" w:firstLine="480" w:firstLineChars="200"/>
        <w:textAlignment w:val="auto"/>
        <w:rPr>
          <w:rFonts w:hint="default" w:ascii="Times New Roman" w:hAnsi="Times New Roman" w:eastAsia="宋体" w:cs="Segoe UI"/>
          <w:i w:val="0"/>
          <w:iCs w:val="0"/>
          <w:caps w:val="0"/>
          <w:color w:val="0F1115"/>
          <w:spacing w:val="0"/>
          <w:sz w:val="24"/>
          <w:szCs w:val="19"/>
        </w:rPr>
      </w:pPr>
      <w:r>
        <w:rPr>
          <w:rFonts w:hint="default" w:ascii="Times New Roman" w:hAnsi="Times New Roman" w:eastAsia="宋体" w:cs="Segoe UI"/>
          <w:i w:val="0"/>
          <w:iCs w:val="0"/>
          <w:caps w:val="0"/>
          <w:color w:val="0F1115"/>
          <w:spacing w:val="0"/>
          <w:sz w:val="24"/>
          <w:szCs w:val="19"/>
          <w:shd w:val="clear" w:fill="FFFFFF"/>
        </w:rPr>
        <w:t>其次，关于手机使用功能与动机的分析揭示了一个发现：在众多功能和动机变量中，仅有</w:t>
      </w:r>
      <w:r>
        <w:rPr>
          <w:rFonts w:hint="eastAsia" w:ascii="Times New Roman" w:hAnsi="Times New Roman" w:eastAsia="宋体" w:cs="Segoe UI"/>
          <w:i w:val="0"/>
          <w:iCs w:val="0"/>
          <w:caps w:val="0"/>
          <w:color w:val="0F1115"/>
          <w:spacing w:val="0"/>
          <w:sz w:val="24"/>
          <w:szCs w:val="19"/>
          <w:shd w:val="clear" w:fill="FFFFFF"/>
          <w:lang w:eastAsia="zh-CN"/>
        </w:rPr>
        <w:t>“</w:t>
      </w:r>
      <w:r>
        <w:rPr>
          <w:rFonts w:hint="default" w:ascii="Times New Roman" w:hAnsi="Times New Roman" w:eastAsia="宋体" w:cs="Segoe UI"/>
          <w:i w:val="0"/>
          <w:iCs w:val="0"/>
          <w:caps w:val="0"/>
          <w:color w:val="0F1115"/>
          <w:spacing w:val="0"/>
          <w:sz w:val="24"/>
          <w:szCs w:val="19"/>
          <w:shd w:val="clear" w:fill="FFFFFF"/>
        </w:rPr>
        <w:t>体现个性</w:t>
      </w:r>
      <w:r>
        <w:rPr>
          <w:rFonts w:hint="eastAsia" w:ascii="Times New Roman" w:hAnsi="Times New Roman" w:eastAsia="宋体" w:cs="Segoe UI"/>
          <w:i w:val="0"/>
          <w:iCs w:val="0"/>
          <w:caps w:val="0"/>
          <w:color w:val="0F1115"/>
          <w:spacing w:val="0"/>
          <w:sz w:val="24"/>
          <w:szCs w:val="19"/>
          <w:shd w:val="clear" w:fill="FFFFFF"/>
          <w:lang w:eastAsia="zh-CN"/>
        </w:rPr>
        <w:t>”</w:t>
      </w:r>
      <w:r>
        <w:rPr>
          <w:rFonts w:hint="default" w:ascii="Times New Roman" w:hAnsi="Times New Roman" w:eastAsia="宋体" w:cs="Segoe UI"/>
          <w:i w:val="0"/>
          <w:iCs w:val="0"/>
          <w:caps w:val="0"/>
          <w:color w:val="0F1115"/>
          <w:spacing w:val="0"/>
          <w:sz w:val="24"/>
          <w:szCs w:val="19"/>
          <w:shd w:val="clear" w:fill="FFFFFF"/>
        </w:rPr>
        <w:t>的使用动机与手机依赖总分呈现出显著的正相关（r = 0.341, p = 0.008）。这一关联在渴求性维度上尤为突出（r = 0.484, p &lt; 0.001），表明那些倾向于通过手机使用来彰显自我身份或寻求社会认可的个体，更可能发展出强烈的手机渴求，并进而形成更高的依赖。与此形成对比的是，大多数手机功能（如打电话、发短信、拍照、娱乐等）与依赖的相关性均不显著。一个值得注意的反常发现是，</w:t>
      </w:r>
      <w:r>
        <w:rPr>
          <w:rFonts w:hint="eastAsia" w:ascii="Times New Roman" w:hAnsi="Times New Roman" w:eastAsia="宋体" w:cs="Segoe UI"/>
          <w:i w:val="0"/>
          <w:iCs w:val="0"/>
          <w:caps w:val="0"/>
          <w:color w:val="0F1115"/>
          <w:spacing w:val="0"/>
          <w:sz w:val="24"/>
          <w:szCs w:val="19"/>
          <w:shd w:val="clear" w:fill="FFFFFF"/>
          <w:lang w:eastAsia="zh-CN"/>
        </w:rPr>
        <w:t>“</w:t>
      </w:r>
      <w:r>
        <w:rPr>
          <w:rFonts w:hint="default" w:ascii="Times New Roman" w:hAnsi="Times New Roman" w:eastAsia="宋体" w:cs="Segoe UI"/>
          <w:i w:val="0"/>
          <w:iCs w:val="0"/>
          <w:caps w:val="0"/>
          <w:color w:val="0F1115"/>
          <w:spacing w:val="0"/>
          <w:sz w:val="24"/>
          <w:szCs w:val="19"/>
          <w:shd w:val="clear" w:fill="FFFFFF"/>
        </w:rPr>
        <w:t>手机功能-上网</w:t>
      </w:r>
      <w:r>
        <w:rPr>
          <w:rFonts w:hint="eastAsia" w:ascii="Times New Roman" w:hAnsi="Times New Roman" w:eastAsia="宋体" w:cs="Segoe UI"/>
          <w:i w:val="0"/>
          <w:iCs w:val="0"/>
          <w:caps w:val="0"/>
          <w:color w:val="0F1115"/>
          <w:spacing w:val="0"/>
          <w:sz w:val="24"/>
          <w:szCs w:val="19"/>
          <w:shd w:val="clear" w:fill="FFFFFF"/>
          <w:lang w:eastAsia="zh-CN"/>
        </w:rPr>
        <w:t>”</w:t>
      </w:r>
      <w:r>
        <w:rPr>
          <w:rFonts w:hint="default" w:ascii="Times New Roman" w:hAnsi="Times New Roman" w:eastAsia="宋体" w:cs="Segoe UI"/>
          <w:i w:val="0"/>
          <w:iCs w:val="0"/>
          <w:caps w:val="0"/>
          <w:color w:val="0F1115"/>
          <w:spacing w:val="0"/>
          <w:sz w:val="24"/>
          <w:szCs w:val="19"/>
          <w:shd w:val="clear" w:fill="FFFFFF"/>
        </w:rPr>
        <w:t>与手机依赖总分（r = -0.258, p = 0.049）及戒断症状（r = -0.287, p = 0.027）呈显著负相关，这或许反映了工具性、信息导向的手机使用模式（如上网搜索、工作学习）与以娱乐和社交认同为核心的依赖路径存在本质差异，前者可能更具目的性和可控性。</w:t>
      </w:r>
    </w:p>
    <w:p w14:paraId="7C632F79">
      <w:pPr>
        <w:pStyle w:val="2"/>
        <w:keepNext w:val="0"/>
        <w:keepLines w:val="0"/>
        <w:pageBreakBefore w:val="0"/>
        <w:widowControl/>
        <w:suppressLineNumbers w:val="0"/>
        <w:shd w:val="clear" w:fill="FFFFFF"/>
        <w:kinsoku/>
        <w:wordWrap/>
        <w:overflowPunct/>
        <w:topLinePunct w:val="0"/>
        <w:autoSpaceDE/>
        <w:autoSpaceDN/>
        <w:bidi w:val="0"/>
        <w:adjustRightInd/>
        <w:snapToGrid w:val="0"/>
        <w:spacing w:beforeAutospacing="0" w:afterAutospacing="0" w:line="240" w:lineRule="auto"/>
        <w:ind w:left="0" w:right="0" w:firstLine="480" w:firstLineChars="200"/>
        <w:textAlignment w:val="auto"/>
        <w:rPr>
          <w:rFonts w:hint="default" w:ascii="Times New Roman" w:hAnsi="Times New Roman" w:eastAsia="宋体" w:cs="Segoe UI"/>
          <w:i w:val="0"/>
          <w:iCs w:val="0"/>
          <w:caps w:val="0"/>
          <w:color w:val="0F1115"/>
          <w:spacing w:val="0"/>
          <w:sz w:val="24"/>
          <w:szCs w:val="19"/>
          <w:shd w:val="clear" w:fill="FFFFFF"/>
        </w:rPr>
      </w:pPr>
      <w:r>
        <w:rPr>
          <w:rFonts w:hint="default" w:ascii="Times New Roman" w:hAnsi="Times New Roman" w:eastAsia="宋体" w:cs="Segoe UI"/>
          <w:i w:val="0"/>
          <w:iCs w:val="0"/>
          <w:caps w:val="0"/>
          <w:color w:val="0F1115"/>
          <w:spacing w:val="0"/>
          <w:sz w:val="24"/>
          <w:szCs w:val="19"/>
          <w:shd w:val="clear" w:fill="FFFFFF"/>
        </w:rPr>
        <w:t>最后，在人口学变量方面，本研究未发现性别、是否独生子女、父母受教育程度、恋爱状况、手机使用年限或每月手机消费与手机依赖总体水平存在任何显著相关性。这一结果提示，手机依赖作为一种行为成瘾现象，其形成可能更多地受到心理动机和使用模式等个体内在因素的影响，而非基本的人口社会学背景所主导。</w:t>
      </w:r>
    </w:p>
    <w:p w14:paraId="73D3FE3D">
      <w:pPr>
        <w:pStyle w:val="2"/>
        <w:keepNext w:val="0"/>
        <w:keepLines w:val="0"/>
        <w:pageBreakBefore w:val="0"/>
        <w:widowControl/>
        <w:suppressLineNumbers w:val="0"/>
        <w:shd w:val="clear" w:fill="FFFFFF"/>
        <w:kinsoku/>
        <w:wordWrap/>
        <w:overflowPunct/>
        <w:topLinePunct w:val="0"/>
        <w:autoSpaceDE/>
        <w:autoSpaceDN/>
        <w:bidi w:val="0"/>
        <w:adjustRightInd/>
        <w:snapToGrid w:val="0"/>
        <w:spacing w:beforeAutospacing="0" w:afterAutospacing="0" w:line="240" w:lineRule="auto"/>
        <w:ind w:left="0" w:right="0" w:firstLine="480" w:firstLineChars="200"/>
        <w:textAlignment w:val="auto"/>
        <w:rPr>
          <w:rFonts w:ascii="Times New Roman" w:hAnsi="Times New Roman" w:eastAsia="宋体" w:cs="Segoe UI"/>
          <w:b w:val="0"/>
          <w:bCs w:val="0"/>
          <w:i w:val="0"/>
          <w:iCs w:val="0"/>
          <w:caps w:val="0"/>
          <w:color w:val="0F1115"/>
          <w:spacing w:val="0"/>
          <w:sz w:val="24"/>
          <w:szCs w:val="19"/>
        </w:rPr>
      </w:pPr>
      <w:r>
        <w:rPr>
          <w:rStyle w:val="6"/>
          <w:rFonts w:hint="default" w:ascii="Times New Roman" w:hAnsi="Times New Roman" w:eastAsia="宋体" w:cs="Segoe UI"/>
          <w:b w:val="0"/>
          <w:bCs w:val="0"/>
          <w:i w:val="0"/>
          <w:iCs w:val="0"/>
          <w:caps w:val="0"/>
          <w:color w:val="0F1115"/>
          <w:spacing w:val="0"/>
          <w:sz w:val="24"/>
          <w:szCs w:val="19"/>
          <w:shd w:val="clear" w:fill="FFFFFF"/>
        </w:rPr>
        <w:t>值得指出的是，本研究的样本均来源于同一高校班级，样本在年龄、教育背景和生活环境上具有较高的同质性，这虽然有利于控制某些外部变量，但也限制了研究结论的推广性与普遍性。本研究揭示的相关关系，尤其是</w:t>
      </w:r>
      <w:r>
        <w:rPr>
          <w:rStyle w:val="6"/>
          <w:rFonts w:hint="eastAsia" w:ascii="Times New Roman" w:hAnsi="Times New Roman" w:eastAsia="宋体" w:cs="Segoe UI"/>
          <w:b w:val="0"/>
          <w:bCs w:val="0"/>
          <w:i w:val="0"/>
          <w:iCs w:val="0"/>
          <w:caps w:val="0"/>
          <w:color w:val="0F1115"/>
          <w:spacing w:val="0"/>
          <w:sz w:val="24"/>
          <w:szCs w:val="19"/>
          <w:shd w:val="clear" w:fill="FFFFFF"/>
          <w:lang w:eastAsia="zh-CN"/>
        </w:rPr>
        <w:t>“</w:t>
      </w:r>
      <w:r>
        <w:rPr>
          <w:rStyle w:val="6"/>
          <w:rFonts w:hint="default" w:ascii="Times New Roman" w:hAnsi="Times New Roman" w:eastAsia="宋体" w:cs="Segoe UI"/>
          <w:b w:val="0"/>
          <w:bCs w:val="0"/>
          <w:i w:val="0"/>
          <w:iCs w:val="0"/>
          <w:caps w:val="0"/>
          <w:color w:val="0F1115"/>
          <w:spacing w:val="0"/>
          <w:sz w:val="24"/>
          <w:szCs w:val="19"/>
          <w:shd w:val="clear" w:fill="FFFFFF"/>
        </w:rPr>
        <w:t>体现个性</w:t>
      </w:r>
      <w:r>
        <w:rPr>
          <w:rStyle w:val="6"/>
          <w:rFonts w:hint="eastAsia" w:ascii="Times New Roman" w:hAnsi="Times New Roman" w:eastAsia="宋体" w:cs="Segoe UI"/>
          <w:b w:val="0"/>
          <w:bCs w:val="0"/>
          <w:i w:val="0"/>
          <w:iCs w:val="0"/>
          <w:caps w:val="0"/>
          <w:color w:val="0F1115"/>
          <w:spacing w:val="0"/>
          <w:sz w:val="24"/>
          <w:szCs w:val="19"/>
          <w:shd w:val="clear" w:fill="FFFFFF"/>
          <w:lang w:eastAsia="zh-CN"/>
        </w:rPr>
        <w:t>”</w:t>
      </w:r>
      <w:r>
        <w:rPr>
          <w:rStyle w:val="6"/>
          <w:rFonts w:hint="default" w:ascii="Times New Roman" w:hAnsi="Times New Roman" w:eastAsia="宋体" w:cs="Segoe UI"/>
          <w:b w:val="0"/>
          <w:bCs w:val="0"/>
          <w:i w:val="0"/>
          <w:iCs w:val="0"/>
          <w:caps w:val="0"/>
          <w:color w:val="0F1115"/>
          <w:spacing w:val="0"/>
          <w:sz w:val="24"/>
          <w:szCs w:val="19"/>
          <w:shd w:val="clear" w:fill="FFFFFF"/>
        </w:rPr>
        <w:t>动机的核心作用，其稳定性和外部效度有待在更广泛、更多样的群体中进行进一步验证。</w:t>
      </w:r>
    </w:p>
    <w:p w14:paraId="19ED0AB7">
      <w:pPr>
        <w:pStyle w:val="2"/>
        <w:keepNext w:val="0"/>
        <w:keepLines w:val="0"/>
        <w:pageBreakBefore w:val="0"/>
        <w:widowControl/>
        <w:suppressLineNumbers w:val="0"/>
        <w:shd w:val="clear" w:fill="FFFFFF"/>
        <w:kinsoku/>
        <w:wordWrap/>
        <w:overflowPunct/>
        <w:topLinePunct w:val="0"/>
        <w:autoSpaceDE/>
        <w:autoSpaceDN/>
        <w:bidi w:val="0"/>
        <w:adjustRightInd/>
        <w:snapToGrid w:val="0"/>
        <w:spacing w:beforeAutospacing="0" w:afterAutospacing="0" w:line="240" w:lineRule="auto"/>
        <w:ind w:left="0" w:right="0" w:firstLine="480" w:firstLineChars="200"/>
        <w:textAlignment w:val="auto"/>
        <w:rPr>
          <w:rFonts w:hint="default" w:ascii="Times New Roman" w:hAnsi="Times New Roman" w:eastAsia="宋体" w:cs="Segoe UI"/>
          <w:i w:val="0"/>
          <w:iCs w:val="0"/>
          <w:caps w:val="0"/>
          <w:color w:val="0F1115"/>
          <w:spacing w:val="0"/>
          <w:sz w:val="24"/>
          <w:szCs w:val="19"/>
        </w:rPr>
      </w:pPr>
      <w:r>
        <w:rPr>
          <w:rFonts w:hint="default" w:ascii="Times New Roman" w:hAnsi="Times New Roman" w:eastAsia="宋体" w:cs="Segoe UI"/>
          <w:i w:val="0"/>
          <w:iCs w:val="0"/>
          <w:caps w:val="0"/>
          <w:color w:val="0F1115"/>
          <w:spacing w:val="0"/>
          <w:sz w:val="24"/>
          <w:szCs w:val="19"/>
          <w:shd w:val="clear" w:fill="FFFFFF"/>
        </w:rPr>
        <w:t>综上所述，本研究的结论在于：</w:t>
      </w:r>
      <w:r>
        <w:rPr>
          <w:rStyle w:val="6"/>
          <w:rFonts w:hint="default" w:ascii="Times New Roman" w:hAnsi="Times New Roman" w:eastAsia="宋体" w:cs="Segoe UI"/>
          <w:b/>
          <w:bCs/>
          <w:i w:val="0"/>
          <w:iCs w:val="0"/>
          <w:caps w:val="0"/>
          <w:color w:val="0F1115"/>
          <w:spacing w:val="0"/>
          <w:sz w:val="24"/>
          <w:szCs w:val="19"/>
          <w:shd w:val="clear" w:fill="FFFFFF"/>
        </w:rPr>
        <w:t>手机依赖与心理健康问题密切相关，且其形成的关键风险因素并非使用时间的长短或特定功能，而在于个体是否怀有</w:t>
      </w:r>
      <w:r>
        <w:rPr>
          <w:rStyle w:val="6"/>
          <w:rFonts w:hint="eastAsia" w:ascii="Times New Roman" w:hAnsi="Times New Roman" w:eastAsia="宋体" w:cs="Segoe UI"/>
          <w:b/>
          <w:bCs/>
          <w:i w:val="0"/>
          <w:iCs w:val="0"/>
          <w:caps w:val="0"/>
          <w:color w:val="0F1115"/>
          <w:spacing w:val="0"/>
          <w:sz w:val="24"/>
          <w:szCs w:val="19"/>
          <w:shd w:val="clear" w:fill="FFFFFF"/>
          <w:lang w:eastAsia="zh-CN"/>
        </w:rPr>
        <w:t>“</w:t>
      </w:r>
      <w:r>
        <w:rPr>
          <w:rStyle w:val="6"/>
          <w:rFonts w:hint="default" w:ascii="Times New Roman" w:hAnsi="Times New Roman" w:eastAsia="宋体" w:cs="Segoe UI"/>
          <w:b/>
          <w:bCs/>
          <w:i w:val="0"/>
          <w:iCs w:val="0"/>
          <w:caps w:val="0"/>
          <w:color w:val="0F1115"/>
          <w:spacing w:val="0"/>
          <w:sz w:val="24"/>
          <w:szCs w:val="19"/>
          <w:shd w:val="clear" w:fill="FFFFFF"/>
        </w:rPr>
        <w:t>通过手机使用来体现个性</w:t>
      </w:r>
      <w:r>
        <w:rPr>
          <w:rStyle w:val="6"/>
          <w:rFonts w:hint="eastAsia" w:ascii="Times New Roman" w:hAnsi="Times New Roman" w:eastAsia="宋体" w:cs="Segoe UI"/>
          <w:b/>
          <w:bCs/>
          <w:i w:val="0"/>
          <w:iCs w:val="0"/>
          <w:caps w:val="0"/>
          <w:color w:val="0F1115"/>
          <w:spacing w:val="0"/>
          <w:sz w:val="24"/>
          <w:szCs w:val="19"/>
          <w:shd w:val="clear" w:fill="FFFFFF"/>
          <w:lang w:eastAsia="zh-CN"/>
        </w:rPr>
        <w:t>”</w:t>
      </w:r>
      <w:r>
        <w:rPr>
          <w:rStyle w:val="6"/>
          <w:rFonts w:hint="default" w:ascii="Times New Roman" w:hAnsi="Times New Roman" w:eastAsia="宋体" w:cs="Segoe UI"/>
          <w:b/>
          <w:bCs/>
          <w:i w:val="0"/>
          <w:iCs w:val="0"/>
          <w:caps w:val="0"/>
          <w:color w:val="0F1115"/>
          <w:spacing w:val="0"/>
          <w:sz w:val="24"/>
          <w:szCs w:val="19"/>
          <w:shd w:val="clear" w:fill="FFFFFF"/>
        </w:rPr>
        <w:t>这一内在心理动机。</w:t>
      </w:r>
      <w:r>
        <w:rPr>
          <w:rFonts w:hint="default" w:ascii="Times New Roman" w:hAnsi="Times New Roman" w:eastAsia="宋体" w:cs="Segoe UI"/>
          <w:i w:val="0"/>
          <w:iCs w:val="0"/>
          <w:caps w:val="0"/>
          <w:color w:val="0F1115"/>
          <w:spacing w:val="0"/>
          <w:sz w:val="24"/>
          <w:szCs w:val="19"/>
          <w:shd w:val="clear" w:fill="FFFFFF"/>
        </w:rPr>
        <w:t>这一发现将干预的焦点从外在的行为限制引向了内在动机的疏导与健康身份认同的建立，为后续的预防与干预实践提供了重要的理论依据与探索方向。</w:t>
      </w:r>
    </w:p>
    <w:p w14:paraId="513593EC">
      <w:pPr>
        <w:keepNext w:val="0"/>
        <w:keepLines w:val="0"/>
        <w:pageBreakBefore w:val="0"/>
        <w:kinsoku/>
        <w:wordWrap/>
        <w:overflowPunct/>
        <w:topLinePunct w:val="0"/>
        <w:autoSpaceDE/>
        <w:autoSpaceDN/>
        <w:bidi w:val="0"/>
        <w:adjustRightInd/>
        <w:snapToGrid w:val="0"/>
        <w:spacing w:line="240" w:lineRule="auto"/>
        <w:ind w:firstLine="480" w:firstLineChars="200"/>
        <w:textAlignment w:val="auto"/>
        <w:rPr>
          <w:rFonts w:ascii="Times New Roman" w:hAnsi="Times New Roman" w:eastAsia="宋体"/>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ingLiU">
    <w:altName w:val="Segoe Print"/>
    <w:panose1 w:val="00000000000000000000"/>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B1F63B9"/>
    <w:rsid w:val="1B593EEC"/>
    <w:rsid w:val="25490731"/>
    <w:rsid w:val="367774C5"/>
    <w:rsid w:val="38213B8C"/>
    <w:rsid w:val="46A95479"/>
    <w:rsid w:val="4AE50A49"/>
    <w:rsid w:val="52524C16"/>
    <w:rsid w:val="5DD5494D"/>
    <w:rsid w:val="73CE21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iPriority="99" w:semiHidden="0" w:name="heading 1"/>
    <w:lsdException w:uiPriority="99" w:semiHidden="0" w:name="heading 2"/>
    <w:lsdException w:uiPriority="9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qFormat/>
    <w:uiPriority w:val="0"/>
    <w:rPr>
      <w:sz w:val="24"/>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1188</Words>
  <Characters>1345</Characters>
  <Lines>0</Lines>
  <Paragraphs>0</Paragraphs>
  <TotalTime>4</TotalTime>
  <ScaleCrop>false</ScaleCrop>
  <LinksUpToDate>false</LinksUpToDate>
  <CharactersWithSpaces>1387</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2025-11-19T14:13:00Z</dcterms:created>
  <dc:creator>黄灿妍</dc:creator>
  <cp:lastModifiedBy>黄灿妍</cp:lastModifiedBy>
  <dcterms:modified xsi:type="dcterms:W3CDTF">2025-11-19T15:19:55Z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D71836826F9C4B79BFB16998FE920657_11</vt:lpwstr>
  </property>
  <property fmtid="{D5CDD505-2E9C-101B-9397-08002B2CF9AE}" pid="4" name="KSOTemplateDocerSaveRecord">
    <vt:lpwstr>eyJoZGlkIjoiYjJjOTQxYzhjODMyMDAzZmE0MDJkMWFkNmJlNDkwYTUiLCJ1c2VySWQiOiIxNjYyNDc3NzE4In0=</vt:lpwstr>
  </property>
</Properties>
</file>