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2A167">
      <w:pPr>
        <w:pStyle w:val="4"/>
        <w:rPr>
          <w:rFonts w:hint="eastAsia" w:ascii="黑体" w:hAnsi="黑体" w:eastAsia="黑体" w:cs="黑体"/>
          <w:b/>
          <w:bCs/>
          <w:color w:val="000000" w:themeColor="text1"/>
          <w:sz w:val="28"/>
          <w:szCs w:val="28"/>
          <w:lang w:val="en-US" w:eastAsia="zh-CN"/>
          <w14:textFill>
            <w14:solidFill>
              <w14:schemeClr w14:val="tx1"/>
            </w14:solidFill>
          </w14:textFill>
        </w:rPr>
      </w:pPr>
      <w:r>
        <w:rPr>
          <w:rFonts w:hint="eastAsia" w:ascii="黑体" w:hAnsi="黑体" w:eastAsia="黑体" w:cs="黑体"/>
          <w:b/>
          <w:bCs/>
          <w:color w:val="000000" w:themeColor="text1"/>
          <w:sz w:val="28"/>
          <w:szCs w:val="28"/>
          <w:lang w:val="en-US" w:eastAsia="zh-CN"/>
          <w14:textFill>
            <w14:solidFill>
              <w14:schemeClr w14:val="tx1"/>
            </w14:solidFill>
          </w14:textFill>
        </w:rPr>
        <w:t>Logistic回归</w:t>
      </w:r>
    </w:p>
    <w:p w14:paraId="3E3D7C12">
      <w:pPr>
        <w:pStyle w:val="4"/>
        <w:numPr>
          <w:ilvl w:val="0"/>
          <w:numId w:val="7"/>
        </w:num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变量定义</w:t>
      </w:r>
    </w:p>
    <w:p w14:paraId="3B699E1E">
      <w:pPr>
        <w:pStyle w:val="4"/>
        <w:numPr>
          <w:numId w:val="0"/>
        </w:num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1、</w:t>
      </w:r>
      <w:r>
        <w:rPr>
          <w:rFonts w:hint="eastAsia" w:ascii="宋体" w:hAnsi="宋体" w:eastAsia="宋体" w:cs="宋体"/>
          <w:b w:val="0"/>
          <w:bCs w:val="0"/>
          <w:color w:val="000000" w:themeColor="text1"/>
          <w:sz w:val="24"/>
          <w:szCs w:val="24"/>
          <w14:textFill>
            <w14:solidFill>
              <w14:schemeClr w14:val="tx1"/>
            </w14:solidFill>
          </w14:textFill>
        </w:rPr>
        <w:t>因变量：手机依赖程度</w:t>
      </w:r>
    </w:p>
    <w:p w14:paraId="63E56ECB">
      <w:p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基于手机依赖总分进行二分类：</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ascii="宋体" w:hAnsi="宋体" w:eastAsia="宋体" w:cs="宋体"/>
          <w:b w:val="0"/>
          <w:bCs w:val="0"/>
          <w:color w:val="000000" w:themeColor="text1"/>
          <w:sz w:val="24"/>
          <w:szCs w:val="24"/>
          <w14:textFill>
            <w14:solidFill>
              <w14:schemeClr w14:val="tx1"/>
            </w14:solidFill>
          </w14:textFill>
        </w:rPr>
        <w:t>• 低依赖：手机依赖总分 &lt; 48.75分（赋值为0）</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ascii="宋体" w:hAnsi="宋体" w:eastAsia="宋体" w:cs="宋体"/>
          <w:b w:val="0"/>
          <w:bCs w:val="0"/>
          <w:color w:val="000000" w:themeColor="text1"/>
          <w:sz w:val="24"/>
          <w:szCs w:val="24"/>
          <w14:textFill>
            <w14:solidFill>
              <w14:schemeClr w14:val="tx1"/>
            </w14:solidFill>
          </w14:textFill>
        </w:rPr>
        <w:t>• 中重度依赖：手机依赖总分 ≥ 48.75分（赋值为1）</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ascii="宋体" w:hAnsi="宋体" w:eastAsia="宋体" w:cs="宋体"/>
          <w:b w:val="0"/>
          <w:bCs w:val="0"/>
          <w:color w:val="000000" w:themeColor="text1"/>
          <w:sz w:val="24"/>
          <w:szCs w:val="24"/>
          <w14:textFill>
            <w14:solidFill>
              <w14:schemeClr w14:val="tx1"/>
            </w14:solidFill>
          </w14:textFill>
        </w:rPr>
        <w:t xml:space="preserve">  注：48.75~61.75分为中度依赖，&gt;61.75分为重度依赖</w:t>
      </w:r>
    </w:p>
    <w:p w14:paraId="133C38DB">
      <w:p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2、</w:t>
      </w:r>
      <w:r>
        <w:rPr>
          <w:rFonts w:hint="eastAsia" w:ascii="宋体" w:hAnsi="宋体" w:eastAsia="宋体" w:cs="宋体"/>
          <w:b w:val="0"/>
          <w:bCs w:val="0"/>
          <w:color w:val="000000" w:themeColor="text1"/>
          <w:sz w:val="24"/>
          <w:szCs w:val="24"/>
          <w14:textFill>
            <w14:solidFill>
              <w14:schemeClr w14:val="tx1"/>
            </w14:solidFill>
          </w14:textFill>
        </w:rPr>
        <w:t>自变量：显著相关变量</w:t>
      </w:r>
    </w:p>
    <w:p w14:paraId="517C818A">
      <w:p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通过Pearson相关性分析（p&lt;0.05）筛选出6个显著相关变量，具体如下：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8D9D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000000" w:sz="12" w:space="0"/>
              <w:left w:val="nil"/>
              <w:bottom w:val="single" w:color="000000" w:sz="4" w:space="0"/>
              <w:right w:val="nil"/>
              <w:tl2br w:val="nil"/>
            </w:tcBorders>
            <w:shd w:val="clear" w:color="auto" w:fill="FFFFFF"/>
          </w:tcPr>
          <w:p w14:paraId="09FE2477">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序号</w:t>
            </w:r>
          </w:p>
        </w:tc>
        <w:tc>
          <w:tcPr>
            <w:tcW w:w="2880" w:type="dxa"/>
            <w:tcBorders>
              <w:top w:val="single" w:color="000000" w:sz="12" w:space="0"/>
              <w:left w:val="nil"/>
              <w:bottom w:val="single" w:color="000000" w:sz="4" w:space="0"/>
              <w:right w:val="nil"/>
            </w:tcBorders>
            <w:shd w:val="clear" w:color="auto" w:fill="FFFFFF"/>
          </w:tcPr>
          <w:p w14:paraId="00985FCB">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变量名称</w:t>
            </w:r>
          </w:p>
        </w:tc>
        <w:tc>
          <w:tcPr>
            <w:tcW w:w="2880" w:type="dxa"/>
            <w:tcBorders>
              <w:top w:val="single" w:color="000000" w:sz="12" w:space="0"/>
              <w:left w:val="nil"/>
              <w:bottom w:val="single" w:color="000000" w:sz="4" w:space="0"/>
              <w:right w:val="nil"/>
            </w:tcBorders>
            <w:shd w:val="clear" w:color="auto" w:fill="FFFFFF"/>
          </w:tcPr>
          <w:p w14:paraId="32041642">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变量说明</w:t>
            </w:r>
          </w:p>
        </w:tc>
      </w:tr>
      <w:tr w14:paraId="2A5BA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000000" w:sz="4" w:space="0"/>
              <w:left w:val="nil"/>
              <w:bottom w:val="nil"/>
              <w:right w:val="nil"/>
            </w:tcBorders>
            <w:shd w:val="clear" w:color="auto" w:fill="FFFFFF"/>
          </w:tcPr>
          <w:p w14:paraId="62B12BB6">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w:t>
            </w:r>
          </w:p>
        </w:tc>
        <w:tc>
          <w:tcPr>
            <w:tcW w:w="2880" w:type="dxa"/>
            <w:tcBorders>
              <w:top w:val="single" w:color="000000" w:sz="4" w:space="0"/>
              <w:left w:val="nil"/>
              <w:bottom w:val="nil"/>
              <w:right w:val="nil"/>
            </w:tcBorders>
            <w:shd w:val="clear" w:color="auto" w:fill="FFFFFF"/>
          </w:tcPr>
          <w:p w14:paraId="75C5A9B8">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压力总分</w:t>
            </w:r>
          </w:p>
        </w:tc>
        <w:tc>
          <w:tcPr>
            <w:tcW w:w="2880" w:type="dxa"/>
            <w:tcBorders>
              <w:top w:val="single" w:color="000000" w:sz="4" w:space="0"/>
              <w:left w:val="nil"/>
              <w:bottom w:val="nil"/>
              <w:right w:val="nil"/>
            </w:tcBorders>
            <w:shd w:val="clear" w:color="auto" w:fill="FFFFFF"/>
          </w:tcPr>
          <w:p w14:paraId="49239385">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压力维度量表总分，分数越高压力程度越重</w:t>
            </w:r>
          </w:p>
        </w:tc>
      </w:tr>
      <w:tr w14:paraId="5CA7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nil"/>
              <w:left w:val="nil"/>
              <w:bottom w:val="nil"/>
              <w:right w:val="nil"/>
            </w:tcBorders>
            <w:shd w:val="clear" w:color="auto" w:fill="FFFFFF"/>
          </w:tcPr>
          <w:p w14:paraId="4B06897A">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2</w:t>
            </w:r>
          </w:p>
        </w:tc>
        <w:tc>
          <w:tcPr>
            <w:tcW w:w="2880" w:type="dxa"/>
            <w:tcBorders>
              <w:top w:val="nil"/>
              <w:left w:val="nil"/>
              <w:bottom w:val="nil"/>
              <w:right w:val="nil"/>
            </w:tcBorders>
            <w:shd w:val="clear" w:color="auto" w:fill="FFFFFF"/>
          </w:tcPr>
          <w:p w14:paraId="7A659021">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抑郁总分</w:t>
            </w:r>
          </w:p>
        </w:tc>
        <w:tc>
          <w:tcPr>
            <w:tcW w:w="2880" w:type="dxa"/>
            <w:tcBorders>
              <w:top w:val="nil"/>
              <w:left w:val="nil"/>
              <w:bottom w:val="nil"/>
              <w:right w:val="nil"/>
            </w:tcBorders>
            <w:shd w:val="clear" w:color="auto" w:fill="FFFFFF"/>
          </w:tcPr>
          <w:p w14:paraId="5E42B28E">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抑郁维度量表总分，分数越高抑郁程度越重（临界值：10=轻微，14=中度，21=重度）</w:t>
            </w:r>
          </w:p>
        </w:tc>
      </w:tr>
      <w:tr w14:paraId="289C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nil"/>
              <w:left w:val="nil"/>
              <w:bottom w:val="nil"/>
              <w:right w:val="nil"/>
            </w:tcBorders>
            <w:shd w:val="clear" w:color="auto" w:fill="FFFFFF"/>
          </w:tcPr>
          <w:p w14:paraId="4B478230">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3</w:t>
            </w:r>
          </w:p>
        </w:tc>
        <w:tc>
          <w:tcPr>
            <w:tcW w:w="2880" w:type="dxa"/>
            <w:tcBorders>
              <w:top w:val="nil"/>
              <w:left w:val="nil"/>
              <w:bottom w:val="nil"/>
              <w:right w:val="nil"/>
            </w:tcBorders>
            <w:shd w:val="clear" w:color="auto" w:fill="FFFFFF"/>
          </w:tcPr>
          <w:p w14:paraId="7BE61072">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焦虑总分</w:t>
            </w:r>
          </w:p>
        </w:tc>
        <w:tc>
          <w:tcPr>
            <w:tcW w:w="2880" w:type="dxa"/>
            <w:tcBorders>
              <w:top w:val="nil"/>
              <w:left w:val="nil"/>
              <w:bottom w:val="nil"/>
              <w:right w:val="nil"/>
            </w:tcBorders>
            <w:shd w:val="clear" w:color="auto" w:fill="FFFFFF"/>
          </w:tcPr>
          <w:p w14:paraId="337CDA1D">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焦虑维度量表总分，分数越高焦虑程度越重（临界值：8=轻微，10=中度，15=重度）</w:t>
            </w:r>
          </w:p>
        </w:tc>
      </w:tr>
      <w:tr w14:paraId="27851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nil"/>
              <w:left w:val="nil"/>
              <w:bottom w:val="nil"/>
              <w:right w:val="nil"/>
            </w:tcBorders>
            <w:shd w:val="clear" w:color="auto" w:fill="FFFFFF"/>
          </w:tcPr>
          <w:p w14:paraId="5F65C197">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4</w:t>
            </w:r>
          </w:p>
        </w:tc>
        <w:tc>
          <w:tcPr>
            <w:tcW w:w="2880" w:type="dxa"/>
            <w:tcBorders>
              <w:top w:val="nil"/>
              <w:left w:val="nil"/>
              <w:bottom w:val="nil"/>
              <w:right w:val="nil"/>
            </w:tcBorders>
            <w:shd w:val="clear" w:color="auto" w:fill="FFFFFF"/>
          </w:tcPr>
          <w:p w14:paraId="561758DF">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每日使用时间</w:t>
            </w:r>
          </w:p>
        </w:tc>
        <w:tc>
          <w:tcPr>
            <w:tcW w:w="2880" w:type="dxa"/>
            <w:tcBorders>
              <w:top w:val="nil"/>
              <w:left w:val="nil"/>
              <w:bottom w:val="nil"/>
              <w:right w:val="nil"/>
            </w:tcBorders>
            <w:shd w:val="clear" w:color="auto" w:fill="FFFFFF"/>
          </w:tcPr>
          <w:p w14:paraId="63EFD212">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每日手机使用时间评分，数值越大使用时间越长</w:t>
            </w:r>
          </w:p>
        </w:tc>
      </w:tr>
      <w:tr w14:paraId="3D87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nil"/>
              <w:left w:val="nil"/>
              <w:bottom w:val="nil"/>
              <w:right w:val="nil"/>
            </w:tcBorders>
            <w:shd w:val="clear" w:color="auto" w:fill="FFFFFF"/>
          </w:tcPr>
          <w:p w14:paraId="3EF71729">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5</w:t>
            </w:r>
          </w:p>
        </w:tc>
        <w:tc>
          <w:tcPr>
            <w:tcW w:w="2880" w:type="dxa"/>
            <w:tcBorders>
              <w:top w:val="nil"/>
              <w:left w:val="nil"/>
              <w:bottom w:val="nil"/>
              <w:right w:val="nil"/>
            </w:tcBorders>
            <w:shd w:val="clear" w:color="auto" w:fill="FFFFFF"/>
          </w:tcPr>
          <w:p w14:paraId="1C46F2E0">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动机体现个性</w:t>
            </w:r>
          </w:p>
        </w:tc>
        <w:tc>
          <w:tcPr>
            <w:tcW w:w="2880" w:type="dxa"/>
            <w:tcBorders>
              <w:top w:val="nil"/>
              <w:left w:val="nil"/>
              <w:bottom w:val="nil"/>
              <w:right w:val="nil"/>
            </w:tcBorders>
            <w:shd w:val="clear" w:color="auto" w:fill="FFFFFF"/>
          </w:tcPr>
          <w:p w14:paraId="3AD52AAD">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使用手机体现个性的动机（0=否，1=是）</w:t>
            </w:r>
          </w:p>
        </w:tc>
      </w:tr>
      <w:tr w14:paraId="6DA9D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nil"/>
              <w:left w:val="nil"/>
              <w:bottom w:val="single" w:color="000000" w:sz="12" w:space="0"/>
              <w:right w:val="nil"/>
            </w:tcBorders>
            <w:shd w:val="clear" w:color="auto" w:fill="FFFFFF"/>
          </w:tcPr>
          <w:p w14:paraId="1E53AEA7">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6</w:t>
            </w:r>
          </w:p>
        </w:tc>
        <w:tc>
          <w:tcPr>
            <w:tcW w:w="2880" w:type="dxa"/>
            <w:tcBorders>
              <w:top w:val="nil"/>
              <w:left w:val="nil"/>
              <w:bottom w:val="single" w:color="000000" w:sz="12" w:space="0"/>
              <w:right w:val="nil"/>
            </w:tcBorders>
            <w:shd w:val="clear" w:color="auto" w:fill="FFFFFF"/>
          </w:tcPr>
          <w:p w14:paraId="541D4ACA">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功能上网</w:t>
            </w:r>
          </w:p>
        </w:tc>
        <w:tc>
          <w:tcPr>
            <w:tcW w:w="2880" w:type="dxa"/>
            <w:tcBorders>
              <w:top w:val="nil"/>
              <w:left w:val="nil"/>
              <w:bottom w:val="single" w:color="000000" w:sz="12" w:space="0"/>
              <w:right w:val="nil"/>
            </w:tcBorders>
            <w:shd w:val="clear" w:color="auto" w:fill="FFFFFF"/>
          </w:tcPr>
          <w:p w14:paraId="040647E2">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使用手机上网功能的频率（0=否，1=是）</w:t>
            </w:r>
          </w:p>
        </w:tc>
      </w:tr>
    </w:tbl>
    <w:p w14:paraId="67AC6F5D">
      <w:pPr>
        <w:pStyle w:val="4"/>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二、</w:t>
      </w:r>
      <w:r>
        <w:rPr>
          <w:rFonts w:hint="eastAsia" w:ascii="宋体" w:hAnsi="宋体" w:eastAsia="宋体" w:cs="宋体"/>
          <w:b w:val="0"/>
          <w:bCs w:val="0"/>
          <w:color w:val="000000" w:themeColor="text1"/>
          <w:sz w:val="24"/>
          <w:szCs w:val="24"/>
          <w14:textFill>
            <w14:solidFill>
              <w14:schemeClr w14:val="tx1"/>
            </w14:solidFill>
          </w14:textFill>
        </w:rPr>
        <w:t>分析方法</w:t>
      </w:r>
    </w:p>
    <w:p w14:paraId="03B13FFF">
      <w:p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 相关性分析：</w:t>
      </w:r>
      <w:r>
        <w:rPr>
          <w:rFonts w:hint="eastAsia" w:ascii="宋体" w:hAnsi="宋体" w:eastAsia="宋体" w:cs="宋体"/>
          <w:b w:val="0"/>
          <w:bCs w:val="0"/>
          <w:color w:val="000000" w:themeColor="text1"/>
          <w:sz w:val="24"/>
          <w:szCs w:val="24"/>
          <w14:textFill>
            <w14:solidFill>
              <w14:schemeClr w14:val="tx1"/>
            </w14:solidFill>
          </w14:textFill>
        </w:rPr>
        <w:t>采用Pearson相关分析，检验各变量与手机依赖总分的相关性，筛选p&lt;0.05的显著相关变量作为自变量。</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ascii="宋体" w:hAnsi="宋体" w:eastAsia="宋体" w:cs="宋体"/>
          <w:b w:val="0"/>
          <w:bCs w:val="0"/>
          <w:color w:val="000000" w:themeColor="text1"/>
          <w:sz w:val="24"/>
          <w:szCs w:val="24"/>
          <w14:textFill>
            <w14:solidFill>
              <w14:schemeClr w14:val="tx1"/>
            </w14:solidFill>
          </w14:textFill>
        </w:rPr>
        <w:t>2. 逻辑回归分析：</w:t>
      </w:r>
      <w:r>
        <w:rPr>
          <w:rFonts w:hint="eastAsia" w:ascii="宋体" w:hAnsi="宋体" w:eastAsia="宋体" w:cs="宋体"/>
          <w:b w:val="0"/>
          <w:bCs w:val="0"/>
          <w:color w:val="000000" w:themeColor="text1"/>
          <w:sz w:val="24"/>
          <w:szCs w:val="24"/>
          <w14:textFill>
            <w14:solidFill>
              <w14:schemeClr w14:val="tx1"/>
            </w14:solidFill>
          </w14:textFill>
        </w:rPr>
        <w:t>以二分类手机依赖程度为因变量，显著相关变量为自变量，构建Logistic回归模型。所有连续自变量进行标准化处理，采用最大似然估计法拟合模型。</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ascii="宋体" w:hAnsi="宋体" w:eastAsia="宋体" w:cs="宋体"/>
          <w:b w:val="0"/>
          <w:bCs w:val="0"/>
          <w:color w:val="000000" w:themeColor="text1"/>
          <w:sz w:val="24"/>
          <w:szCs w:val="24"/>
          <w14:textFill>
            <w14:solidFill>
              <w14:schemeClr w14:val="tx1"/>
            </w14:solidFill>
          </w14:textFill>
        </w:rPr>
        <w:t>3. 模型评估：</w:t>
      </w:r>
      <w:r>
        <w:rPr>
          <w:rFonts w:hint="eastAsia" w:ascii="宋体" w:hAnsi="宋体" w:eastAsia="宋体" w:cs="宋体"/>
          <w:b w:val="0"/>
          <w:bCs w:val="0"/>
          <w:color w:val="000000" w:themeColor="text1"/>
          <w:sz w:val="24"/>
          <w:szCs w:val="24"/>
          <w14:textFill>
            <w14:solidFill>
              <w14:schemeClr w14:val="tx1"/>
            </w14:solidFill>
          </w14:textFill>
        </w:rPr>
        <w:t>采用准确率（Accuracy）、混淆矩阵、ROC曲线及AUC值综合评估模型预测性能。</w:t>
      </w:r>
    </w:p>
    <w:p w14:paraId="729F8B9D">
      <w:pPr>
        <w:pStyle w:val="3"/>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三、研究结果</w:t>
      </w:r>
    </w:p>
    <w:p w14:paraId="6E36BE86">
      <w:pPr>
        <w:pStyle w:val="4"/>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1、</w:t>
      </w:r>
      <w:r>
        <w:rPr>
          <w:rFonts w:hint="eastAsia" w:ascii="宋体" w:hAnsi="宋体" w:eastAsia="宋体" w:cs="宋体"/>
          <w:b w:val="0"/>
          <w:bCs w:val="0"/>
          <w:color w:val="000000" w:themeColor="text1"/>
          <w:sz w:val="24"/>
          <w:szCs w:val="24"/>
          <w14:textFill>
            <w14:solidFill>
              <w14:schemeClr w14:val="tx1"/>
            </w14:solidFill>
          </w14:textFill>
        </w:rPr>
        <w:t>相关性分析结果</w:t>
      </w:r>
    </w:p>
    <w:p w14:paraId="070D3E24">
      <w:p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Pearson相关性分析显示，6个变量与手机依赖总分存在显著相关关系（p&lt;0.05），具体结果如下表所示：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167B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12" w:space="0"/>
              <w:left w:val="nil"/>
              <w:bottom w:val="single" w:color="000000" w:sz="4" w:space="0"/>
              <w:right w:val="nil"/>
              <w:tl2br w:val="nil"/>
            </w:tcBorders>
            <w:shd w:val="clear" w:color="auto" w:fill="FFFFFF"/>
          </w:tcPr>
          <w:p w14:paraId="23B9FAB9">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序号</w:t>
            </w:r>
          </w:p>
        </w:tc>
        <w:tc>
          <w:tcPr>
            <w:tcW w:w="1728" w:type="dxa"/>
            <w:tcBorders>
              <w:top w:val="single" w:color="000000" w:sz="12" w:space="0"/>
              <w:left w:val="nil"/>
              <w:bottom w:val="single" w:color="000000" w:sz="4" w:space="0"/>
              <w:right w:val="nil"/>
            </w:tcBorders>
            <w:shd w:val="clear" w:color="auto" w:fill="FFFFFF"/>
          </w:tcPr>
          <w:p w14:paraId="169542F5">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变量名称</w:t>
            </w:r>
          </w:p>
        </w:tc>
        <w:tc>
          <w:tcPr>
            <w:tcW w:w="1728" w:type="dxa"/>
            <w:tcBorders>
              <w:top w:val="single" w:color="000000" w:sz="12" w:space="0"/>
              <w:left w:val="nil"/>
              <w:bottom w:val="single" w:color="000000" w:sz="4" w:space="0"/>
              <w:right w:val="nil"/>
            </w:tcBorders>
            <w:shd w:val="clear" w:color="auto" w:fill="FFFFFF"/>
          </w:tcPr>
          <w:p w14:paraId="415A046C">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Pearson相关系数</w:t>
            </w:r>
          </w:p>
        </w:tc>
        <w:tc>
          <w:tcPr>
            <w:tcW w:w="1728" w:type="dxa"/>
            <w:tcBorders>
              <w:top w:val="single" w:color="000000" w:sz="12" w:space="0"/>
              <w:left w:val="nil"/>
              <w:bottom w:val="single" w:color="000000" w:sz="4" w:space="0"/>
              <w:right w:val="nil"/>
            </w:tcBorders>
            <w:shd w:val="clear" w:color="auto" w:fill="FFFFFF"/>
          </w:tcPr>
          <w:p w14:paraId="2952A7E8">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p值</w:t>
            </w:r>
          </w:p>
        </w:tc>
        <w:tc>
          <w:tcPr>
            <w:tcW w:w="1728" w:type="dxa"/>
            <w:tcBorders>
              <w:top w:val="single" w:color="000000" w:sz="12" w:space="0"/>
              <w:left w:val="nil"/>
              <w:bottom w:val="single" w:color="000000" w:sz="4" w:space="0"/>
              <w:right w:val="nil"/>
            </w:tcBorders>
            <w:shd w:val="clear" w:color="auto" w:fill="FFFFFF"/>
          </w:tcPr>
          <w:p w14:paraId="2F22DC70">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显著性</w:t>
            </w:r>
          </w:p>
        </w:tc>
      </w:tr>
      <w:tr w14:paraId="425C1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4" w:space="0"/>
              <w:left w:val="nil"/>
              <w:bottom w:val="nil"/>
              <w:right w:val="nil"/>
            </w:tcBorders>
            <w:shd w:val="clear" w:color="auto" w:fill="FFFFFF"/>
          </w:tcPr>
          <w:p w14:paraId="76474B68">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w:t>
            </w:r>
          </w:p>
        </w:tc>
        <w:tc>
          <w:tcPr>
            <w:tcW w:w="1728" w:type="dxa"/>
            <w:tcBorders>
              <w:top w:val="single" w:color="000000" w:sz="4" w:space="0"/>
              <w:left w:val="nil"/>
              <w:bottom w:val="nil"/>
              <w:right w:val="nil"/>
            </w:tcBorders>
            <w:shd w:val="clear" w:color="auto" w:fill="FFFFFF"/>
          </w:tcPr>
          <w:p w14:paraId="4F5D9F43">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压力总分</w:t>
            </w:r>
          </w:p>
        </w:tc>
        <w:tc>
          <w:tcPr>
            <w:tcW w:w="1728" w:type="dxa"/>
            <w:tcBorders>
              <w:top w:val="single" w:color="000000" w:sz="4" w:space="0"/>
              <w:left w:val="nil"/>
              <w:bottom w:val="nil"/>
              <w:right w:val="nil"/>
            </w:tcBorders>
            <w:shd w:val="clear" w:color="auto" w:fill="FFFFFF"/>
          </w:tcPr>
          <w:p w14:paraId="670BCBA2">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0.5140</w:t>
            </w:r>
          </w:p>
        </w:tc>
        <w:tc>
          <w:tcPr>
            <w:tcW w:w="1728" w:type="dxa"/>
            <w:tcBorders>
              <w:top w:val="single" w:color="000000" w:sz="4" w:space="0"/>
              <w:left w:val="nil"/>
              <w:bottom w:val="nil"/>
              <w:right w:val="nil"/>
            </w:tcBorders>
            <w:shd w:val="clear" w:color="auto" w:fill="FFFFFF"/>
          </w:tcPr>
          <w:p w14:paraId="02F3FFC0">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0.0000</w:t>
            </w:r>
          </w:p>
        </w:tc>
        <w:tc>
          <w:tcPr>
            <w:tcW w:w="1728" w:type="dxa"/>
            <w:tcBorders>
              <w:top w:val="single" w:color="000000" w:sz="4" w:space="0"/>
              <w:left w:val="nil"/>
              <w:bottom w:val="nil"/>
              <w:right w:val="nil"/>
            </w:tcBorders>
            <w:shd w:val="clear" w:color="auto" w:fill="FFFFFF"/>
          </w:tcPr>
          <w:p w14:paraId="0E8D7ED7">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w:t>
            </w:r>
          </w:p>
        </w:tc>
      </w:tr>
      <w:tr w14:paraId="35DA4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nil"/>
              <w:left w:val="nil"/>
              <w:bottom w:val="nil"/>
              <w:right w:val="nil"/>
            </w:tcBorders>
            <w:shd w:val="clear" w:color="auto" w:fill="FFFFFF"/>
          </w:tcPr>
          <w:p w14:paraId="115B271E">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2</w:t>
            </w:r>
          </w:p>
        </w:tc>
        <w:tc>
          <w:tcPr>
            <w:tcW w:w="1728" w:type="dxa"/>
            <w:tcBorders>
              <w:top w:val="nil"/>
              <w:left w:val="nil"/>
              <w:bottom w:val="nil"/>
              <w:right w:val="nil"/>
            </w:tcBorders>
            <w:shd w:val="clear" w:color="auto" w:fill="FFFFFF"/>
          </w:tcPr>
          <w:p w14:paraId="6C49080D">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抑郁总分</w:t>
            </w:r>
          </w:p>
        </w:tc>
        <w:tc>
          <w:tcPr>
            <w:tcW w:w="1728" w:type="dxa"/>
            <w:tcBorders>
              <w:top w:val="nil"/>
              <w:left w:val="nil"/>
              <w:bottom w:val="nil"/>
              <w:right w:val="nil"/>
            </w:tcBorders>
            <w:shd w:val="clear" w:color="auto" w:fill="FFFFFF"/>
          </w:tcPr>
          <w:p w14:paraId="00C7AA7B">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0.4990</w:t>
            </w:r>
          </w:p>
        </w:tc>
        <w:tc>
          <w:tcPr>
            <w:tcW w:w="1728" w:type="dxa"/>
            <w:tcBorders>
              <w:top w:val="nil"/>
              <w:left w:val="nil"/>
              <w:bottom w:val="nil"/>
              <w:right w:val="nil"/>
            </w:tcBorders>
            <w:shd w:val="clear" w:color="auto" w:fill="FFFFFF"/>
          </w:tcPr>
          <w:p w14:paraId="47572F01">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0.0001</w:t>
            </w:r>
          </w:p>
        </w:tc>
        <w:tc>
          <w:tcPr>
            <w:tcW w:w="1728" w:type="dxa"/>
            <w:tcBorders>
              <w:top w:val="nil"/>
              <w:left w:val="nil"/>
              <w:bottom w:val="nil"/>
              <w:right w:val="nil"/>
            </w:tcBorders>
            <w:shd w:val="clear" w:color="auto" w:fill="FFFFFF"/>
          </w:tcPr>
          <w:p w14:paraId="041CC4D3">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w:t>
            </w:r>
          </w:p>
        </w:tc>
      </w:tr>
      <w:tr w14:paraId="5474D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nil"/>
              <w:left w:val="nil"/>
              <w:bottom w:val="nil"/>
              <w:right w:val="nil"/>
            </w:tcBorders>
            <w:shd w:val="clear" w:color="auto" w:fill="FFFFFF"/>
          </w:tcPr>
          <w:p w14:paraId="483B96BB">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3</w:t>
            </w:r>
          </w:p>
        </w:tc>
        <w:tc>
          <w:tcPr>
            <w:tcW w:w="1728" w:type="dxa"/>
            <w:tcBorders>
              <w:top w:val="nil"/>
              <w:left w:val="nil"/>
              <w:bottom w:val="nil"/>
              <w:right w:val="nil"/>
            </w:tcBorders>
            <w:shd w:val="clear" w:color="auto" w:fill="FFFFFF"/>
          </w:tcPr>
          <w:p w14:paraId="44F44847">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焦虑总分</w:t>
            </w:r>
          </w:p>
        </w:tc>
        <w:tc>
          <w:tcPr>
            <w:tcW w:w="1728" w:type="dxa"/>
            <w:tcBorders>
              <w:top w:val="nil"/>
              <w:left w:val="nil"/>
              <w:bottom w:val="nil"/>
              <w:right w:val="nil"/>
            </w:tcBorders>
            <w:shd w:val="clear" w:color="auto" w:fill="FFFFFF"/>
          </w:tcPr>
          <w:p w14:paraId="684196F6">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0.4609</w:t>
            </w:r>
          </w:p>
        </w:tc>
        <w:tc>
          <w:tcPr>
            <w:tcW w:w="1728" w:type="dxa"/>
            <w:tcBorders>
              <w:top w:val="nil"/>
              <w:left w:val="nil"/>
              <w:bottom w:val="nil"/>
              <w:right w:val="nil"/>
            </w:tcBorders>
            <w:shd w:val="clear" w:color="auto" w:fill="FFFFFF"/>
          </w:tcPr>
          <w:p w14:paraId="054ECF1A">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0.0002</w:t>
            </w:r>
          </w:p>
        </w:tc>
        <w:tc>
          <w:tcPr>
            <w:tcW w:w="1728" w:type="dxa"/>
            <w:tcBorders>
              <w:top w:val="nil"/>
              <w:left w:val="nil"/>
              <w:bottom w:val="nil"/>
              <w:right w:val="nil"/>
            </w:tcBorders>
            <w:shd w:val="clear" w:color="auto" w:fill="FFFFFF"/>
          </w:tcPr>
          <w:p w14:paraId="4520AB1C">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w:t>
            </w:r>
          </w:p>
        </w:tc>
      </w:tr>
      <w:tr w14:paraId="2DCE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nil"/>
              <w:left w:val="nil"/>
              <w:bottom w:val="nil"/>
              <w:right w:val="nil"/>
            </w:tcBorders>
            <w:shd w:val="clear" w:color="auto" w:fill="FFFFFF"/>
          </w:tcPr>
          <w:p w14:paraId="5FC33A44">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4</w:t>
            </w:r>
          </w:p>
        </w:tc>
        <w:tc>
          <w:tcPr>
            <w:tcW w:w="1728" w:type="dxa"/>
            <w:tcBorders>
              <w:top w:val="nil"/>
              <w:left w:val="nil"/>
              <w:bottom w:val="nil"/>
              <w:right w:val="nil"/>
            </w:tcBorders>
            <w:shd w:val="clear" w:color="auto" w:fill="FFFFFF"/>
          </w:tcPr>
          <w:p w14:paraId="3503BAFE">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每日使用时间</w:t>
            </w:r>
          </w:p>
        </w:tc>
        <w:tc>
          <w:tcPr>
            <w:tcW w:w="1728" w:type="dxa"/>
            <w:tcBorders>
              <w:top w:val="nil"/>
              <w:left w:val="nil"/>
              <w:bottom w:val="nil"/>
              <w:right w:val="nil"/>
            </w:tcBorders>
            <w:shd w:val="clear" w:color="auto" w:fill="FFFFFF"/>
          </w:tcPr>
          <w:p w14:paraId="6DB4B8B7">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0.4267</w:t>
            </w:r>
          </w:p>
        </w:tc>
        <w:tc>
          <w:tcPr>
            <w:tcW w:w="1728" w:type="dxa"/>
            <w:tcBorders>
              <w:top w:val="nil"/>
              <w:left w:val="nil"/>
              <w:bottom w:val="nil"/>
              <w:right w:val="nil"/>
            </w:tcBorders>
            <w:shd w:val="clear" w:color="auto" w:fill="FFFFFF"/>
          </w:tcPr>
          <w:p w14:paraId="553FC4E7">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0.0008</w:t>
            </w:r>
          </w:p>
        </w:tc>
        <w:tc>
          <w:tcPr>
            <w:tcW w:w="1728" w:type="dxa"/>
            <w:tcBorders>
              <w:top w:val="nil"/>
              <w:left w:val="nil"/>
              <w:bottom w:val="nil"/>
              <w:right w:val="nil"/>
            </w:tcBorders>
            <w:shd w:val="clear" w:color="auto" w:fill="FFFFFF"/>
          </w:tcPr>
          <w:p w14:paraId="3B547C96">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w:t>
            </w:r>
          </w:p>
        </w:tc>
      </w:tr>
      <w:tr w14:paraId="3DE5C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nil"/>
              <w:left w:val="nil"/>
              <w:bottom w:val="nil"/>
              <w:right w:val="nil"/>
            </w:tcBorders>
            <w:shd w:val="clear" w:color="auto" w:fill="FFFFFF"/>
          </w:tcPr>
          <w:p w14:paraId="6AC18E0F">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5</w:t>
            </w:r>
          </w:p>
        </w:tc>
        <w:tc>
          <w:tcPr>
            <w:tcW w:w="1728" w:type="dxa"/>
            <w:tcBorders>
              <w:top w:val="nil"/>
              <w:left w:val="nil"/>
              <w:bottom w:val="nil"/>
              <w:right w:val="nil"/>
            </w:tcBorders>
            <w:shd w:val="clear" w:color="auto" w:fill="FFFFFF"/>
          </w:tcPr>
          <w:p w14:paraId="73A31412">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动机体现个性</w:t>
            </w:r>
          </w:p>
        </w:tc>
        <w:tc>
          <w:tcPr>
            <w:tcW w:w="1728" w:type="dxa"/>
            <w:tcBorders>
              <w:top w:val="nil"/>
              <w:left w:val="nil"/>
              <w:bottom w:val="nil"/>
              <w:right w:val="nil"/>
            </w:tcBorders>
            <w:shd w:val="clear" w:color="auto" w:fill="FFFFFF"/>
          </w:tcPr>
          <w:p w14:paraId="33EF1575">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0.3414</w:t>
            </w:r>
          </w:p>
        </w:tc>
        <w:tc>
          <w:tcPr>
            <w:tcW w:w="1728" w:type="dxa"/>
            <w:tcBorders>
              <w:top w:val="nil"/>
              <w:left w:val="nil"/>
              <w:bottom w:val="nil"/>
              <w:right w:val="nil"/>
            </w:tcBorders>
            <w:shd w:val="clear" w:color="auto" w:fill="FFFFFF"/>
          </w:tcPr>
          <w:p w14:paraId="10ED7196">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0.0081</w:t>
            </w:r>
          </w:p>
        </w:tc>
        <w:tc>
          <w:tcPr>
            <w:tcW w:w="1728" w:type="dxa"/>
            <w:tcBorders>
              <w:top w:val="nil"/>
              <w:left w:val="nil"/>
              <w:bottom w:val="nil"/>
              <w:right w:val="nil"/>
            </w:tcBorders>
            <w:shd w:val="clear" w:color="auto" w:fill="FFFFFF"/>
          </w:tcPr>
          <w:p w14:paraId="419B6D91">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w:t>
            </w:r>
          </w:p>
        </w:tc>
      </w:tr>
      <w:tr w14:paraId="304FF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nil"/>
              <w:left w:val="nil"/>
              <w:bottom w:val="single" w:color="000000" w:sz="12" w:space="0"/>
              <w:right w:val="nil"/>
            </w:tcBorders>
            <w:shd w:val="clear" w:color="auto" w:fill="FFFFFF"/>
          </w:tcPr>
          <w:p w14:paraId="0CE35D1E">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6</w:t>
            </w:r>
          </w:p>
        </w:tc>
        <w:tc>
          <w:tcPr>
            <w:tcW w:w="1728" w:type="dxa"/>
            <w:tcBorders>
              <w:top w:val="nil"/>
              <w:left w:val="nil"/>
              <w:bottom w:val="single" w:color="000000" w:sz="12" w:space="0"/>
              <w:right w:val="nil"/>
            </w:tcBorders>
            <w:shd w:val="clear" w:color="auto" w:fill="FFFFFF"/>
          </w:tcPr>
          <w:p w14:paraId="7FAB8CC4">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功能上网</w:t>
            </w:r>
          </w:p>
        </w:tc>
        <w:tc>
          <w:tcPr>
            <w:tcW w:w="1728" w:type="dxa"/>
            <w:tcBorders>
              <w:top w:val="nil"/>
              <w:left w:val="nil"/>
              <w:bottom w:val="single" w:color="000000" w:sz="12" w:space="0"/>
              <w:right w:val="nil"/>
            </w:tcBorders>
            <w:shd w:val="clear" w:color="auto" w:fill="FFFFFF"/>
          </w:tcPr>
          <w:p w14:paraId="17951779">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-0.2576</w:t>
            </w:r>
          </w:p>
        </w:tc>
        <w:tc>
          <w:tcPr>
            <w:tcW w:w="1728" w:type="dxa"/>
            <w:tcBorders>
              <w:top w:val="nil"/>
              <w:left w:val="nil"/>
              <w:bottom w:val="single" w:color="000000" w:sz="12" w:space="0"/>
              <w:right w:val="nil"/>
            </w:tcBorders>
            <w:shd w:val="clear" w:color="auto" w:fill="FFFFFF"/>
          </w:tcPr>
          <w:p w14:paraId="3D22693B">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0.0489</w:t>
            </w:r>
          </w:p>
        </w:tc>
        <w:tc>
          <w:tcPr>
            <w:tcW w:w="1728" w:type="dxa"/>
            <w:tcBorders>
              <w:top w:val="nil"/>
              <w:left w:val="nil"/>
              <w:bottom w:val="single" w:color="000000" w:sz="12" w:space="0"/>
              <w:right w:val="nil"/>
            </w:tcBorders>
            <w:shd w:val="clear" w:color="auto" w:fill="FFFFFF"/>
          </w:tcPr>
          <w:p w14:paraId="39904A8A">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w:t>
            </w:r>
          </w:p>
        </w:tc>
      </w:tr>
    </w:tbl>
    <w:p w14:paraId="0881CA5E">
      <w:p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注：</w:t>
      </w:r>
      <w:r>
        <w:rPr>
          <w:rFonts w:hint="eastAsia" w:ascii="宋体" w:hAnsi="宋体" w:eastAsia="宋体" w:cs="宋体"/>
          <w:b w:val="0"/>
          <w:bCs w:val="0"/>
          <w:color w:val="000000" w:themeColor="text1"/>
          <w:sz w:val="24"/>
          <w:szCs w:val="24"/>
          <w14:textFill>
            <w14:solidFill>
              <w14:schemeClr w14:val="tx1"/>
            </w14:solidFill>
          </w14:textFill>
        </w:rPr>
        <w:t>*** p&lt;0.001, ** p&lt;0.01, * p&lt;0.05，均为双侧检验</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ascii="宋体" w:hAnsi="宋体" w:eastAsia="宋体" w:cs="宋体"/>
          <w:b w:val="0"/>
          <w:bCs w:val="0"/>
          <w:color w:val="000000" w:themeColor="text1"/>
          <w:sz w:val="24"/>
          <w:szCs w:val="24"/>
          <w14:textFill>
            <w14:solidFill>
              <w14:schemeClr w14:val="tx1"/>
            </w14:solidFill>
          </w14:textFill>
        </w:rPr>
        <w:t>图1：变量相关性热力图</w:t>
      </w:r>
    </w:p>
    <w:p w14:paraId="32092635">
      <w:p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drawing>
          <wp:inline distT="0" distB="0" distL="114300" distR="114300">
            <wp:extent cx="4585970" cy="4018915"/>
            <wp:effectExtent l="0" t="0" r="1143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85970" cy="4018915"/>
                    </a:xfrm>
                    <a:prstGeom prst="rect">
                      <a:avLst/>
                    </a:prstGeom>
                  </pic:spPr>
                </pic:pic>
              </a:graphicData>
            </a:graphic>
          </wp:inline>
        </w:drawing>
      </w:r>
    </w:p>
    <w:p w14:paraId="17330640">
      <w:pPr>
        <w:pStyle w:val="4"/>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2、</w:t>
      </w:r>
      <w:r>
        <w:rPr>
          <w:rFonts w:hint="eastAsia" w:ascii="宋体" w:hAnsi="宋体" w:eastAsia="宋体" w:cs="宋体"/>
          <w:b w:val="0"/>
          <w:bCs w:val="0"/>
          <w:color w:val="000000" w:themeColor="text1"/>
          <w:sz w:val="24"/>
          <w:szCs w:val="24"/>
          <w14:textFill>
            <w14:solidFill>
              <w14:schemeClr w14:val="tx1"/>
            </w14:solidFill>
          </w14:textFill>
        </w:rPr>
        <w:t xml:space="preserve"> 逻辑回归模型结果</w:t>
      </w:r>
    </w:p>
    <w:p w14:paraId="1B7A41F5">
      <w:p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Logistic回归模型收敛良好（converged: True），模型整体显著（LLR p-value=0.001689 &lt; 0.01），具体结果如下：</w:t>
      </w:r>
    </w:p>
    <w:p w14:paraId="5FBF4931">
      <w:pPr>
        <w:pStyle w:val="5"/>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lang w:eastAsia="zh-CN"/>
          <w14:textFill>
            <w14:solidFill>
              <w14:schemeClr w14:val="tx1"/>
            </w14:solidFill>
          </w14:textFill>
        </w:rPr>
        <w:t>（</w:t>
      </w:r>
      <w:r>
        <w:rPr>
          <w:rFonts w:hint="eastAsia" w:ascii="宋体" w:hAnsi="宋体" w:eastAsia="宋体" w:cs="宋体"/>
          <w:b w:val="0"/>
          <w:bCs w:val="0"/>
          <w:color w:val="000000" w:themeColor="text1"/>
          <w:sz w:val="24"/>
          <w:szCs w:val="24"/>
          <w:lang w:val="en-US" w:eastAsia="zh-CN"/>
          <w14:textFill>
            <w14:solidFill>
              <w14:schemeClr w14:val="tx1"/>
            </w14:solidFill>
          </w14:textFill>
        </w:rPr>
        <w:t>1）</w:t>
      </w:r>
      <w:r>
        <w:rPr>
          <w:rFonts w:hint="eastAsia" w:ascii="宋体" w:hAnsi="宋体" w:eastAsia="宋体" w:cs="宋体"/>
          <w:b w:val="0"/>
          <w:bCs w:val="0"/>
          <w:color w:val="000000" w:themeColor="text1"/>
          <w:sz w:val="24"/>
          <w:szCs w:val="24"/>
          <w14:textFill>
            <w14:solidFill>
              <w14:schemeClr w14:val="tx1"/>
            </w14:solidFill>
          </w14:textFill>
        </w:rPr>
        <w:t>模型整体拟合指标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3759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000000" w:sz="12" w:space="0"/>
              <w:left w:val="nil"/>
              <w:bottom w:val="single" w:color="000000" w:sz="4" w:space="0"/>
              <w:right w:val="nil"/>
              <w:tl2br w:val="nil"/>
            </w:tcBorders>
            <w:shd w:val="clear" w:color="auto" w:fill="FFFFFF"/>
          </w:tcPr>
          <w:p w14:paraId="1AFD9F25">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拟合指标</w:t>
            </w:r>
          </w:p>
        </w:tc>
        <w:tc>
          <w:tcPr>
            <w:tcW w:w="4320" w:type="dxa"/>
            <w:tcBorders>
              <w:top w:val="single" w:color="000000" w:sz="12" w:space="0"/>
              <w:left w:val="nil"/>
              <w:bottom w:val="single" w:color="000000" w:sz="4" w:space="0"/>
              <w:right w:val="nil"/>
            </w:tcBorders>
            <w:shd w:val="clear" w:color="auto" w:fill="FFFFFF"/>
          </w:tcPr>
          <w:p w14:paraId="1E1EBD23">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数值</w:t>
            </w:r>
          </w:p>
        </w:tc>
      </w:tr>
      <w:tr w14:paraId="709CD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000000" w:sz="4" w:space="0"/>
              <w:left w:val="nil"/>
              <w:bottom w:val="nil"/>
              <w:right w:val="nil"/>
            </w:tcBorders>
            <w:shd w:val="clear" w:color="auto" w:fill="FFFFFF"/>
          </w:tcPr>
          <w:p w14:paraId="39176A38">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样本量</w:t>
            </w:r>
          </w:p>
        </w:tc>
        <w:tc>
          <w:tcPr>
            <w:tcW w:w="4320" w:type="dxa"/>
            <w:tcBorders>
              <w:top w:val="single" w:color="000000" w:sz="4" w:space="0"/>
              <w:left w:val="nil"/>
              <w:bottom w:val="nil"/>
              <w:right w:val="nil"/>
            </w:tcBorders>
            <w:shd w:val="clear" w:color="auto" w:fill="FFFFFF"/>
          </w:tcPr>
          <w:p w14:paraId="1D5C6191">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59个观测值</w:t>
            </w:r>
          </w:p>
        </w:tc>
      </w:tr>
      <w:tr w14:paraId="7B665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nil"/>
              <w:left w:val="nil"/>
              <w:bottom w:val="nil"/>
              <w:right w:val="nil"/>
            </w:tcBorders>
            <w:shd w:val="clear" w:color="auto" w:fill="FFFFFF"/>
          </w:tcPr>
          <w:p w14:paraId="03710712">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伪R²（Pseudo R-squ.）</w:t>
            </w:r>
          </w:p>
        </w:tc>
        <w:tc>
          <w:tcPr>
            <w:tcW w:w="4320" w:type="dxa"/>
            <w:tcBorders>
              <w:top w:val="nil"/>
              <w:left w:val="nil"/>
              <w:bottom w:val="nil"/>
              <w:right w:val="nil"/>
            </w:tcBorders>
            <w:shd w:val="clear" w:color="auto" w:fill="FFFFFF"/>
          </w:tcPr>
          <w:p w14:paraId="234B0CF1">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0.4933</w:t>
            </w:r>
          </w:p>
        </w:tc>
      </w:tr>
      <w:tr w14:paraId="188C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nil"/>
              <w:left w:val="nil"/>
              <w:bottom w:val="nil"/>
              <w:right w:val="nil"/>
            </w:tcBorders>
            <w:shd w:val="clear" w:color="auto" w:fill="FFFFFF"/>
          </w:tcPr>
          <w:p w14:paraId="53C707B7">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对数似然值</w:t>
            </w:r>
          </w:p>
        </w:tc>
        <w:tc>
          <w:tcPr>
            <w:tcW w:w="4320" w:type="dxa"/>
            <w:tcBorders>
              <w:top w:val="nil"/>
              <w:left w:val="nil"/>
              <w:bottom w:val="nil"/>
              <w:right w:val="nil"/>
            </w:tcBorders>
            <w:shd w:val="clear" w:color="auto" w:fill="FFFFFF"/>
          </w:tcPr>
          <w:p w14:paraId="76019B15">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-10.889</w:t>
            </w:r>
          </w:p>
        </w:tc>
      </w:tr>
      <w:tr w14:paraId="5514D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nil"/>
              <w:left w:val="nil"/>
              <w:bottom w:val="single" w:color="000000" w:sz="12" w:space="0"/>
              <w:right w:val="nil"/>
            </w:tcBorders>
            <w:shd w:val="clear" w:color="auto" w:fill="FFFFFF"/>
          </w:tcPr>
          <w:p w14:paraId="7C1C174E">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模型显著性p值（LLR）</w:t>
            </w:r>
          </w:p>
        </w:tc>
        <w:tc>
          <w:tcPr>
            <w:tcW w:w="4320" w:type="dxa"/>
            <w:tcBorders>
              <w:top w:val="nil"/>
              <w:left w:val="nil"/>
              <w:bottom w:val="single" w:color="000000" w:sz="12" w:space="0"/>
              <w:right w:val="nil"/>
            </w:tcBorders>
            <w:shd w:val="clear" w:color="auto" w:fill="FFFFFF"/>
          </w:tcPr>
          <w:p w14:paraId="68128A5E">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0.001689</w:t>
            </w:r>
          </w:p>
        </w:tc>
      </w:tr>
    </w:tbl>
    <w:p w14:paraId="3EF245C7">
      <w:pPr>
        <w:pStyle w:val="5"/>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lang w:eastAsia="zh-CN"/>
          <w14:textFill>
            <w14:solidFill>
              <w14:schemeClr w14:val="tx1"/>
            </w14:solidFill>
          </w14:textFill>
        </w:rPr>
        <w:t>（</w:t>
      </w:r>
      <w:r>
        <w:rPr>
          <w:rFonts w:hint="eastAsia" w:ascii="宋体" w:hAnsi="宋体" w:eastAsia="宋体" w:cs="宋体"/>
          <w:b w:val="0"/>
          <w:bCs w:val="0"/>
          <w:color w:val="000000" w:themeColor="text1"/>
          <w:sz w:val="24"/>
          <w:szCs w:val="24"/>
          <w:lang w:val="en-US" w:eastAsia="zh-CN"/>
          <w14:textFill>
            <w14:solidFill>
              <w14:schemeClr w14:val="tx1"/>
            </w14:solidFill>
          </w14:textFill>
        </w:rPr>
        <w:t>2）</w:t>
      </w:r>
      <w:r>
        <w:rPr>
          <w:rFonts w:hint="eastAsia" w:ascii="宋体" w:hAnsi="宋体" w:eastAsia="宋体" w:cs="宋体"/>
          <w:b w:val="0"/>
          <w:bCs w:val="0"/>
          <w:color w:val="000000" w:themeColor="text1"/>
          <w:sz w:val="24"/>
          <w:szCs w:val="24"/>
          <w14:textFill>
            <w14:solidFill>
              <w14:schemeClr w14:val="tx1"/>
            </w14:solidFill>
          </w14:textFill>
        </w:rPr>
        <w:t>回归系数结果</w:t>
      </w:r>
    </w:p>
    <w:p w14:paraId="2B096FCA">
      <w:p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各自变量的回归系数、标准误、z值、p值及优势比（OR）如下表所示：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788"/>
        <w:gridCol w:w="1013"/>
        <w:gridCol w:w="1013"/>
        <w:gridCol w:w="1013"/>
        <w:gridCol w:w="1013"/>
        <w:gridCol w:w="1013"/>
        <w:gridCol w:w="1013"/>
        <w:gridCol w:w="1143"/>
      </w:tblGrid>
      <w:tr w14:paraId="7C61E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tcBorders>
              <w:top w:val="single" w:color="000000" w:sz="12" w:space="0"/>
              <w:left w:val="nil"/>
              <w:bottom w:val="single" w:color="000000" w:sz="4" w:space="0"/>
              <w:right w:val="nil"/>
              <w:tl2br w:val="nil"/>
            </w:tcBorders>
            <w:shd w:val="clear" w:color="auto" w:fill="FFFFFF"/>
          </w:tcPr>
          <w:p w14:paraId="5160457A">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序号</w:t>
            </w:r>
          </w:p>
        </w:tc>
        <w:tc>
          <w:tcPr>
            <w:tcW w:w="788" w:type="dxa"/>
            <w:tcBorders>
              <w:top w:val="single" w:color="000000" w:sz="12" w:space="0"/>
              <w:left w:val="nil"/>
              <w:bottom w:val="single" w:color="000000" w:sz="4" w:space="0"/>
              <w:right w:val="nil"/>
            </w:tcBorders>
            <w:shd w:val="clear" w:color="auto" w:fill="FFFFFF"/>
          </w:tcPr>
          <w:p w14:paraId="747CA5DB">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变量名称</w:t>
            </w:r>
          </w:p>
        </w:tc>
        <w:tc>
          <w:tcPr>
            <w:tcW w:w="1013" w:type="dxa"/>
            <w:tcBorders>
              <w:top w:val="single" w:color="000000" w:sz="12" w:space="0"/>
              <w:left w:val="nil"/>
              <w:bottom w:val="single" w:color="000000" w:sz="4" w:space="0"/>
              <w:right w:val="nil"/>
            </w:tcBorders>
            <w:shd w:val="clear" w:color="auto" w:fill="FFFFFF"/>
          </w:tcPr>
          <w:p w14:paraId="5F7ED23E">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回归系数</w:t>
            </w:r>
          </w:p>
        </w:tc>
        <w:tc>
          <w:tcPr>
            <w:tcW w:w="1013" w:type="dxa"/>
            <w:tcBorders>
              <w:top w:val="single" w:color="000000" w:sz="12" w:space="0"/>
              <w:left w:val="nil"/>
              <w:bottom w:val="single" w:color="000000" w:sz="4" w:space="0"/>
              <w:right w:val="nil"/>
            </w:tcBorders>
            <w:shd w:val="clear" w:color="auto" w:fill="FFFFFF"/>
          </w:tcPr>
          <w:p w14:paraId="001C7799">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标准误</w:t>
            </w:r>
          </w:p>
        </w:tc>
        <w:tc>
          <w:tcPr>
            <w:tcW w:w="1013" w:type="dxa"/>
            <w:tcBorders>
              <w:top w:val="single" w:color="000000" w:sz="12" w:space="0"/>
              <w:left w:val="nil"/>
              <w:bottom w:val="single" w:color="000000" w:sz="4" w:space="0"/>
              <w:right w:val="nil"/>
            </w:tcBorders>
            <w:shd w:val="clear" w:color="auto" w:fill="FFFFFF"/>
          </w:tcPr>
          <w:p w14:paraId="331958B8">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z值</w:t>
            </w:r>
          </w:p>
        </w:tc>
        <w:tc>
          <w:tcPr>
            <w:tcW w:w="1013" w:type="dxa"/>
            <w:tcBorders>
              <w:top w:val="single" w:color="000000" w:sz="12" w:space="0"/>
              <w:left w:val="nil"/>
              <w:bottom w:val="single" w:color="000000" w:sz="4" w:space="0"/>
              <w:right w:val="nil"/>
            </w:tcBorders>
            <w:shd w:val="clear" w:color="auto" w:fill="FFFFFF"/>
          </w:tcPr>
          <w:p w14:paraId="62F6F642">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p值</w:t>
            </w:r>
          </w:p>
        </w:tc>
        <w:tc>
          <w:tcPr>
            <w:tcW w:w="1013" w:type="dxa"/>
            <w:tcBorders>
              <w:top w:val="single" w:color="000000" w:sz="12" w:space="0"/>
              <w:left w:val="nil"/>
              <w:bottom w:val="single" w:color="000000" w:sz="4" w:space="0"/>
              <w:right w:val="nil"/>
            </w:tcBorders>
            <w:shd w:val="clear" w:color="auto" w:fill="FFFFFF"/>
          </w:tcPr>
          <w:p w14:paraId="099FBEDC">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95%CI下限</w:t>
            </w:r>
          </w:p>
        </w:tc>
        <w:tc>
          <w:tcPr>
            <w:tcW w:w="1013" w:type="dxa"/>
            <w:tcBorders>
              <w:top w:val="single" w:color="000000" w:sz="12" w:space="0"/>
              <w:left w:val="nil"/>
              <w:bottom w:val="single" w:color="000000" w:sz="4" w:space="0"/>
              <w:right w:val="nil"/>
            </w:tcBorders>
            <w:shd w:val="clear" w:color="auto" w:fill="FFFFFF"/>
          </w:tcPr>
          <w:p w14:paraId="65629A78">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95%CI上限</w:t>
            </w:r>
          </w:p>
        </w:tc>
        <w:tc>
          <w:tcPr>
            <w:tcW w:w="1143" w:type="dxa"/>
            <w:tcBorders>
              <w:top w:val="single" w:color="000000" w:sz="12" w:space="0"/>
              <w:left w:val="nil"/>
              <w:bottom w:val="single" w:color="000000" w:sz="4" w:space="0"/>
              <w:right w:val="nil"/>
            </w:tcBorders>
            <w:shd w:val="clear" w:color="auto" w:fill="FFFFFF"/>
          </w:tcPr>
          <w:p w14:paraId="16A8C3E9">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优势比(OR)</w:t>
            </w:r>
          </w:p>
        </w:tc>
      </w:tr>
      <w:tr w14:paraId="3CF1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tcBorders>
              <w:top w:val="single" w:color="000000" w:sz="4" w:space="0"/>
              <w:left w:val="nil"/>
              <w:bottom w:val="nil"/>
              <w:right w:val="nil"/>
            </w:tcBorders>
            <w:shd w:val="clear" w:color="auto" w:fill="FFFFFF"/>
          </w:tcPr>
          <w:p w14:paraId="4DD9AEA4">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w:t>
            </w:r>
          </w:p>
        </w:tc>
        <w:tc>
          <w:tcPr>
            <w:tcW w:w="788" w:type="dxa"/>
            <w:tcBorders>
              <w:top w:val="single" w:color="000000" w:sz="4" w:space="0"/>
              <w:left w:val="nil"/>
              <w:bottom w:val="nil"/>
              <w:right w:val="nil"/>
            </w:tcBorders>
            <w:shd w:val="clear" w:color="auto" w:fill="FFFFFF"/>
          </w:tcPr>
          <w:p w14:paraId="3910D571">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压力总分</w:t>
            </w:r>
          </w:p>
        </w:tc>
        <w:tc>
          <w:tcPr>
            <w:tcW w:w="1013" w:type="dxa"/>
            <w:tcBorders>
              <w:top w:val="single" w:color="000000" w:sz="4" w:space="0"/>
              <w:left w:val="nil"/>
              <w:bottom w:val="nil"/>
              <w:right w:val="nil"/>
            </w:tcBorders>
            <w:shd w:val="clear" w:color="auto" w:fill="FFFFFF"/>
          </w:tcPr>
          <w:p w14:paraId="4419A429">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-1.4722</w:t>
            </w:r>
          </w:p>
        </w:tc>
        <w:tc>
          <w:tcPr>
            <w:tcW w:w="1013" w:type="dxa"/>
            <w:tcBorders>
              <w:top w:val="single" w:color="000000" w:sz="4" w:space="0"/>
              <w:left w:val="nil"/>
              <w:bottom w:val="nil"/>
              <w:right w:val="nil"/>
            </w:tcBorders>
            <w:shd w:val="clear" w:color="auto" w:fill="FFFFFF"/>
          </w:tcPr>
          <w:p w14:paraId="18F72844">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1.3980</w:t>
            </w:r>
          </w:p>
        </w:tc>
        <w:tc>
          <w:tcPr>
            <w:tcW w:w="1013" w:type="dxa"/>
            <w:tcBorders>
              <w:top w:val="single" w:color="000000" w:sz="4" w:space="0"/>
              <w:left w:val="nil"/>
              <w:bottom w:val="nil"/>
              <w:right w:val="nil"/>
            </w:tcBorders>
            <w:shd w:val="clear" w:color="auto" w:fill="FFFFFF"/>
          </w:tcPr>
          <w:p w14:paraId="3304F883">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-1.0531</w:t>
            </w:r>
          </w:p>
        </w:tc>
        <w:tc>
          <w:tcPr>
            <w:tcW w:w="1013" w:type="dxa"/>
            <w:tcBorders>
              <w:top w:val="single" w:color="000000" w:sz="4" w:space="0"/>
              <w:left w:val="nil"/>
              <w:bottom w:val="nil"/>
              <w:right w:val="nil"/>
            </w:tcBorders>
            <w:shd w:val="clear" w:color="auto" w:fill="FFFFFF"/>
          </w:tcPr>
          <w:p w14:paraId="2A60F599">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0.2923</w:t>
            </w:r>
          </w:p>
        </w:tc>
        <w:tc>
          <w:tcPr>
            <w:tcW w:w="1013" w:type="dxa"/>
            <w:tcBorders>
              <w:top w:val="single" w:color="000000" w:sz="4" w:space="0"/>
              <w:left w:val="nil"/>
              <w:bottom w:val="nil"/>
              <w:right w:val="nil"/>
            </w:tcBorders>
            <w:shd w:val="clear" w:color="auto" w:fill="FFFFFF"/>
          </w:tcPr>
          <w:p w14:paraId="56E9DBEA">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-4.2122</w:t>
            </w:r>
          </w:p>
        </w:tc>
        <w:tc>
          <w:tcPr>
            <w:tcW w:w="1013" w:type="dxa"/>
            <w:tcBorders>
              <w:top w:val="single" w:color="000000" w:sz="4" w:space="0"/>
              <w:left w:val="nil"/>
              <w:bottom w:val="nil"/>
              <w:right w:val="nil"/>
            </w:tcBorders>
            <w:shd w:val="clear" w:color="auto" w:fill="FFFFFF"/>
          </w:tcPr>
          <w:p w14:paraId="4B89D621">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1.2678</w:t>
            </w:r>
          </w:p>
        </w:tc>
        <w:tc>
          <w:tcPr>
            <w:tcW w:w="1143" w:type="dxa"/>
            <w:tcBorders>
              <w:top w:val="single" w:color="000000" w:sz="4" w:space="0"/>
              <w:left w:val="nil"/>
              <w:bottom w:val="nil"/>
              <w:right w:val="nil"/>
            </w:tcBorders>
            <w:shd w:val="clear" w:color="auto" w:fill="FFFFFF"/>
          </w:tcPr>
          <w:p w14:paraId="287EB5F0">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0.2294</w:t>
            </w:r>
          </w:p>
        </w:tc>
      </w:tr>
      <w:tr w14:paraId="4C664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tcBorders>
              <w:top w:val="nil"/>
              <w:left w:val="nil"/>
              <w:bottom w:val="nil"/>
              <w:right w:val="nil"/>
            </w:tcBorders>
            <w:shd w:val="clear" w:color="auto" w:fill="FFFFFF"/>
          </w:tcPr>
          <w:p w14:paraId="5C0FDDEC">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2</w:t>
            </w:r>
          </w:p>
        </w:tc>
        <w:tc>
          <w:tcPr>
            <w:tcW w:w="788" w:type="dxa"/>
            <w:tcBorders>
              <w:top w:val="nil"/>
              <w:left w:val="nil"/>
              <w:bottom w:val="nil"/>
              <w:right w:val="nil"/>
            </w:tcBorders>
            <w:shd w:val="clear" w:color="auto" w:fill="FFFFFF"/>
          </w:tcPr>
          <w:p w14:paraId="6FE8A44E">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抑郁总分</w:t>
            </w:r>
          </w:p>
        </w:tc>
        <w:tc>
          <w:tcPr>
            <w:tcW w:w="1013" w:type="dxa"/>
            <w:tcBorders>
              <w:top w:val="nil"/>
              <w:left w:val="nil"/>
              <w:bottom w:val="nil"/>
              <w:right w:val="nil"/>
            </w:tcBorders>
            <w:shd w:val="clear" w:color="auto" w:fill="FFFFFF"/>
          </w:tcPr>
          <w:p w14:paraId="4409ECD5">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2.8396</w:t>
            </w:r>
          </w:p>
        </w:tc>
        <w:tc>
          <w:tcPr>
            <w:tcW w:w="1013" w:type="dxa"/>
            <w:tcBorders>
              <w:top w:val="nil"/>
              <w:left w:val="nil"/>
              <w:bottom w:val="nil"/>
              <w:right w:val="nil"/>
            </w:tcBorders>
            <w:shd w:val="clear" w:color="auto" w:fill="FFFFFF"/>
          </w:tcPr>
          <w:p w14:paraId="70BF1620">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1.4255</w:t>
            </w:r>
          </w:p>
        </w:tc>
        <w:tc>
          <w:tcPr>
            <w:tcW w:w="1013" w:type="dxa"/>
            <w:tcBorders>
              <w:top w:val="nil"/>
              <w:left w:val="nil"/>
              <w:bottom w:val="nil"/>
              <w:right w:val="nil"/>
            </w:tcBorders>
            <w:shd w:val="clear" w:color="auto" w:fill="FFFFFF"/>
          </w:tcPr>
          <w:p w14:paraId="3EB37914">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1.9920</w:t>
            </w:r>
          </w:p>
        </w:tc>
        <w:tc>
          <w:tcPr>
            <w:tcW w:w="1013" w:type="dxa"/>
            <w:tcBorders>
              <w:top w:val="nil"/>
              <w:left w:val="nil"/>
              <w:bottom w:val="nil"/>
              <w:right w:val="nil"/>
            </w:tcBorders>
            <w:shd w:val="clear" w:color="auto" w:fill="FFFFFF"/>
          </w:tcPr>
          <w:p w14:paraId="0BD57937">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0.0464</w:t>
            </w:r>
          </w:p>
        </w:tc>
        <w:tc>
          <w:tcPr>
            <w:tcW w:w="1013" w:type="dxa"/>
            <w:tcBorders>
              <w:top w:val="nil"/>
              <w:left w:val="nil"/>
              <w:bottom w:val="nil"/>
              <w:right w:val="nil"/>
            </w:tcBorders>
            <w:shd w:val="clear" w:color="auto" w:fill="FFFFFF"/>
          </w:tcPr>
          <w:p w14:paraId="3EC9F160">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0.0457</w:t>
            </w:r>
          </w:p>
        </w:tc>
        <w:tc>
          <w:tcPr>
            <w:tcW w:w="1013" w:type="dxa"/>
            <w:tcBorders>
              <w:top w:val="nil"/>
              <w:left w:val="nil"/>
              <w:bottom w:val="nil"/>
              <w:right w:val="nil"/>
            </w:tcBorders>
            <w:shd w:val="clear" w:color="auto" w:fill="FFFFFF"/>
          </w:tcPr>
          <w:p w14:paraId="795AD085">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5.6335</w:t>
            </w:r>
          </w:p>
        </w:tc>
        <w:tc>
          <w:tcPr>
            <w:tcW w:w="1143" w:type="dxa"/>
            <w:tcBorders>
              <w:top w:val="nil"/>
              <w:left w:val="nil"/>
              <w:bottom w:val="nil"/>
              <w:right w:val="nil"/>
            </w:tcBorders>
            <w:shd w:val="clear" w:color="auto" w:fill="FFFFFF"/>
          </w:tcPr>
          <w:p w14:paraId="1DFC759B">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17.1086</w:t>
            </w:r>
          </w:p>
        </w:tc>
      </w:tr>
      <w:tr w14:paraId="5A3C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tcBorders>
              <w:top w:val="nil"/>
              <w:left w:val="nil"/>
              <w:bottom w:val="nil"/>
              <w:right w:val="nil"/>
            </w:tcBorders>
            <w:shd w:val="clear" w:color="auto" w:fill="FFFFFF"/>
          </w:tcPr>
          <w:p w14:paraId="7D5602CB">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3</w:t>
            </w:r>
          </w:p>
        </w:tc>
        <w:tc>
          <w:tcPr>
            <w:tcW w:w="788" w:type="dxa"/>
            <w:tcBorders>
              <w:top w:val="nil"/>
              <w:left w:val="nil"/>
              <w:bottom w:val="nil"/>
              <w:right w:val="nil"/>
            </w:tcBorders>
            <w:shd w:val="clear" w:color="auto" w:fill="FFFFFF"/>
          </w:tcPr>
          <w:p w14:paraId="542757AB">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焦虑总分</w:t>
            </w:r>
          </w:p>
        </w:tc>
        <w:tc>
          <w:tcPr>
            <w:tcW w:w="1013" w:type="dxa"/>
            <w:tcBorders>
              <w:top w:val="nil"/>
              <w:left w:val="nil"/>
              <w:bottom w:val="nil"/>
              <w:right w:val="nil"/>
            </w:tcBorders>
            <w:shd w:val="clear" w:color="auto" w:fill="FFFFFF"/>
          </w:tcPr>
          <w:p w14:paraId="4DD3EAE2">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-1.7918</w:t>
            </w:r>
          </w:p>
        </w:tc>
        <w:tc>
          <w:tcPr>
            <w:tcW w:w="1013" w:type="dxa"/>
            <w:tcBorders>
              <w:top w:val="nil"/>
              <w:left w:val="nil"/>
              <w:bottom w:val="nil"/>
              <w:right w:val="nil"/>
            </w:tcBorders>
            <w:shd w:val="clear" w:color="auto" w:fill="FFFFFF"/>
          </w:tcPr>
          <w:p w14:paraId="5D0814C7">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1.0590</w:t>
            </w:r>
          </w:p>
        </w:tc>
        <w:tc>
          <w:tcPr>
            <w:tcW w:w="1013" w:type="dxa"/>
            <w:tcBorders>
              <w:top w:val="nil"/>
              <w:left w:val="nil"/>
              <w:bottom w:val="nil"/>
              <w:right w:val="nil"/>
            </w:tcBorders>
            <w:shd w:val="clear" w:color="auto" w:fill="FFFFFF"/>
          </w:tcPr>
          <w:p w14:paraId="0077A864">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-1.6919</w:t>
            </w:r>
          </w:p>
        </w:tc>
        <w:tc>
          <w:tcPr>
            <w:tcW w:w="1013" w:type="dxa"/>
            <w:tcBorders>
              <w:top w:val="nil"/>
              <w:left w:val="nil"/>
              <w:bottom w:val="nil"/>
              <w:right w:val="nil"/>
            </w:tcBorders>
            <w:shd w:val="clear" w:color="auto" w:fill="FFFFFF"/>
          </w:tcPr>
          <w:p w14:paraId="6B9F8D03">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0.0907</w:t>
            </w:r>
          </w:p>
        </w:tc>
        <w:tc>
          <w:tcPr>
            <w:tcW w:w="1013" w:type="dxa"/>
            <w:tcBorders>
              <w:top w:val="nil"/>
              <w:left w:val="nil"/>
              <w:bottom w:val="nil"/>
              <w:right w:val="nil"/>
            </w:tcBorders>
            <w:shd w:val="clear" w:color="auto" w:fill="FFFFFF"/>
          </w:tcPr>
          <w:p w14:paraId="30BD25E2">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-3.8675</w:t>
            </w:r>
          </w:p>
        </w:tc>
        <w:tc>
          <w:tcPr>
            <w:tcW w:w="1013" w:type="dxa"/>
            <w:tcBorders>
              <w:top w:val="nil"/>
              <w:left w:val="nil"/>
              <w:bottom w:val="nil"/>
              <w:right w:val="nil"/>
            </w:tcBorders>
            <w:shd w:val="clear" w:color="auto" w:fill="FFFFFF"/>
          </w:tcPr>
          <w:p w14:paraId="666E0E05">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0.2838</w:t>
            </w:r>
          </w:p>
        </w:tc>
        <w:tc>
          <w:tcPr>
            <w:tcW w:w="1143" w:type="dxa"/>
            <w:tcBorders>
              <w:top w:val="nil"/>
              <w:left w:val="nil"/>
              <w:bottom w:val="nil"/>
              <w:right w:val="nil"/>
            </w:tcBorders>
            <w:shd w:val="clear" w:color="auto" w:fill="FFFFFF"/>
          </w:tcPr>
          <w:p w14:paraId="5276403E">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0.1667</w:t>
            </w:r>
          </w:p>
        </w:tc>
      </w:tr>
      <w:tr w14:paraId="0DF1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tcBorders>
              <w:top w:val="nil"/>
              <w:left w:val="nil"/>
              <w:bottom w:val="nil"/>
              <w:right w:val="nil"/>
            </w:tcBorders>
            <w:shd w:val="clear" w:color="auto" w:fill="FFFFFF"/>
          </w:tcPr>
          <w:p w14:paraId="5D27F89F">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4</w:t>
            </w:r>
          </w:p>
        </w:tc>
        <w:tc>
          <w:tcPr>
            <w:tcW w:w="788" w:type="dxa"/>
            <w:tcBorders>
              <w:top w:val="nil"/>
              <w:left w:val="nil"/>
              <w:bottom w:val="nil"/>
              <w:right w:val="nil"/>
            </w:tcBorders>
            <w:shd w:val="clear" w:color="auto" w:fill="FFFFFF"/>
          </w:tcPr>
          <w:p w14:paraId="0087B386">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每日使用时间</w:t>
            </w:r>
          </w:p>
        </w:tc>
        <w:tc>
          <w:tcPr>
            <w:tcW w:w="1013" w:type="dxa"/>
            <w:tcBorders>
              <w:top w:val="nil"/>
              <w:left w:val="nil"/>
              <w:bottom w:val="nil"/>
              <w:right w:val="nil"/>
            </w:tcBorders>
            <w:shd w:val="clear" w:color="auto" w:fill="FFFFFF"/>
          </w:tcPr>
          <w:p w14:paraId="6357A959">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2.6415</w:t>
            </w:r>
          </w:p>
        </w:tc>
        <w:tc>
          <w:tcPr>
            <w:tcW w:w="1013" w:type="dxa"/>
            <w:tcBorders>
              <w:top w:val="nil"/>
              <w:left w:val="nil"/>
              <w:bottom w:val="nil"/>
              <w:right w:val="nil"/>
            </w:tcBorders>
            <w:shd w:val="clear" w:color="auto" w:fill="FFFFFF"/>
          </w:tcPr>
          <w:p w14:paraId="69C3BEBD">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1.0029</w:t>
            </w:r>
          </w:p>
        </w:tc>
        <w:tc>
          <w:tcPr>
            <w:tcW w:w="1013" w:type="dxa"/>
            <w:tcBorders>
              <w:top w:val="nil"/>
              <w:left w:val="nil"/>
              <w:bottom w:val="nil"/>
              <w:right w:val="nil"/>
            </w:tcBorders>
            <w:shd w:val="clear" w:color="auto" w:fill="FFFFFF"/>
          </w:tcPr>
          <w:p w14:paraId="08AA7F32">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2.6339</w:t>
            </w:r>
          </w:p>
        </w:tc>
        <w:tc>
          <w:tcPr>
            <w:tcW w:w="1013" w:type="dxa"/>
            <w:tcBorders>
              <w:top w:val="nil"/>
              <w:left w:val="nil"/>
              <w:bottom w:val="nil"/>
              <w:right w:val="nil"/>
            </w:tcBorders>
            <w:shd w:val="clear" w:color="auto" w:fill="FFFFFF"/>
          </w:tcPr>
          <w:p w14:paraId="71B6E955">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0.0084</w:t>
            </w:r>
          </w:p>
        </w:tc>
        <w:tc>
          <w:tcPr>
            <w:tcW w:w="1013" w:type="dxa"/>
            <w:tcBorders>
              <w:top w:val="nil"/>
              <w:left w:val="nil"/>
              <w:bottom w:val="nil"/>
              <w:right w:val="nil"/>
            </w:tcBorders>
            <w:shd w:val="clear" w:color="auto" w:fill="FFFFFF"/>
          </w:tcPr>
          <w:p w14:paraId="56B3A322">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0.6759</w:t>
            </w:r>
          </w:p>
        </w:tc>
        <w:tc>
          <w:tcPr>
            <w:tcW w:w="1013" w:type="dxa"/>
            <w:tcBorders>
              <w:top w:val="nil"/>
              <w:left w:val="nil"/>
              <w:bottom w:val="nil"/>
              <w:right w:val="nil"/>
            </w:tcBorders>
            <w:shd w:val="clear" w:color="auto" w:fill="FFFFFF"/>
          </w:tcPr>
          <w:p w14:paraId="0D6EAB65">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4.6072</w:t>
            </w:r>
          </w:p>
        </w:tc>
        <w:tc>
          <w:tcPr>
            <w:tcW w:w="1143" w:type="dxa"/>
            <w:tcBorders>
              <w:top w:val="nil"/>
              <w:left w:val="nil"/>
              <w:bottom w:val="nil"/>
              <w:right w:val="nil"/>
            </w:tcBorders>
            <w:shd w:val="clear" w:color="auto" w:fill="FFFFFF"/>
          </w:tcPr>
          <w:p w14:paraId="72A62213">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14.0344</w:t>
            </w:r>
          </w:p>
        </w:tc>
      </w:tr>
      <w:tr w14:paraId="7648D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tcBorders>
              <w:top w:val="nil"/>
              <w:left w:val="nil"/>
              <w:bottom w:val="nil"/>
              <w:right w:val="nil"/>
            </w:tcBorders>
            <w:shd w:val="clear" w:color="auto" w:fill="FFFFFF"/>
          </w:tcPr>
          <w:p w14:paraId="261DD3AB">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5</w:t>
            </w:r>
          </w:p>
        </w:tc>
        <w:tc>
          <w:tcPr>
            <w:tcW w:w="788" w:type="dxa"/>
            <w:tcBorders>
              <w:top w:val="nil"/>
              <w:left w:val="nil"/>
              <w:bottom w:val="nil"/>
              <w:right w:val="nil"/>
            </w:tcBorders>
            <w:shd w:val="clear" w:color="auto" w:fill="FFFFFF"/>
          </w:tcPr>
          <w:p w14:paraId="2F752F22">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动机体现个性</w:t>
            </w:r>
          </w:p>
        </w:tc>
        <w:tc>
          <w:tcPr>
            <w:tcW w:w="1013" w:type="dxa"/>
            <w:tcBorders>
              <w:top w:val="nil"/>
              <w:left w:val="nil"/>
              <w:bottom w:val="nil"/>
              <w:right w:val="nil"/>
            </w:tcBorders>
            <w:shd w:val="clear" w:color="auto" w:fill="FFFFFF"/>
          </w:tcPr>
          <w:p w14:paraId="60FCA718">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-0.3810</w:t>
            </w:r>
          </w:p>
        </w:tc>
        <w:tc>
          <w:tcPr>
            <w:tcW w:w="1013" w:type="dxa"/>
            <w:tcBorders>
              <w:top w:val="nil"/>
              <w:left w:val="nil"/>
              <w:bottom w:val="nil"/>
              <w:right w:val="nil"/>
            </w:tcBorders>
            <w:shd w:val="clear" w:color="auto" w:fill="FFFFFF"/>
          </w:tcPr>
          <w:p w14:paraId="0C15893E">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0.7303</w:t>
            </w:r>
          </w:p>
        </w:tc>
        <w:tc>
          <w:tcPr>
            <w:tcW w:w="1013" w:type="dxa"/>
            <w:tcBorders>
              <w:top w:val="nil"/>
              <w:left w:val="nil"/>
              <w:bottom w:val="nil"/>
              <w:right w:val="nil"/>
            </w:tcBorders>
            <w:shd w:val="clear" w:color="auto" w:fill="FFFFFF"/>
          </w:tcPr>
          <w:p w14:paraId="2F6C9145">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-0.5217</w:t>
            </w:r>
          </w:p>
        </w:tc>
        <w:tc>
          <w:tcPr>
            <w:tcW w:w="1013" w:type="dxa"/>
            <w:tcBorders>
              <w:top w:val="nil"/>
              <w:left w:val="nil"/>
              <w:bottom w:val="nil"/>
              <w:right w:val="nil"/>
            </w:tcBorders>
            <w:shd w:val="clear" w:color="auto" w:fill="FFFFFF"/>
          </w:tcPr>
          <w:p w14:paraId="4EE26E69">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0.6019</w:t>
            </w:r>
          </w:p>
        </w:tc>
        <w:tc>
          <w:tcPr>
            <w:tcW w:w="1013" w:type="dxa"/>
            <w:tcBorders>
              <w:top w:val="nil"/>
              <w:left w:val="nil"/>
              <w:bottom w:val="nil"/>
              <w:right w:val="nil"/>
            </w:tcBorders>
            <w:shd w:val="clear" w:color="auto" w:fill="FFFFFF"/>
          </w:tcPr>
          <w:p w14:paraId="678F040C">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-1.8123</w:t>
            </w:r>
          </w:p>
        </w:tc>
        <w:tc>
          <w:tcPr>
            <w:tcW w:w="1013" w:type="dxa"/>
            <w:tcBorders>
              <w:top w:val="nil"/>
              <w:left w:val="nil"/>
              <w:bottom w:val="nil"/>
              <w:right w:val="nil"/>
            </w:tcBorders>
            <w:shd w:val="clear" w:color="auto" w:fill="FFFFFF"/>
          </w:tcPr>
          <w:p w14:paraId="0DE22268">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1.0503</w:t>
            </w:r>
          </w:p>
        </w:tc>
        <w:tc>
          <w:tcPr>
            <w:tcW w:w="1143" w:type="dxa"/>
            <w:tcBorders>
              <w:top w:val="nil"/>
              <w:left w:val="nil"/>
              <w:bottom w:val="nil"/>
              <w:right w:val="nil"/>
            </w:tcBorders>
            <w:shd w:val="clear" w:color="auto" w:fill="FFFFFF"/>
          </w:tcPr>
          <w:p w14:paraId="5BDDF3D7">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0.6832</w:t>
            </w:r>
          </w:p>
        </w:tc>
      </w:tr>
      <w:tr w14:paraId="77A4F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tcBorders>
              <w:top w:val="nil"/>
              <w:left w:val="nil"/>
              <w:bottom w:val="single" w:color="000000" w:sz="12" w:space="0"/>
              <w:right w:val="nil"/>
            </w:tcBorders>
            <w:shd w:val="clear" w:color="auto" w:fill="FFFFFF"/>
          </w:tcPr>
          <w:p w14:paraId="2B12B49D">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6</w:t>
            </w:r>
          </w:p>
        </w:tc>
        <w:tc>
          <w:tcPr>
            <w:tcW w:w="788" w:type="dxa"/>
            <w:tcBorders>
              <w:top w:val="nil"/>
              <w:left w:val="nil"/>
              <w:bottom w:val="single" w:color="000000" w:sz="12" w:space="0"/>
              <w:right w:val="nil"/>
            </w:tcBorders>
            <w:shd w:val="clear" w:color="auto" w:fill="FFFFFF"/>
          </w:tcPr>
          <w:p w14:paraId="4AD3E049">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功能上网</w:t>
            </w:r>
          </w:p>
        </w:tc>
        <w:tc>
          <w:tcPr>
            <w:tcW w:w="1013" w:type="dxa"/>
            <w:tcBorders>
              <w:top w:val="nil"/>
              <w:left w:val="nil"/>
              <w:bottom w:val="single" w:color="000000" w:sz="12" w:space="0"/>
              <w:right w:val="nil"/>
            </w:tcBorders>
            <w:shd w:val="clear" w:color="auto" w:fill="FFFFFF"/>
          </w:tcPr>
          <w:p w14:paraId="2D13BDC3">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-1.3467</w:t>
            </w:r>
          </w:p>
        </w:tc>
        <w:tc>
          <w:tcPr>
            <w:tcW w:w="1013" w:type="dxa"/>
            <w:tcBorders>
              <w:top w:val="nil"/>
              <w:left w:val="nil"/>
              <w:bottom w:val="single" w:color="000000" w:sz="12" w:space="0"/>
              <w:right w:val="nil"/>
            </w:tcBorders>
            <w:shd w:val="clear" w:color="auto" w:fill="FFFFFF"/>
          </w:tcPr>
          <w:p w14:paraId="2F9588F7">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0.8723</w:t>
            </w:r>
          </w:p>
        </w:tc>
        <w:tc>
          <w:tcPr>
            <w:tcW w:w="1013" w:type="dxa"/>
            <w:tcBorders>
              <w:top w:val="nil"/>
              <w:left w:val="nil"/>
              <w:bottom w:val="single" w:color="000000" w:sz="12" w:space="0"/>
              <w:right w:val="nil"/>
            </w:tcBorders>
            <w:shd w:val="clear" w:color="auto" w:fill="FFFFFF"/>
          </w:tcPr>
          <w:p w14:paraId="2D2218F0">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-1.5438</w:t>
            </w:r>
          </w:p>
        </w:tc>
        <w:tc>
          <w:tcPr>
            <w:tcW w:w="1013" w:type="dxa"/>
            <w:tcBorders>
              <w:top w:val="nil"/>
              <w:left w:val="nil"/>
              <w:bottom w:val="single" w:color="000000" w:sz="12" w:space="0"/>
              <w:right w:val="nil"/>
            </w:tcBorders>
            <w:shd w:val="clear" w:color="auto" w:fill="FFFFFF"/>
          </w:tcPr>
          <w:p w14:paraId="44C8ECD1">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0.1226</w:t>
            </w:r>
          </w:p>
        </w:tc>
        <w:tc>
          <w:tcPr>
            <w:tcW w:w="1013" w:type="dxa"/>
            <w:tcBorders>
              <w:top w:val="nil"/>
              <w:left w:val="nil"/>
              <w:bottom w:val="single" w:color="000000" w:sz="12" w:space="0"/>
              <w:right w:val="nil"/>
            </w:tcBorders>
            <w:shd w:val="clear" w:color="auto" w:fill="FFFFFF"/>
          </w:tcPr>
          <w:p w14:paraId="596DEB3E">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-3.0565</w:t>
            </w:r>
          </w:p>
        </w:tc>
        <w:tc>
          <w:tcPr>
            <w:tcW w:w="1013" w:type="dxa"/>
            <w:tcBorders>
              <w:top w:val="nil"/>
              <w:left w:val="nil"/>
              <w:bottom w:val="single" w:color="000000" w:sz="12" w:space="0"/>
              <w:right w:val="nil"/>
            </w:tcBorders>
            <w:shd w:val="clear" w:color="auto" w:fill="FFFFFF"/>
          </w:tcPr>
          <w:p w14:paraId="0ACDDFAB">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0.3631</w:t>
            </w:r>
          </w:p>
        </w:tc>
        <w:tc>
          <w:tcPr>
            <w:tcW w:w="1143" w:type="dxa"/>
            <w:tcBorders>
              <w:top w:val="nil"/>
              <w:left w:val="nil"/>
              <w:bottom w:val="single" w:color="000000" w:sz="12" w:space="0"/>
              <w:right w:val="nil"/>
            </w:tcBorders>
            <w:shd w:val="clear" w:color="auto" w:fill="FFFFFF"/>
          </w:tcPr>
          <w:p w14:paraId="4F4D670D">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0.2601</w:t>
            </w:r>
          </w:p>
        </w:tc>
      </w:tr>
    </w:tbl>
    <w:p w14:paraId="76DE5D68">
      <w:pPr>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br w:type="textWrapping"/>
      </w:r>
      <w:bookmarkStart w:id="0" w:name="_GoBack"/>
      <w:bookmarkEnd w:id="0"/>
    </w:p>
    <w:p w14:paraId="3C410C45">
      <w:pPr>
        <w:jc w:val="center"/>
        <w:rPr>
          <w:rFonts w:hint="eastAsia" w:ascii="宋体" w:hAnsi="宋体" w:eastAsia="宋体" w:cs="宋体"/>
          <w:b w:val="0"/>
          <w:bCs w:val="0"/>
          <w:color w:val="000000" w:themeColor="text1"/>
          <w:sz w:val="24"/>
          <w:szCs w:val="24"/>
          <w14:textFill>
            <w14:solidFill>
              <w14:schemeClr w14:val="tx1"/>
            </w14:solidFill>
          </w14:textFill>
        </w:rPr>
      </w:pPr>
    </w:p>
    <w:p w14:paraId="31B5ABBC">
      <w:pPr>
        <w:jc w:val="center"/>
        <w:rPr>
          <w:rFonts w:hint="eastAsia" w:ascii="宋体" w:hAnsi="宋体" w:eastAsia="宋体" w:cs="宋体"/>
          <w:b w:val="0"/>
          <w:bCs w:val="0"/>
          <w:color w:val="000000" w:themeColor="text1"/>
          <w:sz w:val="24"/>
          <w:szCs w:val="24"/>
          <w14:textFill>
            <w14:solidFill>
              <w14:schemeClr w14:val="tx1"/>
            </w14:solidFill>
          </w14:textFill>
        </w:rPr>
      </w:pPr>
    </w:p>
    <w:p w14:paraId="0D0E4066">
      <w:pPr>
        <w:jc w:val="center"/>
        <w:rPr>
          <w:rFonts w:hint="eastAsia" w:ascii="宋体" w:hAnsi="宋体" w:eastAsia="宋体" w:cs="宋体"/>
          <w:b w:val="0"/>
          <w:bCs w:val="0"/>
          <w:color w:val="000000" w:themeColor="text1"/>
          <w:sz w:val="24"/>
          <w:szCs w:val="24"/>
          <w14:textFill>
            <w14:solidFill>
              <w14:schemeClr w14:val="tx1"/>
            </w14:solidFill>
          </w14:textFill>
        </w:rPr>
      </w:pPr>
    </w:p>
    <w:p w14:paraId="4456EFB7">
      <w:pPr>
        <w:jc w:val="center"/>
        <w:rPr>
          <w:rFonts w:hint="eastAsia" w:ascii="宋体" w:hAnsi="宋体" w:eastAsia="宋体" w:cs="宋体"/>
          <w:b w:val="0"/>
          <w:bCs w:val="0"/>
          <w:color w:val="000000" w:themeColor="text1"/>
          <w:sz w:val="24"/>
          <w:szCs w:val="24"/>
          <w14:textFill>
            <w14:solidFill>
              <w14:schemeClr w14:val="tx1"/>
            </w14:solidFill>
          </w14:textFill>
        </w:rPr>
      </w:pPr>
    </w:p>
    <w:p w14:paraId="7667C58C">
      <w:pPr>
        <w:jc w:val="center"/>
        <w:rPr>
          <w:rFonts w:hint="eastAsia" w:ascii="宋体" w:hAnsi="宋体" w:eastAsia="宋体" w:cs="宋体"/>
          <w:b w:val="0"/>
          <w:bCs w:val="0"/>
          <w:color w:val="000000" w:themeColor="text1"/>
          <w:sz w:val="24"/>
          <w:szCs w:val="24"/>
          <w14:textFill>
            <w14:solidFill>
              <w14:schemeClr w14:val="tx1"/>
            </w14:solidFill>
          </w14:textFill>
        </w:rPr>
      </w:pPr>
    </w:p>
    <w:p w14:paraId="1A3E57EA">
      <w:pPr>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图2：回归系数及95%置信区间图</w:t>
      </w:r>
    </w:p>
    <w:p w14:paraId="0325AD1E">
      <w:p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drawing>
          <wp:inline distT="0" distB="0" distL="114300" distR="114300">
            <wp:extent cx="5486400" cy="364744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3647864"/>
                    </a:xfrm>
                    <a:prstGeom prst="rect">
                      <a:avLst/>
                    </a:prstGeom>
                  </pic:spPr>
                </pic:pic>
              </a:graphicData>
            </a:graphic>
          </wp:inline>
        </w:drawing>
      </w:r>
    </w:p>
    <w:p w14:paraId="4DF2098D">
      <w:pPr>
        <w:pStyle w:val="5"/>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3、</w:t>
      </w:r>
      <w:r>
        <w:rPr>
          <w:rFonts w:hint="eastAsia" w:ascii="宋体" w:hAnsi="宋体" w:eastAsia="宋体" w:cs="宋体"/>
          <w:b w:val="0"/>
          <w:bCs w:val="0"/>
          <w:color w:val="000000" w:themeColor="text1"/>
          <w:sz w:val="24"/>
          <w:szCs w:val="24"/>
          <w14:textFill>
            <w14:solidFill>
              <w14:schemeClr w14:val="tx1"/>
            </w14:solidFill>
          </w14:textFill>
        </w:rPr>
        <w:t>模型预测效果评估</w:t>
      </w:r>
    </w:p>
    <w:p w14:paraId="2C3467A2">
      <w:p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模型预测效果评估结果显示，模型具有优秀的预测性能，具体指标如下：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9AC6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000000" w:sz="12" w:space="0"/>
              <w:left w:val="nil"/>
              <w:bottom w:val="single" w:color="000000" w:sz="4" w:space="0"/>
              <w:right w:val="nil"/>
              <w:tl2br w:val="nil"/>
            </w:tcBorders>
            <w:shd w:val="clear" w:color="auto" w:fill="FFFFFF"/>
          </w:tcPr>
          <w:p w14:paraId="5A884DE1">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评估指标</w:t>
            </w:r>
          </w:p>
        </w:tc>
        <w:tc>
          <w:tcPr>
            <w:tcW w:w="4320" w:type="dxa"/>
            <w:tcBorders>
              <w:top w:val="single" w:color="000000" w:sz="12" w:space="0"/>
              <w:left w:val="nil"/>
              <w:bottom w:val="single" w:color="000000" w:sz="4" w:space="0"/>
              <w:right w:val="nil"/>
            </w:tcBorders>
            <w:shd w:val="clear" w:color="auto" w:fill="FFFFFF"/>
          </w:tcPr>
          <w:p w14:paraId="4A1F4339">
            <w:pPr>
              <w:spacing w:after="0" w:line="240" w:lineRule="auto"/>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数值</w:t>
            </w:r>
          </w:p>
        </w:tc>
      </w:tr>
      <w:tr w14:paraId="7E0B8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000000" w:sz="4" w:space="0"/>
              <w:left w:val="nil"/>
              <w:bottom w:val="nil"/>
              <w:right w:val="nil"/>
            </w:tcBorders>
            <w:shd w:val="clear" w:color="auto" w:fill="FFFFFF"/>
          </w:tcPr>
          <w:p w14:paraId="4A9AA5A1">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整体准确率（Accuracy）</w:t>
            </w:r>
          </w:p>
        </w:tc>
        <w:tc>
          <w:tcPr>
            <w:tcW w:w="4320" w:type="dxa"/>
            <w:tcBorders>
              <w:top w:val="single" w:color="000000" w:sz="4" w:space="0"/>
              <w:left w:val="nil"/>
              <w:bottom w:val="nil"/>
              <w:right w:val="nil"/>
            </w:tcBorders>
            <w:shd w:val="clear" w:color="auto" w:fill="FFFFFF"/>
          </w:tcPr>
          <w:p w14:paraId="2FA8DC11">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94.92%</w:t>
            </w:r>
          </w:p>
        </w:tc>
      </w:tr>
      <w:tr w14:paraId="5EBBC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nil"/>
              <w:left w:val="nil"/>
              <w:bottom w:val="nil"/>
              <w:right w:val="nil"/>
            </w:tcBorders>
            <w:shd w:val="clear" w:color="auto" w:fill="FFFFFF"/>
          </w:tcPr>
          <w:p w14:paraId="2FF2B298">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AUC值</w:t>
            </w:r>
          </w:p>
        </w:tc>
        <w:tc>
          <w:tcPr>
            <w:tcW w:w="4320" w:type="dxa"/>
            <w:tcBorders>
              <w:top w:val="nil"/>
              <w:left w:val="nil"/>
              <w:bottom w:val="nil"/>
              <w:right w:val="nil"/>
            </w:tcBorders>
            <w:shd w:val="clear" w:color="auto" w:fill="FFFFFF"/>
          </w:tcPr>
          <w:p w14:paraId="6294561F">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0.9341</w:t>
            </w:r>
          </w:p>
        </w:tc>
      </w:tr>
      <w:tr w14:paraId="3C238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nil"/>
              <w:left w:val="nil"/>
              <w:bottom w:val="nil"/>
              <w:right w:val="nil"/>
            </w:tcBorders>
            <w:shd w:val="clear" w:color="auto" w:fill="FFFFFF"/>
          </w:tcPr>
          <w:p w14:paraId="44F0C461">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低依赖预测准确率</w:t>
            </w:r>
          </w:p>
        </w:tc>
        <w:tc>
          <w:tcPr>
            <w:tcW w:w="4320" w:type="dxa"/>
            <w:tcBorders>
              <w:top w:val="nil"/>
              <w:left w:val="nil"/>
              <w:bottom w:val="nil"/>
              <w:right w:val="nil"/>
            </w:tcBorders>
            <w:shd w:val="clear" w:color="auto" w:fill="FFFFFF"/>
          </w:tcPr>
          <w:p w14:paraId="288722F4">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98.08%（51/52）</w:t>
            </w:r>
          </w:p>
        </w:tc>
      </w:tr>
      <w:tr w14:paraId="2F9A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nil"/>
              <w:left w:val="nil"/>
              <w:bottom w:val="single" w:color="000000" w:sz="12" w:space="0"/>
              <w:right w:val="nil"/>
            </w:tcBorders>
            <w:shd w:val="clear" w:color="auto" w:fill="FFFFFF"/>
          </w:tcPr>
          <w:p w14:paraId="1119736A">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中重度依赖预测准确率</w:t>
            </w:r>
          </w:p>
        </w:tc>
        <w:tc>
          <w:tcPr>
            <w:tcW w:w="4320" w:type="dxa"/>
            <w:tcBorders>
              <w:top w:val="nil"/>
              <w:left w:val="nil"/>
              <w:bottom w:val="single" w:color="000000" w:sz="12" w:space="0"/>
              <w:right w:val="nil"/>
            </w:tcBorders>
            <w:shd w:val="clear" w:color="auto" w:fill="FFFFFF"/>
          </w:tcPr>
          <w:p w14:paraId="6FA4C2F7">
            <w:pPr>
              <w:spacing w:after="0" w:line="24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71.43%（5/7）</w:t>
            </w:r>
          </w:p>
        </w:tc>
      </w:tr>
    </w:tbl>
    <w:p w14:paraId="2DF7499A">
      <w:pPr>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br w:type="textWrapping"/>
      </w:r>
    </w:p>
    <w:p w14:paraId="204482D5">
      <w:pPr>
        <w:jc w:val="center"/>
        <w:rPr>
          <w:rFonts w:hint="eastAsia" w:ascii="宋体" w:hAnsi="宋体" w:eastAsia="宋体" w:cs="宋体"/>
          <w:b w:val="0"/>
          <w:bCs w:val="0"/>
          <w:color w:val="000000" w:themeColor="text1"/>
          <w:sz w:val="24"/>
          <w:szCs w:val="24"/>
          <w14:textFill>
            <w14:solidFill>
              <w14:schemeClr w14:val="tx1"/>
            </w14:solidFill>
          </w14:textFill>
        </w:rPr>
      </w:pPr>
    </w:p>
    <w:p w14:paraId="2F280C15">
      <w:pPr>
        <w:jc w:val="center"/>
        <w:rPr>
          <w:rFonts w:hint="eastAsia" w:ascii="宋体" w:hAnsi="宋体" w:eastAsia="宋体" w:cs="宋体"/>
          <w:b w:val="0"/>
          <w:bCs w:val="0"/>
          <w:color w:val="000000" w:themeColor="text1"/>
          <w:sz w:val="24"/>
          <w:szCs w:val="24"/>
          <w14:textFill>
            <w14:solidFill>
              <w14:schemeClr w14:val="tx1"/>
            </w14:solidFill>
          </w14:textFill>
        </w:rPr>
      </w:pPr>
    </w:p>
    <w:p w14:paraId="390C1E0C">
      <w:pPr>
        <w:jc w:val="center"/>
        <w:rPr>
          <w:rFonts w:hint="eastAsia" w:ascii="宋体" w:hAnsi="宋体" w:eastAsia="宋体" w:cs="宋体"/>
          <w:b w:val="0"/>
          <w:bCs w:val="0"/>
          <w:color w:val="000000" w:themeColor="text1"/>
          <w:sz w:val="24"/>
          <w:szCs w:val="24"/>
          <w14:textFill>
            <w14:solidFill>
              <w14:schemeClr w14:val="tx1"/>
            </w14:solidFill>
          </w14:textFill>
        </w:rPr>
      </w:pPr>
    </w:p>
    <w:p w14:paraId="37B8317D">
      <w:pPr>
        <w:jc w:val="center"/>
        <w:rPr>
          <w:rFonts w:hint="eastAsia" w:ascii="宋体" w:hAnsi="宋体" w:eastAsia="宋体" w:cs="宋体"/>
          <w:b w:val="0"/>
          <w:bCs w:val="0"/>
          <w:color w:val="000000" w:themeColor="text1"/>
          <w:sz w:val="24"/>
          <w:szCs w:val="24"/>
          <w14:textFill>
            <w14:solidFill>
              <w14:schemeClr w14:val="tx1"/>
            </w14:solidFill>
          </w14:textFill>
        </w:rPr>
      </w:pPr>
    </w:p>
    <w:p w14:paraId="15C68325">
      <w:pPr>
        <w:jc w:val="center"/>
        <w:rPr>
          <w:rFonts w:hint="eastAsia" w:ascii="宋体" w:hAnsi="宋体" w:eastAsia="宋体" w:cs="宋体"/>
          <w:b w:val="0"/>
          <w:bCs w:val="0"/>
          <w:color w:val="000000" w:themeColor="text1"/>
          <w:sz w:val="24"/>
          <w:szCs w:val="24"/>
          <w14:textFill>
            <w14:solidFill>
              <w14:schemeClr w14:val="tx1"/>
            </w14:solidFill>
          </w14:textFill>
        </w:rPr>
      </w:pPr>
    </w:p>
    <w:p w14:paraId="1CCA466E">
      <w:pPr>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图3：模型混淆矩阵</w:t>
      </w:r>
    </w:p>
    <w:p w14:paraId="4904FE2B">
      <w:p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drawing>
          <wp:inline distT="0" distB="0" distL="114300" distR="114300">
            <wp:extent cx="4291330" cy="3432175"/>
            <wp:effectExtent l="0" t="0" r="127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291330" cy="3432175"/>
                    </a:xfrm>
                    <a:prstGeom prst="rect">
                      <a:avLst/>
                    </a:prstGeom>
                  </pic:spPr>
                </pic:pic>
              </a:graphicData>
            </a:graphic>
          </wp:inline>
        </w:drawing>
      </w:r>
    </w:p>
    <w:p w14:paraId="324C259F">
      <w:pPr>
        <w:jc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ascii="宋体" w:hAnsi="宋体" w:eastAsia="宋体" w:cs="宋体"/>
          <w:b w:val="0"/>
          <w:bCs w:val="0"/>
          <w:color w:val="000000" w:themeColor="text1"/>
          <w:sz w:val="24"/>
          <w:szCs w:val="24"/>
          <w14:textFill>
            <w14:solidFill>
              <w14:schemeClr w14:val="tx1"/>
            </w14:solidFill>
          </w14:textFill>
        </w:rPr>
        <w:t>图4：模型ROC曲线</w:t>
      </w:r>
    </w:p>
    <w:p w14:paraId="59AA54D6">
      <w:p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drawing>
          <wp:inline distT="0" distB="0" distL="114300" distR="114300">
            <wp:extent cx="4350385" cy="3477260"/>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350385" cy="3477260"/>
                    </a:xfrm>
                    <a:prstGeom prst="rect">
                      <a:avLst/>
                    </a:prstGeom>
                  </pic:spPr>
                </pic:pic>
              </a:graphicData>
            </a:graphic>
          </wp:inline>
        </w:drawing>
      </w:r>
    </w:p>
    <w:p w14:paraId="414805E8">
      <w:pPr>
        <w:pStyle w:val="3"/>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四、结果分析与讨论</w:t>
      </w:r>
    </w:p>
    <w:p w14:paraId="6CED773E">
      <w:p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 显著预测因素分析：</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1）</w:t>
      </w:r>
      <w:r>
        <w:rPr>
          <w:rFonts w:hint="eastAsia" w:ascii="宋体" w:hAnsi="宋体" w:eastAsia="宋体" w:cs="宋体"/>
          <w:b w:val="0"/>
          <w:bCs w:val="0"/>
          <w:color w:val="000000" w:themeColor="text1"/>
          <w:sz w:val="24"/>
          <w:szCs w:val="24"/>
          <w14:textFill>
            <w14:solidFill>
              <w14:schemeClr w14:val="tx1"/>
            </w14:solidFill>
          </w14:textFill>
        </w:rPr>
        <w:t>抑郁总分（p=0.0464 &lt; 0.05，OR=17.1086）：抑郁程度是手机依赖的显著正向预测因素，抑郁总分每增加1个标准差，青少年成为中重度手机依赖者的几率增加17.11倍。这表明抑郁情绪可能促使青少年通过手机使用逃避现实压力或缓解负面情绪，长期形成依赖行为。</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2）</w:t>
      </w:r>
      <w:r>
        <w:rPr>
          <w:rFonts w:hint="eastAsia" w:ascii="宋体" w:hAnsi="宋体" w:eastAsia="宋体" w:cs="宋体"/>
          <w:b w:val="0"/>
          <w:bCs w:val="0"/>
          <w:color w:val="000000" w:themeColor="text1"/>
          <w:sz w:val="24"/>
          <w:szCs w:val="24"/>
          <w14:textFill>
            <w14:solidFill>
              <w14:schemeClr w14:val="tx1"/>
            </w14:solidFill>
          </w14:textFill>
        </w:rPr>
        <w:t>每日手机使用时间（p=0.0084 &lt; 0.01，OR=14.0344）：每日手机使用时间是手机依赖的最强预测因素，使用时间每增加1个标准差，成为中重度依赖者的几率增加14.03倍。这符合手机依赖的核心特征，长时间使用是依赖形成的重要行为基础。</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ascii="宋体" w:hAnsi="宋体" w:eastAsia="宋体" w:cs="宋体"/>
          <w:b w:val="0"/>
          <w:bCs w:val="0"/>
          <w:color w:val="000000" w:themeColor="text1"/>
          <w:sz w:val="24"/>
          <w:szCs w:val="24"/>
          <w14:textFill>
            <w14:solidFill>
              <w14:schemeClr w14:val="tx1"/>
            </w14:solidFill>
          </w14:textFill>
        </w:rPr>
        <w:t>2. 非显著预测因素分析：</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1）</w:t>
      </w:r>
      <w:r>
        <w:rPr>
          <w:rFonts w:hint="eastAsia" w:ascii="宋体" w:hAnsi="宋体" w:eastAsia="宋体" w:cs="宋体"/>
          <w:b w:val="0"/>
          <w:bCs w:val="0"/>
          <w:color w:val="000000" w:themeColor="text1"/>
          <w:sz w:val="24"/>
          <w:szCs w:val="24"/>
          <w14:textFill>
            <w14:solidFill>
              <w14:schemeClr w14:val="tx1"/>
            </w14:solidFill>
          </w14:textFill>
        </w:rPr>
        <w:t>压力总分（p=0.2923 &gt; 0.05）：尽管压力与手机依赖存在强相关（r=0.5140），但在控制抑郁等变量后，压力的预测作用不再显著，提示压力可能通过抑郁情绪间接影响手机依赖，即压力→抑郁→手机依赖的链式路径。</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2）</w:t>
      </w:r>
      <w:r>
        <w:rPr>
          <w:rFonts w:hint="eastAsia" w:ascii="宋体" w:hAnsi="宋体" w:eastAsia="宋体" w:cs="宋体"/>
          <w:b w:val="0"/>
          <w:bCs w:val="0"/>
          <w:color w:val="000000" w:themeColor="text1"/>
          <w:sz w:val="24"/>
          <w:szCs w:val="24"/>
          <w14:textFill>
            <w14:solidFill>
              <w14:schemeClr w14:val="tx1"/>
            </w14:solidFill>
          </w14:textFill>
        </w:rPr>
        <w:t>焦虑总分（p=0.0907 &gt; 0.05）：焦虑对手机依赖的预测接近显著水平（p=0.0907），负向系数与预期不符，可能由于样本量较小（中重度依赖仅7人）或焦虑情绪的复杂性（部分青少年可能通过手机缓解焦虑但未形成依赖）。</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3）</w:t>
      </w:r>
      <w:r>
        <w:rPr>
          <w:rFonts w:hint="eastAsia" w:ascii="宋体" w:hAnsi="宋体" w:eastAsia="宋体" w:cs="宋体"/>
          <w:b w:val="0"/>
          <w:bCs w:val="0"/>
          <w:color w:val="000000" w:themeColor="text1"/>
          <w:sz w:val="24"/>
          <w:szCs w:val="24"/>
          <w14:textFill>
            <w14:solidFill>
              <w14:schemeClr w14:val="tx1"/>
            </w14:solidFill>
          </w14:textFill>
        </w:rPr>
        <w:t>动机体现个性（p=0.6019）和功能上网（p=0.1226）：这两个变量的预测作用不显著，表明使用动机和功能选择本身并非导致依赖的关键因素，依赖形成更多与使用时间和情绪状态相关。</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ascii="宋体" w:hAnsi="宋体" w:eastAsia="宋体" w:cs="宋体"/>
          <w:b w:val="0"/>
          <w:bCs w:val="0"/>
          <w:color w:val="000000" w:themeColor="text1"/>
          <w:sz w:val="24"/>
          <w:szCs w:val="24"/>
          <w14:textFill>
            <w14:solidFill>
              <w14:schemeClr w14:val="tx1"/>
            </w14:solidFill>
          </w14:textFill>
        </w:rPr>
        <w:t>3. 模型整体评价：</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1）</w:t>
      </w:r>
      <w:r>
        <w:rPr>
          <w:rFonts w:hint="eastAsia" w:ascii="宋体" w:hAnsi="宋体" w:eastAsia="宋体" w:cs="宋体"/>
          <w:b w:val="0"/>
          <w:bCs w:val="0"/>
          <w:color w:val="000000" w:themeColor="text1"/>
          <w:sz w:val="24"/>
          <w:szCs w:val="24"/>
          <w14:textFill>
            <w14:solidFill>
              <w14:schemeClr w14:val="tx1"/>
            </w14:solidFill>
          </w14:textFill>
        </w:rPr>
        <w:t>解释力：伪R²为0.4933，表明模型能解释约49.33%的手机依赖变异，解释力较强。</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2）</w:t>
      </w:r>
      <w:r>
        <w:rPr>
          <w:rFonts w:hint="eastAsia" w:ascii="宋体" w:hAnsi="宋体" w:eastAsia="宋体" w:cs="宋体"/>
          <w:b w:val="0"/>
          <w:bCs w:val="0"/>
          <w:color w:val="000000" w:themeColor="text1"/>
          <w:sz w:val="24"/>
          <w:szCs w:val="24"/>
          <w14:textFill>
            <w14:solidFill>
              <w14:schemeClr w14:val="tx1"/>
            </w14:solidFill>
          </w14:textFill>
        </w:rPr>
        <w:t>预测性：AUC值为0.9341（&gt;0.9），整体准确率94.92%，表明模型具有优秀的预测性能。</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3）</w:t>
      </w:r>
      <w:r>
        <w:rPr>
          <w:rFonts w:hint="eastAsia" w:ascii="宋体" w:hAnsi="宋体" w:eastAsia="宋体" w:cs="宋体"/>
          <w:b w:val="0"/>
          <w:bCs w:val="0"/>
          <w:color w:val="000000" w:themeColor="text1"/>
          <w:sz w:val="24"/>
          <w:szCs w:val="24"/>
          <w14:textFill>
            <w14:solidFill>
              <w14:schemeClr w14:val="tx1"/>
            </w14:solidFill>
          </w14:textFill>
        </w:rPr>
        <w:t>局限性：中重度依赖样本量较小，可能影响模型对该群体的预测稳定性；样本代表性需进一步提高。</w:t>
      </w:r>
    </w:p>
    <w:p w14:paraId="6A789493">
      <w:pPr>
        <w:pStyle w:val="3"/>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五、结论与建议</w:t>
      </w:r>
    </w:p>
    <w:p w14:paraId="44811503">
      <w:pP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1. 主要结论：</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1）</w:t>
      </w:r>
      <w:r>
        <w:rPr>
          <w:rFonts w:hint="eastAsia" w:ascii="宋体" w:hAnsi="宋体" w:eastAsia="宋体" w:cs="宋体"/>
          <w:b w:val="0"/>
          <w:bCs w:val="0"/>
          <w:color w:val="000000" w:themeColor="text1"/>
          <w:sz w:val="24"/>
          <w:szCs w:val="24"/>
          <w14:textFill>
            <w14:solidFill>
              <w14:schemeClr w14:val="tx1"/>
            </w14:solidFill>
          </w14:textFill>
        </w:rPr>
        <w:t>抑郁情绪和每日手机使用时间是影响青少年手机依赖的关键因素，两者均显著正向预测手机依赖程度。</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2）</w:t>
      </w:r>
      <w:r>
        <w:rPr>
          <w:rFonts w:hint="eastAsia" w:ascii="宋体" w:hAnsi="宋体" w:eastAsia="宋体" w:cs="宋体"/>
          <w:b w:val="0"/>
          <w:bCs w:val="0"/>
          <w:color w:val="000000" w:themeColor="text1"/>
          <w:sz w:val="24"/>
          <w:szCs w:val="24"/>
          <w14:textFill>
            <w14:solidFill>
              <w14:schemeClr w14:val="tx1"/>
            </w14:solidFill>
          </w14:textFill>
        </w:rPr>
        <w:t>压力、焦虑、手机使用动机和功能选择对手机依赖的直接预测作用不显著。</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3）</w:t>
      </w:r>
      <w:r>
        <w:rPr>
          <w:rFonts w:hint="eastAsia" w:ascii="宋体" w:hAnsi="宋体" w:eastAsia="宋体" w:cs="宋体"/>
          <w:b w:val="0"/>
          <w:bCs w:val="0"/>
          <w:color w:val="000000" w:themeColor="text1"/>
          <w:sz w:val="24"/>
          <w:szCs w:val="24"/>
          <w14:textFill>
            <w14:solidFill>
              <w14:schemeClr w14:val="tx1"/>
            </w14:solidFill>
          </w14:textFill>
        </w:rPr>
        <w:t>构建的Logistic回归模型具有良好的拟合度和预测准确性，可用于青少年手机依赖风险筛查。</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ascii="宋体" w:hAnsi="宋体" w:eastAsia="宋体" w:cs="宋体"/>
          <w:b w:val="0"/>
          <w:bCs w:val="0"/>
          <w:color w:val="000000" w:themeColor="text1"/>
          <w:sz w:val="24"/>
          <w:szCs w:val="24"/>
          <w14:textFill>
            <w14:solidFill>
              <w14:schemeClr w14:val="tx1"/>
            </w14:solidFill>
          </w14:textFill>
        </w:rPr>
        <w:t>2. 实践建议：</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1）</w:t>
      </w:r>
      <w:r>
        <w:rPr>
          <w:rFonts w:hint="eastAsia" w:ascii="宋体" w:hAnsi="宋体" w:eastAsia="宋体" w:cs="宋体"/>
          <w:b w:val="0"/>
          <w:bCs w:val="0"/>
          <w:color w:val="000000" w:themeColor="text1"/>
          <w:sz w:val="24"/>
          <w:szCs w:val="24"/>
          <w14:textFill>
            <w14:solidFill>
              <w14:schemeClr w14:val="tx1"/>
            </w14:solidFill>
          </w14:textFill>
        </w:rPr>
        <w:t xml:space="preserve"> 情绪干预优先：加强青少年抑郁情绪筛查与干预，建立心理健康支持体系，减少通过手机缓解负面情绪的行为。</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2）</w:t>
      </w:r>
      <w:r>
        <w:rPr>
          <w:rFonts w:hint="eastAsia" w:ascii="宋体" w:hAnsi="宋体" w:eastAsia="宋体" w:cs="宋体"/>
          <w:b w:val="0"/>
          <w:bCs w:val="0"/>
          <w:color w:val="000000" w:themeColor="text1"/>
          <w:sz w:val="24"/>
          <w:szCs w:val="24"/>
          <w14:textFill>
            <w14:solidFill>
              <w14:schemeClr w14:val="tx1"/>
            </w14:solidFill>
          </w14:textFill>
        </w:rPr>
        <w:t>时间管理引导：制定科学的手机使用时间管理方案，鼓励青少年平衡线上线下活动，培养健康的使用习惯。</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3）</w:t>
      </w:r>
      <w:r>
        <w:rPr>
          <w:rFonts w:hint="eastAsia" w:ascii="宋体" w:hAnsi="宋体" w:eastAsia="宋体" w:cs="宋体"/>
          <w:b w:val="0"/>
          <w:bCs w:val="0"/>
          <w:color w:val="000000" w:themeColor="text1"/>
          <w:sz w:val="24"/>
          <w:szCs w:val="24"/>
          <w14:textFill>
            <w14:solidFill>
              <w14:schemeClr w14:val="tx1"/>
            </w14:solidFill>
          </w14:textFill>
        </w:rPr>
        <w:t>风险筛查应用：利用本模型对青少年手机依赖风险进行初步评估，重点关注抑郁情绪明显和使用时间较长的个体。</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ascii="宋体" w:hAnsi="宋体" w:eastAsia="宋体" w:cs="宋体"/>
          <w:b w:val="0"/>
          <w:bCs w:val="0"/>
          <w:color w:val="000000" w:themeColor="text1"/>
          <w:sz w:val="24"/>
          <w:szCs w:val="24"/>
          <w14:textFill>
            <w14:solidFill>
              <w14:schemeClr w14:val="tx1"/>
            </w14:solidFill>
          </w14:textFill>
        </w:rPr>
        <w:t>3. 研究展望：</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1）</w:t>
      </w:r>
      <w:r>
        <w:rPr>
          <w:rFonts w:hint="eastAsia" w:ascii="宋体" w:hAnsi="宋体" w:eastAsia="宋体" w:cs="宋体"/>
          <w:b w:val="0"/>
          <w:bCs w:val="0"/>
          <w:color w:val="000000" w:themeColor="text1"/>
          <w:sz w:val="24"/>
          <w:szCs w:val="24"/>
          <w14:textFill>
            <w14:solidFill>
              <w14:schemeClr w14:val="tx1"/>
            </w14:solidFill>
          </w14:textFill>
        </w:rPr>
        <w:t>扩大样本规模，尤其是增加中重度依赖者样本，提高模型稳定性和泛化能力。</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2）</w:t>
      </w:r>
      <w:r>
        <w:rPr>
          <w:rFonts w:hint="eastAsia" w:ascii="宋体" w:hAnsi="宋体" w:eastAsia="宋体" w:cs="宋体"/>
          <w:b w:val="0"/>
          <w:bCs w:val="0"/>
          <w:color w:val="000000" w:themeColor="text1"/>
          <w:sz w:val="24"/>
          <w:szCs w:val="24"/>
          <w14:textFill>
            <w14:solidFill>
              <w14:schemeClr w14:val="tx1"/>
            </w14:solidFill>
          </w14:textFill>
        </w:rPr>
        <w:t>纳入家庭环境、同伴影响、使用内容等变量，构建更全面的预测模型。</w:t>
      </w:r>
      <w:r>
        <w:rPr>
          <w:rFonts w:hint="eastAsia" w:ascii="宋体" w:hAnsi="宋体" w:eastAsia="宋体" w:cs="宋体"/>
          <w:b w:val="0"/>
          <w:bCs w:val="0"/>
          <w:color w:val="000000" w:themeColor="text1"/>
          <w:sz w:val="24"/>
          <w:szCs w:val="24"/>
          <w14:textFill>
            <w14:solidFill>
              <w14:schemeClr w14:val="tx1"/>
            </w14:solidFill>
          </w14:textFill>
        </w:rPr>
        <w:br w:type="textWrapping"/>
      </w:r>
      <w:r>
        <w:rPr>
          <w:rFonts w:hint="eastAsia" w:eastAsia="宋体" w:cs="宋体"/>
          <w:b w:val="0"/>
          <w:bCs w:val="0"/>
          <w:color w:val="000000" w:themeColor="text1"/>
          <w:sz w:val="24"/>
          <w:szCs w:val="24"/>
          <w:lang w:eastAsia="zh-CN"/>
          <w14:textFill>
            <w14:solidFill>
              <w14:schemeClr w14:val="tx1"/>
            </w14:solidFill>
          </w14:textFill>
        </w:rPr>
        <w:t>（</w:t>
      </w:r>
      <w:r>
        <w:rPr>
          <w:rFonts w:hint="eastAsia" w:eastAsia="宋体" w:cs="宋体"/>
          <w:b w:val="0"/>
          <w:bCs w:val="0"/>
          <w:color w:val="000000" w:themeColor="text1"/>
          <w:sz w:val="24"/>
          <w:szCs w:val="24"/>
          <w:lang w:val="en-US" w:eastAsia="zh-CN"/>
          <w14:textFill>
            <w14:solidFill>
              <w14:schemeClr w14:val="tx1"/>
            </w14:solidFill>
          </w14:textFill>
        </w:rPr>
        <w:t>3）</w:t>
      </w:r>
      <w:r>
        <w:rPr>
          <w:rFonts w:hint="eastAsia" w:ascii="宋体" w:hAnsi="宋体" w:eastAsia="宋体" w:cs="宋体"/>
          <w:b w:val="0"/>
          <w:bCs w:val="0"/>
          <w:color w:val="000000" w:themeColor="text1"/>
          <w:sz w:val="24"/>
          <w:szCs w:val="24"/>
          <w14:textFill>
            <w14:solidFill>
              <w14:schemeClr w14:val="tx1"/>
            </w14:solidFill>
          </w14:textFill>
        </w:rPr>
        <w:t>开展纵向追踪研究，探索变量间的因果关系，为干预措施提供更科学的依据。</w:t>
      </w:r>
    </w:p>
    <w:p w14:paraId="1C0CAEF5">
      <w:pPr>
        <w:rPr>
          <w:rFonts w:hint="eastAsia" w:ascii="宋体" w:hAnsi="宋体" w:eastAsia="宋体" w:cs="宋体"/>
          <w:b w:val="0"/>
          <w:bCs w:val="0"/>
          <w:color w:val="000000" w:themeColor="text1"/>
          <w:sz w:val="24"/>
          <w:szCs w:val="24"/>
          <w14:textFill>
            <w14:solidFill>
              <w14:schemeClr w14:val="tx1"/>
            </w14:solidFill>
          </w14:textFill>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8A8F1AA"/>
    <w:multiLevelType w:val="singleLevel"/>
    <w:tmpl w:val="18A8F1AA"/>
    <w:lvl w:ilvl="0" w:tentative="0">
      <w:start w:val="1"/>
      <w:numFmt w:val="chineseCounting"/>
      <w:suff w:val="space"/>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7C10BD"/>
    <w:rsid w:val="4F5974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918</Words>
  <Characters>1135</Characters>
  <Lines>0</Lines>
  <Paragraphs>0</Paragraphs>
  <TotalTime>12</TotalTime>
  <ScaleCrop>false</ScaleCrop>
  <LinksUpToDate>false</LinksUpToDate>
  <CharactersWithSpaces>1152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邓颖</cp:lastModifiedBy>
  <dcterms:modified xsi:type="dcterms:W3CDTF">2025-11-19T12:48:32Z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eyJoZGlkIjoiMWI0NDVmMGNjZjQwNDU3NGE4MzAxZDUxZGFlYTAzZTMiLCJ1c2VySWQiOiIxNzQyOTAzMTIyIn0=</vt:lpwstr>
  </property>
  <property fmtid="{D5CDD505-2E9C-101B-9397-08002B2CF9AE}" pid="3" name="KSOProductBuildVer">
    <vt:lpwstr>2052-12.1.0.21915</vt:lpwstr>
  </property>
  <property fmtid="{D5CDD505-2E9C-101B-9397-08002B2CF9AE}" pid="4" name="ICV">
    <vt:lpwstr>676825BE9DFC44679AF5DD232435B37C_13</vt:lpwstr>
  </property>
</Properties>
</file>