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9636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360" w:lineRule="atLeast"/>
        <w:ind w:left="0" w:right="0" w:firstLine="0"/>
        <w:rPr>
          <w:rFonts w:hint="eastAsia" w:ascii="宋体" w:hAnsi="宋体" w:eastAsia="宋体" w:cs="宋体"/>
          <w:b/>
          <w:bCs/>
          <w:i w:val="0"/>
          <w:iCs w:val="0"/>
          <w:caps w:val="0"/>
          <w:color w:val="0D0D0D"/>
          <w:spacing w:val="0"/>
          <w:sz w:val="24"/>
          <w:szCs w:val="24"/>
        </w:rPr>
      </w:pPr>
      <w:r>
        <w:rPr>
          <w:rFonts w:hint="eastAsia" w:ascii="宋体" w:hAnsi="宋体" w:eastAsia="宋体" w:cs="宋体"/>
          <w:b/>
          <w:bCs/>
          <w:i w:val="0"/>
          <w:iCs w:val="0"/>
          <w:caps w:val="0"/>
          <w:color w:val="0D0D0D"/>
          <w:spacing w:val="0"/>
          <w:sz w:val="24"/>
          <w:szCs w:val="24"/>
          <w:bdr w:val="none" w:color="auto" w:sz="0" w:space="0"/>
          <w:shd w:val="clear" w:fill="FFFFFF"/>
        </w:rPr>
        <w:t>青少年手机使用依赖自评问卷（SQAPMPU）调查结果分析与评价方法</w:t>
      </w:r>
    </w:p>
    <w:p w14:paraId="722533D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0" w:beforeAutospacing="0" w:after="240" w:afterAutospacing="0" w:line="320" w:lineRule="atLeast"/>
        <w:ind w:left="0" w:right="0" w:firstLine="0"/>
        <w:rPr>
          <w:rFonts w:hint="eastAsia" w:ascii="宋体" w:hAnsi="宋体" w:eastAsia="宋体" w:cs="宋体"/>
          <w:b/>
          <w:bCs/>
          <w:i w:val="0"/>
          <w:iCs w:val="0"/>
          <w:caps w:val="0"/>
          <w:color w:val="0D0D0D"/>
          <w:spacing w:val="0"/>
          <w:sz w:val="24"/>
          <w:szCs w:val="24"/>
        </w:rPr>
      </w:pPr>
      <w:r>
        <w:rPr>
          <w:rFonts w:hint="eastAsia" w:ascii="宋体" w:hAnsi="宋体" w:eastAsia="宋体" w:cs="宋体"/>
          <w:b/>
          <w:bCs/>
          <w:i w:val="0"/>
          <w:iCs w:val="0"/>
          <w:caps w:val="0"/>
          <w:color w:val="0D0D0D"/>
          <w:spacing w:val="0"/>
          <w:sz w:val="24"/>
          <w:szCs w:val="24"/>
          <w:bdr w:val="none" w:color="auto" w:sz="0" w:space="0"/>
          <w:shd w:val="clear" w:fill="FFFFFF"/>
        </w:rPr>
        <w:t>一、调查结果分析</w:t>
      </w:r>
    </w:p>
    <w:p w14:paraId="3B8D4C8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0" w:beforeAutospacing="0" w:after="180" w:afterAutospacing="0" w:line="300" w:lineRule="atLeast"/>
        <w:ind w:left="0" w:right="0" w:firstLine="0"/>
        <w:rPr>
          <w:rFonts w:hint="eastAsia" w:ascii="宋体" w:hAnsi="宋体" w:eastAsia="宋体" w:cs="宋体"/>
          <w:b/>
          <w:bCs/>
          <w:i w:val="0"/>
          <w:iCs w:val="0"/>
          <w:caps w:val="0"/>
          <w:color w:val="0D0D0D"/>
          <w:spacing w:val="0"/>
          <w:sz w:val="24"/>
          <w:szCs w:val="24"/>
        </w:rPr>
      </w:pPr>
      <w:r>
        <w:rPr>
          <w:rFonts w:hint="eastAsia" w:ascii="宋体" w:hAnsi="宋体" w:eastAsia="宋体" w:cs="宋体"/>
          <w:b/>
          <w:bCs/>
          <w:i w:val="0"/>
          <w:iCs w:val="0"/>
          <w:caps w:val="0"/>
          <w:color w:val="0D0D0D"/>
          <w:spacing w:val="0"/>
          <w:sz w:val="24"/>
          <w:szCs w:val="24"/>
          <w:bdr w:val="none" w:color="auto" w:sz="0" w:space="0"/>
          <w:shd w:val="clear" w:fill="FFFFFF"/>
        </w:rPr>
        <w:t>（一）样本基本情况概述</w:t>
      </w:r>
    </w:p>
    <w:p w14:paraId="0DF7B57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7" w:lineRule="atLeast"/>
        <w:ind w:left="0" w:right="0" w:firstLine="480" w:firstLineChars="200"/>
        <w:rPr>
          <w:rFonts w:hint="eastAsia" w:ascii="宋体" w:hAnsi="宋体" w:eastAsia="宋体" w:cs="宋体"/>
          <w:i w:val="0"/>
          <w:iCs w:val="0"/>
          <w:caps w:val="0"/>
          <w:color w:val="0D0D0D"/>
          <w:spacing w:val="0"/>
          <w:sz w:val="24"/>
          <w:szCs w:val="24"/>
        </w:rPr>
      </w:pPr>
      <w:r>
        <w:rPr>
          <w:rFonts w:hint="eastAsia" w:ascii="宋体" w:hAnsi="宋体" w:eastAsia="宋体" w:cs="宋体"/>
          <w:i w:val="0"/>
          <w:iCs w:val="0"/>
          <w:caps w:val="0"/>
          <w:color w:val="0D0D0D"/>
          <w:spacing w:val="0"/>
          <w:sz w:val="24"/>
          <w:szCs w:val="24"/>
          <w:bdr w:val="none" w:color="auto" w:sz="0" w:space="0"/>
          <w:shd w:val="clear" w:fill="FFFFFF"/>
        </w:rPr>
        <w:t>本次调查采用青少年手机使用依赖自评问卷（SQAPMPU），对[具体地区]的[具体数量]名青少年展开调查。样本涵盖了不同性别、年级、家庭背景等特征的青少年群体，其中男生[X]人，女生[X]人；</w:t>
      </w:r>
      <w:r>
        <w:rPr>
          <w:rFonts w:hint="eastAsia" w:ascii="宋体" w:hAnsi="宋体" w:eastAsia="宋体" w:cs="宋体"/>
          <w:i w:val="0"/>
          <w:iCs w:val="0"/>
          <w:caps w:val="0"/>
          <w:color w:val="0D0D0D"/>
          <w:spacing w:val="0"/>
          <w:sz w:val="24"/>
          <w:szCs w:val="24"/>
          <w:bdr w:val="none" w:color="auto" w:sz="0" w:space="0"/>
          <w:shd w:val="clear" w:fill="FFFFFF"/>
          <w:lang w:val="en-US" w:eastAsia="zh-CN"/>
        </w:rPr>
        <w:t>大一/二/三/四</w:t>
      </w:r>
      <w:r>
        <w:rPr>
          <w:rFonts w:hint="eastAsia" w:ascii="宋体" w:hAnsi="宋体" w:eastAsia="宋体" w:cs="宋体"/>
          <w:i w:val="0"/>
          <w:iCs w:val="0"/>
          <w:caps w:val="0"/>
          <w:color w:val="0D0D0D"/>
          <w:spacing w:val="0"/>
          <w:sz w:val="24"/>
          <w:szCs w:val="24"/>
          <w:bdr w:val="none" w:color="auto" w:sz="0" w:space="0"/>
          <w:shd w:val="clear" w:fill="FFFFFF"/>
        </w:rPr>
        <w:t>[X]</w:t>
      </w:r>
      <w:r>
        <w:rPr>
          <w:rFonts w:hint="eastAsia" w:ascii="宋体" w:hAnsi="宋体" w:eastAsia="宋体" w:cs="宋体"/>
          <w:i w:val="0"/>
          <w:iCs w:val="0"/>
          <w:caps w:val="0"/>
          <w:color w:val="0D0D0D"/>
          <w:spacing w:val="0"/>
          <w:sz w:val="24"/>
          <w:szCs w:val="24"/>
          <w:bdr w:val="none" w:color="auto" w:sz="0" w:space="0"/>
          <w:shd w:val="clear" w:fill="FFFFFF"/>
          <w:lang w:val="en-US" w:eastAsia="zh-CN"/>
        </w:rPr>
        <w:t>人</w:t>
      </w:r>
      <w:r>
        <w:rPr>
          <w:rFonts w:hint="eastAsia" w:ascii="宋体" w:hAnsi="宋体" w:eastAsia="宋体" w:cs="宋体"/>
          <w:i w:val="0"/>
          <w:iCs w:val="0"/>
          <w:caps w:val="0"/>
          <w:color w:val="0D0D0D"/>
          <w:spacing w:val="0"/>
          <w:sz w:val="24"/>
          <w:szCs w:val="24"/>
          <w:bdr w:val="none" w:color="auto" w:sz="0" w:space="0"/>
          <w:shd w:val="clear" w:fill="FFFFFF"/>
        </w:rPr>
        <w:t>。</w:t>
      </w:r>
    </w:p>
    <w:p w14:paraId="300F44C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0" w:beforeAutospacing="0" w:after="180" w:afterAutospacing="0" w:line="300" w:lineRule="atLeast"/>
        <w:ind w:left="0" w:right="0" w:firstLine="0"/>
        <w:rPr>
          <w:rFonts w:hint="eastAsia" w:ascii="宋体" w:hAnsi="宋体" w:eastAsia="宋体" w:cs="宋体"/>
          <w:b/>
          <w:bCs/>
          <w:i w:val="0"/>
          <w:iCs w:val="0"/>
          <w:caps w:val="0"/>
          <w:color w:val="0D0D0D"/>
          <w:spacing w:val="0"/>
          <w:sz w:val="24"/>
          <w:szCs w:val="24"/>
        </w:rPr>
      </w:pPr>
      <w:r>
        <w:rPr>
          <w:rFonts w:hint="eastAsia" w:ascii="宋体" w:hAnsi="宋体" w:eastAsia="宋体" w:cs="宋体"/>
          <w:b/>
          <w:bCs/>
          <w:i w:val="0"/>
          <w:iCs w:val="0"/>
          <w:caps w:val="0"/>
          <w:color w:val="0D0D0D"/>
          <w:spacing w:val="0"/>
          <w:sz w:val="24"/>
          <w:szCs w:val="24"/>
          <w:bdr w:val="none" w:color="auto" w:sz="0" w:space="0"/>
          <w:shd w:val="clear" w:fill="FFFFFF"/>
        </w:rPr>
        <w:t>（二）问卷得分总体分布</w:t>
      </w:r>
    </w:p>
    <w:p w14:paraId="44523C5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7" w:lineRule="atLeast"/>
        <w:ind w:left="0" w:right="0" w:firstLine="480" w:firstLineChars="200"/>
        <w:rPr>
          <w:rFonts w:hint="eastAsia" w:ascii="宋体" w:hAnsi="宋体" w:eastAsia="宋体" w:cs="宋体"/>
          <w:i w:val="0"/>
          <w:iCs w:val="0"/>
          <w:caps w:val="0"/>
          <w:color w:val="0D0D0D"/>
          <w:spacing w:val="0"/>
          <w:sz w:val="24"/>
          <w:szCs w:val="24"/>
        </w:rPr>
      </w:pPr>
      <w:r>
        <w:rPr>
          <w:rFonts w:hint="eastAsia" w:ascii="宋体" w:hAnsi="宋体" w:eastAsia="宋体" w:cs="宋体"/>
          <w:i w:val="0"/>
          <w:iCs w:val="0"/>
          <w:caps w:val="0"/>
          <w:color w:val="0D0D0D"/>
          <w:spacing w:val="0"/>
          <w:sz w:val="24"/>
          <w:szCs w:val="24"/>
          <w:bdr w:val="none" w:color="auto" w:sz="0" w:space="0"/>
          <w:shd w:val="clear" w:fill="FFFFFF"/>
        </w:rPr>
        <w:t>SQAPMPU问卷总分范围为13 - 65分，运用百分位数法将得分划分为三类：“低”（&lt;P25）、“中”（P25 - P75）和“高”（&gt;P75）。经统计，本次调查中，得分&lt;17分的“低手机依赖”青少年占比[X]%；得分在17 - 26分的“中手机依赖”青少年占比[X]%；得分≥27分的“高手机依赖”青少年占比[X]%。</w:t>
      </w:r>
    </w:p>
    <w:p w14:paraId="50336AB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0" w:beforeAutospacing="0" w:after="180" w:afterAutospacing="0" w:line="300" w:lineRule="atLeast"/>
        <w:ind w:left="0" w:right="0" w:firstLine="0"/>
        <w:rPr>
          <w:rFonts w:hint="eastAsia" w:ascii="宋体" w:hAnsi="宋体" w:eastAsia="宋体" w:cs="宋体"/>
          <w:b/>
          <w:bCs/>
          <w:i w:val="0"/>
          <w:iCs w:val="0"/>
          <w:caps w:val="0"/>
          <w:color w:val="0D0D0D"/>
          <w:spacing w:val="0"/>
          <w:sz w:val="24"/>
          <w:szCs w:val="24"/>
        </w:rPr>
      </w:pPr>
      <w:r>
        <w:rPr>
          <w:rFonts w:hint="eastAsia" w:ascii="宋体" w:hAnsi="宋体" w:eastAsia="宋体" w:cs="宋体"/>
          <w:b/>
          <w:bCs/>
          <w:i w:val="0"/>
          <w:iCs w:val="0"/>
          <w:caps w:val="0"/>
          <w:color w:val="0D0D0D"/>
          <w:spacing w:val="0"/>
          <w:sz w:val="24"/>
          <w:szCs w:val="24"/>
          <w:bdr w:val="none" w:color="auto" w:sz="0" w:space="0"/>
          <w:shd w:val="clear" w:fill="FFFFFF"/>
        </w:rPr>
        <w:t>（三）不同维度得分分析</w:t>
      </w:r>
    </w:p>
    <w:p w14:paraId="5130E49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7" w:lineRule="atLeast"/>
        <w:ind w:left="0" w:right="0" w:firstLine="480" w:firstLineChars="200"/>
        <w:rPr>
          <w:rFonts w:hint="eastAsia" w:ascii="宋体" w:hAnsi="宋体" w:eastAsia="宋体" w:cs="宋体"/>
          <w:i w:val="0"/>
          <w:iCs w:val="0"/>
          <w:caps w:val="0"/>
          <w:color w:val="0D0D0D"/>
          <w:spacing w:val="0"/>
          <w:sz w:val="24"/>
          <w:szCs w:val="24"/>
        </w:rPr>
      </w:pPr>
      <w:r>
        <w:rPr>
          <w:rFonts w:hint="eastAsia" w:ascii="宋体" w:hAnsi="宋体" w:eastAsia="宋体" w:cs="宋体"/>
          <w:i w:val="0"/>
          <w:iCs w:val="0"/>
          <w:caps w:val="0"/>
          <w:color w:val="0D0D0D"/>
          <w:spacing w:val="0"/>
          <w:sz w:val="24"/>
          <w:szCs w:val="24"/>
          <w:bdr w:val="none" w:color="auto" w:sz="0" w:space="0"/>
          <w:shd w:val="clear" w:fill="FFFFFF"/>
        </w:rPr>
        <w:t>SQAPMPU问卷分为戒断症状、渴求性和身心影响三个维度。</w:t>
      </w:r>
    </w:p>
    <w:p w14:paraId="7E4F46F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rPr>
          <w:rFonts w:hint="eastAsia" w:ascii="宋体" w:hAnsi="宋体" w:eastAsia="宋体" w:cs="宋体"/>
          <w:sz w:val="24"/>
          <w:szCs w:val="24"/>
        </w:rPr>
      </w:pPr>
      <w:r>
        <w:rPr>
          <w:rStyle w:val="8"/>
          <w:rFonts w:hint="eastAsia" w:ascii="宋体" w:hAnsi="宋体" w:eastAsia="宋体" w:cs="宋体"/>
          <w:b/>
          <w:bCs/>
          <w:i w:val="0"/>
          <w:iCs w:val="0"/>
          <w:caps w:val="0"/>
          <w:color w:val="0D0D0D"/>
          <w:spacing w:val="0"/>
          <w:sz w:val="24"/>
          <w:szCs w:val="24"/>
          <w:bdr w:val="none" w:color="auto" w:sz="0" w:space="0"/>
          <w:shd w:val="clear" w:fill="FFFFFF"/>
        </w:rPr>
        <w:t>戒断症状维度</w:t>
      </w:r>
      <w:r>
        <w:rPr>
          <w:rFonts w:hint="eastAsia" w:ascii="宋体" w:hAnsi="宋体" w:eastAsia="宋体" w:cs="宋体"/>
          <w:i w:val="0"/>
          <w:iCs w:val="0"/>
          <w:caps w:val="0"/>
          <w:color w:val="0D0D0D"/>
          <w:spacing w:val="0"/>
          <w:sz w:val="24"/>
          <w:szCs w:val="24"/>
          <w:bdr w:val="none" w:color="auto" w:sz="0" w:space="0"/>
          <w:shd w:val="clear" w:fill="FFFFFF"/>
        </w:rPr>
        <w:t>：该维度主要考察青少年在企图减少或停止使用手机时出现的沮丧、烦躁等情绪反应。统计结果显示，在“当企图减少或停止使用手机时，会觉得沮丧、心情低落”这一题项中，选择“经常”和“总是”的青少年占比[X]%；在“当因上课、聚餐而必须关机时，会感到烦躁”题项中，选择“经常”和“总是”的青少年占比[X]%。这表明部分青少年对手机存在较强的戒断反应，一旦无法使用手机，就会出现明显的负面情绪。</w:t>
      </w:r>
    </w:p>
    <w:p w14:paraId="50A55E8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00" w:beforeAutospacing="0" w:after="0" w:afterAutospacing="0" w:line="17" w:lineRule="atLeast"/>
        <w:ind w:left="0" w:right="0" w:hanging="360"/>
        <w:rPr>
          <w:rFonts w:hint="eastAsia" w:ascii="宋体" w:hAnsi="宋体" w:eastAsia="宋体" w:cs="宋体"/>
          <w:sz w:val="24"/>
          <w:szCs w:val="24"/>
        </w:rPr>
      </w:pPr>
      <w:r>
        <w:rPr>
          <w:rStyle w:val="8"/>
          <w:rFonts w:hint="eastAsia" w:ascii="宋体" w:hAnsi="宋体" w:eastAsia="宋体" w:cs="宋体"/>
          <w:b/>
          <w:bCs/>
          <w:i w:val="0"/>
          <w:iCs w:val="0"/>
          <w:caps w:val="0"/>
          <w:color w:val="0D0D0D"/>
          <w:spacing w:val="0"/>
          <w:sz w:val="24"/>
          <w:szCs w:val="24"/>
          <w:bdr w:val="none" w:color="auto" w:sz="0" w:space="0"/>
          <w:shd w:val="clear" w:fill="FFFFFF"/>
        </w:rPr>
        <w:t>渴求性维度</w:t>
      </w:r>
      <w:r>
        <w:rPr>
          <w:rFonts w:hint="eastAsia" w:ascii="宋体" w:hAnsi="宋体" w:eastAsia="宋体" w:cs="宋体"/>
          <w:i w:val="0"/>
          <w:iCs w:val="0"/>
          <w:caps w:val="0"/>
          <w:color w:val="0D0D0D"/>
          <w:spacing w:val="0"/>
          <w:sz w:val="24"/>
          <w:szCs w:val="24"/>
          <w:bdr w:val="none" w:color="auto" w:sz="0" w:space="0"/>
          <w:shd w:val="clear" w:fill="FFFFFF"/>
        </w:rPr>
        <w:t>：此维度反映了青少年对手机使用的强烈欲望。例如，在“总觉得使用手机的时间不够”题项中，选择“经常”和“总是”的青少年占比[X]%；“觉得需要花更多的时间在手机上才能得到满足”题项中，选择“经常”和“总是”的青少年占比[X]%。这说明部分青少年对手机的使用需求较高，渴望投入更多时间在手机相关活动上。</w:t>
      </w:r>
    </w:p>
    <w:p w14:paraId="757A5EB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00" w:beforeAutospacing="0" w:after="0" w:afterAutospacing="0" w:line="17" w:lineRule="atLeast"/>
        <w:ind w:left="0" w:right="0" w:hanging="360"/>
        <w:rPr>
          <w:rFonts w:hint="eastAsia" w:ascii="宋体" w:hAnsi="宋体" w:eastAsia="宋体" w:cs="宋体"/>
          <w:sz w:val="24"/>
          <w:szCs w:val="24"/>
        </w:rPr>
      </w:pPr>
      <w:r>
        <w:rPr>
          <w:rStyle w:val="8"/>
          <w:rFonts w:hint="eastAsia" w:ascii="宋体" w:hAnsi="宋体" w:eastAsia="宋体" w:cs="宋体"/>
          <w:b/>
          <w:bCs/>
          <w:i w:val="0"/>
          <w:iCs w:val="0"/>
          <w:caps w:val="0"/>
          <w:color w:val="0D0D0D"/>
          <w:spacing w:val="0"/>
          <w:sz w:val="24"/>
          <w:szCs w:val="24"/>
          <w:bdr w:val="none" w:color="auto" w:sz="0" w:space="0"/>
          <w:shd w:val="clear" w:fill="FFFFFF"/>
        </w:rPr>
        <w:t>身心影响维度</w:t>
      </w:r>
      <w:r>
        <w:rPr>
          <w:rFonts w:hint="eastAsia" w:ascii="宋体" w:hAnsi="宋体" w:eastAsia="宋体" w:cs="宋体"/>
          <w:i w:val="0"/>
          <w:iCs w:val="0"/>
          <w:caps w:val="0"/>
          <w:color w:val="0D0D0D"/>
          <w:spacing w:val="0"/>
          <w:sz w:val="24"/>
          <w:szCs w:val="24"/>
          <w:bdr w:val="none" w:color="auto" w:sz="0" w:space="0"/>
          <w:shd w:val="clear" w:fill="FFFFFF"/>
        </w:rPr>
        <w:t>：该维度关注手机使用对青少年身体和心理的影响。在“玩手机过多导致睡眠不足”题项中，选择“经常”和“总是”的青少年占比[X]%；“使用手机直接影响了学习或工作效率”题项中，选择“经常”和“总是”的青少年占比[X]%。这体现出手机使用已经对部分青少年的身心健康和日常学习、生活产生了较为明显的负面影响。</w:t>
      </w:r>
    </w:p>
    <w:p w14:paraId="46088C4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0" w:beforeAutospacing="0" w:after="180" w:afterAutospacing="0" w:line="300" w:lineRule="atLeast"/>
        <w:ind w:left="0" w:right="0" w:firstLine="0"/>
        <w:rPr>
          <w:rFonts w:hint="eastAsia" w:ascii="宋体" w:hAnsi="宋体" w:eastAsia="宋体" w:cs="宋体"/>
          <w:b/>
          <w:bCs/>
          <w:i w:val="0"/>
          <w:iCs w:val="0"/>
          <w:caps w:val="0"/>
          <w:color w:val="0D0D0D"/>
          <w:spacing w:val="0"/>
          <w:sz w:val="24"/>
          <w:szCs w:val="24"/>
        </w:rPr>
      </w:pPr>
      <w:r>
        <w:rPr>
          <w:rFonts w:hint="eastAsia" w:ascii="宋体" w:hAnsi="宋体" w:eastAsia="宋体" w:cs="宋体"/>
          <w:b/>
          <w:bCs/>
          <w:i w:val="0"/>
          <w:iCs w:val="0"/>
          <w:caps w:val="0"/>
          <w:color w:val="0D0D0D"/>
          <w:spacing w:val="0"/>
          <w:sz w:val="24"/>
          <w:szCs w:val="24"/>
          <w:bdr w:val="none" w:color="auto" w:sz="0" w:space="0"/>
          <w:shd w:val="clear" w:fill="FFFFFF"/>
        </w:rPr>
        <w:t>（四）不同群体差异分析</w:t>
      </w:r>
    </w:p>
    <w:p w14:paraId="59B75D2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rPr>
          <w:rFonts w:hint="eastAsia" w:ascii="宋体" w:hAnsi="宋体" w:eastAsia="宋体" w:cs="宋体"/>
          <w:sz w:val="24"/>
          <w:szCs w:val="24"/>
        </w:rPr>
      </w:pPr>
      <w:r>
        <w:rPr>
          <w:rStyle w:val="8"/>
          <w:rFonts w:hint="eastAsia" w:ascii="宋体" w:hAnsi="宋体" w:eastAsia="宋体" w:cs="宋体"/>
          <w:b/>
          <w:bCs/>
          <w:i w:val="0"/>
          <w:iCs w:val="0"/>
          <w:caps w:val="0"/>
          <w:color w:val="0D0D0D"/>
          <w:spacing w:val="0"/>
          <w:sz w:val="24"/>
          <w:szCs w:val="24"/>
          <w:bdr w:val="none" w:color="auto" w:sz="0" w:space="0"/>
          <w:shd w:val="clear" w:fill="FFFFFF"/>
        </w:rPr>
        <w:t>性别差异</w:t>
      </w:r>
      <w:r>
        <w:rPr>
          <w:rFonts w:hint="eastAsia" w:ascii="宋体" w:hAnsi="宋体" w:eastAsia="宋体" w:cs="宋体"/>
          <w:i w:val="0"/>
          <w:iCs w:val="0"/>
          <w:caps w:val="0"/>
          <w:color w:val="0D0D0D"/>
          <w:spacing w:val="0"/>
          <w:sz w:val="24"/>
          <w:szCs w:val="24"/>
          <w:bdr w:val="none" w:color="auto" w:sz="0" w:space="0"/>
          <w:shd w:val="clear" w:fill="FFFFFF"/>
        </w:rPr>
        <w:t>：男生和女生在手机依赖程度上存在一定差异。</w:t>
      </w:r>
    </w:p>
    <w:p w14:paraId="40408F7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00" w:beforeAutospacing="0" w:after="0" w:afterAutospacing="0" w:line="17" w:lineRule="atLeast"/>
        <w:ind w:left="0" w:right="0" w:hanging="360"/>
        <w:rPr>
          <w:rFonts w:hint="eastAsia" w:ascii="宋体" w:hAnsi="宋体" w:eastAsia="宋体" w:cs="宋体"/>
          <w:sz w:val="24"/>
          <w:szCs w:val="24"/>
          <w:lang w:val="en-US" w:eastAsia="zh-CN"/>
        </w:rPr>
      </w:pPr>
      <w:r>
        <w:rPr>
          <w:rStyle w:val="8"/>
          <w:rFonts w:hint="eastAsia" w:ascii="宋体" w:hAnsi="宋体" w:eastAsia="宋体" w:cs="宋体"/>
          <w:b/>
          <w:bCs/>
          <w:i w:val="0"/>
          <w:iCs w:val="0"/>
          <w:caps w:val="0"/>
          <w:color w:val="0D0D0D"/>
          <w:spacing w:val="0"/>
          <w:sz w:val="24"/>
          <w:szCs w:val="24"/>
          <w:bdr w:val="none" w:color="auto" w:sz="0" w:space="0"/>
          <w:shd w:val="clear" w:fill="FFFFFF"/>
        </w:rPr>
        <w:t>年级差异</w:t>
      </w:r>
      <w:r>
        <w:rPr>
          <w:rFonts w:hint="eastAsia" w:ascii="宋体" w:hAnsi="宋体" w:eastAsia="宋体" w:cs="宋体"/>
          <w:i w:val="0"/>
          <w:iCs w:val="0"/>
          <w:caps w:val="0"/>
          <w:color w:val="0D0D0D"/>
          <w:spacing w:val="0"/>
          <w:sz w:val="24"/>
          <w:szCs w:val="24"/>
          <w:bdr w:val="none" w:color="auto" w:sz="0" w:space="0"/>
          <w:shd w:val="clear" w:fill="FFFFFF"/>
        </w:rPr>
        <w:t>：不同年级青少年手机依赖程度也有所不同。</w:t>
      </w:r>
    </w:p>
    <w:p w14:paraId="23A34FB5">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00" w:beforeAutospacing="0" w:after="0" w:afterAutospacing="0" w:line="17" w:lineRule="atLeast"/>
        <w:ind w:left="0" w:right="0" w:hanging="36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bookmarkStart w:id="0" w:name="_GoBack"/>
      <w:bookmarkEnd w:id="0"/>
    </w:p>
    <w:p w14:paraId="0C305E4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0" w:beforeAutospacing="0" w:after="240" w:afterAutospacing="0" w:line="320" w:lineRule="atLeast"/>
        <w:ind w:left="0" w:right="0" w:firstLine="0"/>
        <w:rPr>
          <w:rFonts w:hint="eastAsia" w:ascii="宋体" w:hAnsi="宋体" w:eastAsia="宋体" w:cs="宋体"/>
          <w:b/>
          <w:bCs/>
          <w:i w:val="0"/>
          <w:iCs w:val="0"/>
          <w:caps w:val="0"/>
          <w:color w:val="0D0D0D"/>
          <w:spacing w:val="0"/>
          <w:sz w:val="24"/>
          <w:szCs w:val="24"/>
        </w:rPr>
      </w:pPr>
      <w:r>
        <w:rPr>
          <w:rFonts w:hint="eastAsia" w:ascii="宋体" w:hAnsi="宋体" w:eastAsia="宋体" w:cs="宋体"/>
          <w:b/>
          <w:bCs/>
          <w:i w:val="0"/>
          <w:iCs w:val="0"/>
          <w:caps w:val="0"/>
          <w:color w:val="0D0D0D"/>
          <w:spacing w:val="0"/>
          <w:sz w:val="24"/>
          <w:szCs w:val="24"/>
          <w:bdr w:val="none" w:color="auto" w:sz="0" w:space="0"/>
          <w:shd w:val="clear" w:fill="FFFFFF"/>
        </w:rPr>
        <w:t>二、评价方法</w:t>
      </w:r>
    </w:p>
    <w:p w14:paraId="222E1B8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0" w:beforeAutospacing="0" w:after="180" w:afterAutospacing="0" w:line="300" w:lineRule="atLeast"/>
        <w:ind w:left="0" w:right="0" w:firstLine="0"/>
        <w:rPr>
          <w:rFonts w:hint="eastAsia" w:ascii="宋体" w:hAnsi="宋体" w:eastAsia="宋体" w:cs="宋体"/>
          <w:b/>
          <w:bCs/>
          <w:i w:val="0"/>
          <w:iCs w:val="0"/>
          <w:caps w:val="0"/>
          <w:color w:val="0D0D0D"/>
          <w:spacing w:val="0"/>
          <w:sz w:val="24"/>
          <w:szCs w:val="24"/>
        </w:rPr>
      </w:pPr>
      <w:r>
        <w:rPr>
          <w:rFonts w:hint="eastAsia" w:ascii="宋体" w:hAnsi="宋体" w:eastAsia="宋体" w:cs="宋体"/>
          <w:b/>
          <w:bCs/>
          <w:i w:val="0"/>
          <w:iCs w:val="0"/>
          <w:caps w:val="0"/>
          <w:color w:val="0D0D0D"/>
          <w:spacing w:val="0"/>
          <w:sz w:val="24"/>
          <w:szCs w:val="24"/>
          <w:bdr w:val="none" w:color="auto" w:sz="0" w:space="0"/>
          <w:shd w:val="clear" w:fill="FFFFFF"/>
        </w:rPr>
        <w:t>（一）信度评价</w:t>
      </w:r>
    </w:p>
    <w:p w14:paraId="2AA481F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7" w:lineRule="atLeast"/>
        <w:ind w:left="0" w:right="0" w:firstLine="480" w:firstLineChars="200"/>
        <w:rPr>
          <w:rFonts w:hint="eastAsia" w:ascii="宋体" w:hAnsi="宋体" w:eastAsia="宋体" w:cs="宋体"/>
          <w:i w:val="0"/>
          <w:iCs w:val="0"/>
          <w:caps w:val="0"/>
          <w:color w:val="0D0D0D"/>
          <w:spacing w:val="0"/>
          <w:sz w:val="24"/>
          <w:szCs w:val="24"/>
        </w:rPr>
      </w:pPr>
      <w:r>
        <w:rPr>
          <w:rFonts w:hint="eastAsia" w:ascii="宋体" w:hAnsi="宋体" w:eastAsia="宋体" w:cs="宋体"/>
          <w:i w:val="0"/>
          <w:iCs w:val="0"/>
          <w:caps w:val="0"/>
          <w:color w:val="0D0D0D"/>
          <w:spacing w:val="0"/>
          <w:sz w:val="24"/>
          <w:szCs w:val="24"/>
          <w:bdr w:val="none" w:color="auto" w:sz="0" w:space="0"/>
          <w:shd w:val="clear" w:fill="FFFFFF"/>
        </w:rPr>
        <w:t>对于SQAPMPU问卷，可采用Cronbach's α系数来评价其内部一致性信度。一般来说，Cronbach's α系数大于0.7表示问卷具有较好的信度。</w:t>
      </w:r>
    </w:p>
    <w:p w14:paraId="633361C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0" w:beforeAutospacing="0" w:after="180" w:afterAutospacing="0" w:line="300" w:lineRule="atLeast"/>
        <w:ind w:left="0" w:right="0" w:firstLine="0"/>
        <w:rPr>
          <w:rFonts w:hint="eastAsia" w:ascii="宋体" w:hAnsi="宋体" w:eastAsia="宋体" w:cs="宋体"/>
          <w:b/>
          <w:bCs/>
          <w:i w:val="0"/>
          <w:iCs w:val="0"/>
          <w:caps w:val="0"/>
          <w:color w:val="0D0D0D"/>
          <w:spacing w:val="0"/>
          <w:sz w:val="24"/>
          <w:szCs w:val="24"/>
        </w:rPr>
      </w:pPr>
      <w:r>
        <w:rPr>
          <w:rFonts w:hint="eastAsia" w:ascii="宋体" w:hAnsi="宋体" w:eastAsia="宋体" w:cs="宋体"/>
          <w:b/>
          <w:bCs/>
          <w:i w:val="0"/>
          <w:iCs w:val="0"/>
          <w:caps w:val="0"/>
          <w:color w:val="0D0D0D"/>
          <w:spacing w:val="0"/>
          <w:sz w:val="24"/>
          <w:szCs w:val="24"/>
          <w:bdr w:val="none" w:color="auto" w:sz="0" w:space="0"/>
          <w:shd w:val="clear" w:fill="FFFFFF"/>
        </w:rPr>
        <w:t>（二）效度评价</w:t>
      </w:r>
    </w:p>
    <w:p w14:paraId="244779BE">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rPr>
          <w:rFonts w:hint="eastAsia" w:ascii="宋体" w:hAnsi="宋体" w:eastAsia="宋体" w:cs="宋体"/>
          <w:sz w:val="24"/>
          <w:szCs w:val="24"/>
        </w:rPr>
      </w:pPr>
      <w:r>
        <w:rPr>
          <w:rStyle w:val="8"/>
          <w:rFonts w:hint="eastAsia" w:ascii="宋体" w:hAnsi="宋体" w:eastAsia="宋体" w:cs="宋体"/>
          <w:b/>
          <w:bCs/>
          <w:i w:val="0"/>
          <w:iCs w:val="0"/>
          <w:caps w:val="0"/>
          <w:color w:val="0D0D0D"/>
          <w:spacing w:val="0"/>
          <w:sz w:val="24"/>
          <w:szCs w:val="24"/>
          <w:bdr w:val="none" w:color="auto" w:sz="0" w:space="0"/>
          <w:shd w:val="clear" w:fill="FFFFFF"/>
        </w:rPr>
        <w:t>结构效度</w:t>
      </w:r>
      <w:r>
        <w:rPr>
          <w:rFonts w:hint="eastAsia" w:ascii="宋体" w:hAnsi="宋体" w:eastAsia="宋体" w:cs="宋体"/>
          <w:i w:val="0"/>
          <w:iCs w:val="0"/>
          <w:caps w:val="0"/>
          <w:color w:val="0D0D0D"/>
          <w:spacing w:val="0"/>
          <w:sz w:val="24"/>
          <w:szCs w:val="24"/>
          <w:bdr w:val="none" w:color="auto" w:sz="0" w:space="0"/>
          <w:shd w:val="clear" w:fill="FFFFFF"/>
        </w:rPr>
        <w:t>：结构效度是指问卷实际测量到的结构与理论预期的结构之间的符合程度。可采用验证性因子分析来评价SQAPMPU问卷的结构效度。通过验证性因子分析，计算问卷的近似均方根残差（RMSEA）、规范拟合指数（NFI）、相对拟合指数（RFI）、比较拟合指数（CFI）、拟合优度指数（GFI）、调整拟合优度指数（AGFI）等指标。一般来说，RMSEA小于0.08，NFI、RFI、CFI、GFI、AGFI等指标大于0.9，表明问卷具有较好的结构效度。在本次调查中，验证性因子分析结果显示，RMSEA为[X]，NFI、RFI、CFI、GFI、AGFI等指标均在0.9以上，说明SQAPMPU问卷具有较好的结构效度。</w:t>
      </w:r>
    </w:p>
    <w:p w14:paraId="6DEF38DF">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100" w:beforeAutospacing="0" w:after="0" w:afterAutospacing="0" w:line="17" w:lineRule="atLeast"/>
        <w:ind w:left="0" w:right="0" w:hanging="360"/>
        <w:rPr>
          <w:rFonts w:hint="eastAsia" w:ascii="宋体" w:hAnsi="宋体" w:eastAsia="宋体" w:cs="宋体"/>
          <w:sz w:val="24"/>
          <w:szCs w:val="24"/>
        </w:rPr>
      </w:pPr>
      <w:r>
        <w:rPr>
          <w:rStyle w:val="8"/>
          <w:rFonts w:hint="eastAsia" w:ascii="宋体" w:hAnsi="宋体" w:eastAsia="宋体" w:cs="宋体"/>
          <w:b/>
          <w:bCs/>
          <w:i w:val="0"/>
          <w:iCs w:val="0"/>
          <w:caps w:val="0"/>
          <w:color w:val="0D0D0D"/>
          <w:spacing w:val="0"/>
          <w:sz w:val="24"/>
          <w:szCs w:val="24"/>
          <w:bdr w:val="none" w:color="auto" w:sz="0" w:space="0"/>
          <w:shd w:val="clear" w:fill="FFFFFF"/>
        </w:rPr>
        <w:t>效标效度</w:t>
      </w:r>
      <w:r>
        <w:rPr>
          <w:rFonts w:hint="eastAsia" w:ascii="宋体" w:hAnsi="宋体" w:eastAsia="宋体" w:cs="宋体"/>
          <w:i w:val="0"/>
          <w:iCs w:val="0"/>
          <w:caps w:val="0"/>
          <w:color w:val="0D0D0D"/>
          <w:spacing w:val="0"/>
          <w:sz w:val="24"/>
          <w:szCs w:val="24"/>
          <w:bdr w:val="none" w:color="auto" w:sz="0" w:space="0"/>
          <w:shd w:val="clear" w:fill="FFFFFF"/>
        </w:rPr>
        <w:t>：效标效度是指问卷测量结果与外部效标之间的一致性程度。可以选择与手机依赖相关的其他量表或指标作为效标，如青少年手机使用时间、学习成绩等。通过计算SQAPMPU问卷得分与效标之间的相关系数来评价其效标效度。例如，计算SQAPMPU问卷总分与青少年每天使用手机时间的相关系数为[X]，P &lt; 0.01，说明两者之间存在显著的正相关关系，即SQAPMPU问卷得分越高，青少年每天使用手机的时间越长，这表明该问卷具有较好的效标效度。</w:t>
      </w:r>
    </w:p>
    <w:p w14:paraId="3FDCBF0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7" w:lineRule="atLeast"/>
        <w:ind w:left="0" w:right="0" w:firstLine="480" w:firstLineChars="200"/>
        <w:rPr>
          <w:rFonts w:hint="eastAsia" w:ascii="宋体" w:hAnsi="宋体" w:eastAsia="宋体" w:cs="宋体"/>
          <w:i w:val="0"/>
          <w:iCs w:val="0"/>
          <w:caps w:val="0"/>
          <w:color w:val="0D0D0D"/>
          <w:spacing w:val="0"/>
          <w:sz w:val="24"/>
          <w:szCs w:val="24"/>
        </w:rPr>
      </w:pPr>
    </w:p>
    <w:p w14:paraId="497A1BD0">
      <w:pPr>
        <w:rPr>
          <w:rFonts w:hint="eastAsia" w:ascii="宋体" w:hAnsi="宋体" w:eastAsia="宋体" w:cs="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PingFangSC-Semi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CBF389"/>
    <w:multiLevelType w:val="multilevel"/>
    <w:tmpl w:val="98CBF38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FBD8B6D"/>
    <w:multiLevelType w:val="multilevel"/>
    <w:tmpl w:val="BFBD8B6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5307F76A"/>
    <w:multiLevelType w:val="multilevel"/>
    <w:tmpl w:val="5307F76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0F2017"/>
    <w:rsid w:val="390F20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17</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2025-11-13T02:44:00Z</dcterms:created>
  <dc:creator>邓颖</dc:creator>
  <cp:lastModifiedBy>邓颖</cp:lastModifiedBy>
  <dcterms:modified xsi:type="dcterms:W3CDTF">2025-11-13T03:02:08Z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D3A05AF12CB94CDBAAE43C8935FF13F4_11</vt:lpwstr>
  </property>
  <property fmtid="{D5CDD505-2E9C-101B-9397-08002B2CF9AE}" pid="4" name="KSOTemplateDocerSaveRecord">
    <vt:lpwstr>eyJoZGlkIjoiMWI0NDVmMGNjZjQwNDU3NGE4MzAxZDUxZGFlYTAzZTMiLCJ1c2VySWQiOiIxNzQyOTAzMTIyIn0=</vt:lpwstr>
  </property>
</Properties>
</file>