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Define selectivity at age a in year y as S</w:t>
      </w:r>
      <w:r w:rsidRPr="00D266D8">
        <w:rPr>
          <w:color w:val="000000" w:themeColor="text1"/>
          <w:vertAlign w:val="subscript"/>
        </w:rPr>
        <w:t>a,y</w:t>
      </w:r>
      <w:r>
        <w:rPr>
          <w:color w:val="000000" w:themeColor="text1"/>
        </w:rPr>
        <w:t xml:space="preserve"> = F</w:t>
      </w:r>
      <w:r w:rsidRPr="00D266D8">
        <w:rPr>
          <w:color w:val="000000" w:themeColor="text1"/>
          <w:vertAlign w:val="subscript"/>
        </w:rPr>
        <w:t>a,y</w:t>
      </w:r>
      <w:r>
        <w:rPr>
          <w:color w:val="000000" w:themeColor="text1"/>
        </w:rPr>
        <w:t xml:space="preserve"> / sum</w:t>
      </w:r>
      <w:r w:rsidRPr="00D266D8">
        <w:rPr>
          <w:color w:val="000000" w:themeColor="text1"/>
          <w:vertAlign w:val="subscript"/>
        </w:rPr>
        <w:t>a</w:t>
      </w:r>
      <w:r>
        <w:rPr>
          <w:color w:val="000000" w:themeColor="text1"/>
        </w:rPr>
        <w:t>(F</w:t>
      </w:r>
      <w:r w:rsidRPr="00D266D8">
        <w:rPr>
          <w:color w:val="000000" w:themeColor="text1"/>
          <w:vertAlign w:val="subscript"/>
        </w:rPr>
        <w:t>a,y</w:t>
      </w:r>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Explored four different structures on F</w:t>
      </w:r>
      <w:r w:rsidRPr="00D266D8">
        <w:rPr>
          <w:color w:val="000000" w:themeColor="text1"/>
          <w:vertAlign w:val="subscript"/>
        </w:rPr>
        <w:t>a,y</w:t>
      </w:r>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Correlation between ages is an AR(1) function of difference between ages (rho = x</w:t>
      </w:r>
      <w:r w:rsidR="00E227B7" w:rsidRPr="00E227B7">
        <w:rPr>
          <w:color w:val="000000" w:themeColor="text1"/>
          <w:vertAlign w:val="superscript"/>
        </w:rPr>
        <w:t>|age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north sea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r>
        <w:t>Large differences in terminal year SSB and F depending on correlation structure.</w:t>
      </w:r>
    </w:p>
    <w:p w14:paraId="70BEFC12" w14:textId="77777777" w:rsidR="002E13AD" w:rsidRDefault="002E13AD"/>
    <w:p w14:paraId="553C3B3E" w14:textId="77777777" w:rsidR="002E13AD" w:rsidRDefault="002E13AD"/>
    <w:p w14:paraId="69D93F57" w14:textId="6B7CBF25" w:rsidR="002E13AD" w:rsidRDefault="002E13AD">
      <w:pPr>
        <w:rPr>
          <w:b/>
        </w:rPr>
      </w:pPr>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The general correlation structure to be considered is R</w:t>
      </w:r>
      <w:r w:rsidRPr="009E4DD8">
        <w:rPr>
          <w:color w:val="000000" w:themeColor="text1"/>
          <w:vertAlign w:val="subscript"/>
        </w:rPr>
        <w:t>a</w:t>
      </w:r>
      <w:r>
        <w:rPr>
          <w:color w:val="000000" w:themeColor="text1"/>
          <w:vertAlign w:val="subscript"/>
        </w:rPr>
        <w:t>x</w:t>
      </w:r>
      <w:r w:rsidRPr="009E4DD8">
        <w:rPr>
          <w:color w:val="000000" w:themeColor="text1"/>
          <w:vertAlign w:val="subscript"/>
        </w:rPr>
        <w:t>,a</w:t>
      </w:r>
      <w:r>
        <w:rPr>
          <w:color w:val="000000" w:themeColor="text1"/>
          <w:vertAlign w:val="subscript"/>
        </w:rPr>
        <w:t xml:space="preserve">y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parameters which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r w:rsidR="00C146D8">
        <w:rPr>
          <w:color w:val="000000" w:themeColor="text1"/>
        </w:rPr>
        <w:t>AR(1)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AR(1)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s, irregular AR(1)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Large differences were found in Bmsy and Fmsy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2016, Albert</w:t>
      </w:r>
      <w:r w:rsidR="00F25F83">
        <w:rPr>
          <w:b/>
          <w:color w:val="000000" w:themeColor="text1"/>
        </w:rPr>
        <w:t>se</w:t>
      </w:r>
      <w:r>
        <w:rPr>
          <w:b/>
          <w:color w:val="000000" w:themeColor="text1"/>
        </w:rPr>
        <w:t xml:space="preserve">n, Nielsen, Thygesen,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(i)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2017, Thygesen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r w:rsidR="00E877C0">
        <w:rPr>
          <w:color w:val="000000" w:themeColor="text1"/>
        </w:rPr>
        <w:t xml:space="preserve">Idea being that one-step-ahead residuals should be IID if the model is correctly specified.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was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2018, Aeberhard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
    <w:p w14:paraId="22736467" w14:textId="77777777" w:rsidR="00E71916" w:rsidRDefault="00E71916">
      <w:pPr>
        <w:rPr>
          <w:color w:val="000000" w:themeColor="text1"/>
        </w:rPr>
      </w:pPr>
    </w:p>
    <w:p w14:paraId="3FDF7A1E" w14:textId="166261C2" w:rsidR="00E71916" w:rsidRDefault="00E71916">
      <w:pPr>
        <w:rPr>
          <w:color w:val="000000" w:themeColor="text1"/>
        </w:rPr>
      </w:pPr>
      <w:r>
        <w:rPr>
          <w:color w:val="000000" w:themeColor="text1"/>
        </w:rPr>
        <w:t>North Sea cod case study</w:t>
      </w:r>
      <w:r w:rsidR="0070386A">
        <w:rPr>
          <w:color w:val="000000" w:themeColor="text1"/>
        </w:rPr>
        <w:t xml:space="preserve"> of SAM</w:t>
      </w:r>
      <w:r>
        <w:rPr>
          <w:color w:val="000000" w:themeColor="text1"/>
        </w:rPr>
        <w:t>.</w:t>
      </w:r>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r>
        <w:rPr>
          <w:b/>
          <w:color w:val="000000" w:themeColor="text1"/>
        </w:rPr>
        <w:t>2018, Aldrin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
    <w:p w14:paraId="05F1ECD5" w14:textId="77777777" w:rsidR="00D76344" w:rsidRDefault="00D76344" w:rsidP="0030646E">
      <w:pPr>
        <w:rPr>
          <w:b/>
          <w:color w:val="000000" w:themeColor="text1"/>
        </w:rPr>
      </w:pPr>
    </w:p>
    <w:p w14:paraId="2D176592" w14:textId="49BCB15C" w:rsidR="00D76344" w:rsidRDefault="00983544" w:rsidP="0030646E">
      <w:pPr>
        <w:rPr>
          <w:color w:val="000000" w:themeColor="text1"/>
        </w:rPr>
      </w:pPr>
      <w:r>
        <w:rPr>
          <w:color w:val="000000" w:themeColor="text1"/>
        </w:rPr>
        <w:t xml:space="preserve">They say that the process error can </w:t>
      </w:r>
      <w:r w:rsidR="00AB3FFF">
        <w:rPr>
          <w:color w:val="000000" w:themeColor="text1"/>
        </w:rPr>
        <w:t xml:space="preserve">(should?) </w:t>
      </w:r>
      <w:r>
        <w:rPr>
          <w:color w:val="000000" w:themeColor="text1"/>
        </w:rPr>
        <w:t>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and fit with the standard sam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They also highlight how the catch observation equation implies that observed catch is a factor of exp(sd/2)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sd.</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Similarly, they show that the F equation implies that F will increase by exp(sd_f/2)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5541AD3F" w:rsidR="00BE1D43" w:rsidRDefault="00BE1D43" w:rsidP="0030646E">
      <w:pPr>
        <w:rPr>
          <w:color w:val="000000" w:themeColor="text1"/>
        </w:rPr>
      </w:pPr>
      <w:r>
        <w:rPr>
          <w:color w:val="000000" w:themeColor="text1"/>
        </w:rPr>
        <w:t>The</w:t>
      </w:r>
      <w:r w:rsidR="00932766">
        <w:rPr>
          <w:color w:val="000000" w:themeColor="text1"/>
        </w:rPr>
        <w:t>y</w:t>
      </w:r>
      <w:r>
        <w:rPr>
          <w:color w:val="000000" w:themeColor="text1"/>
        </w:rPr>
        <w:t xml:space="preserve"> also list some process error sd’s from other stocks.</w:t>
      </w:r>
    </w:p>
    <w:p w14:paraId="351FB01A" w14:textId="77777777" w:rsidR="00932766" w:rsidRDefault="00932766" w:rsidP="0030646E">
      <w:pPr>
        <w:rPr>
          <w:color w:val="000000" w:themeColor="text1"/>
        </w:rPr>
      </w:pPr>
    </w:p>
    <w:p w14:paraId="78BBDACA" w14:textId="77777777" w:rsidR="005009C0" w:rsidRDefault="005009C0" w:rsidP="0030646E">
      <w:pPr>
        <w:rPr>
          <w:b/>
          <w:color w:val="000000" w:themeColor="text1"/>
        </w:rPr>
      </w:pPr>
    </w:p>
    <w:p w14:paraId="6C1550D7" w14:textId="77777777" w:rsidR="005009C0" w:rsidRDefault="005009C0" w:rsidP="0030646E">
      <w:pPr>
        <w:rPr>
          <w:b/>
          <w:color w:val="000000" w:themeColor="text1"/>
        </w:rPr>
      </w:pPr>
      <w:r>
        <w:rPr>
          <w:b/>
          <w:color w:val="000000" w:themeColor="text1"/>
        </w:rPr>
        <w:t>2018, Nielsen &amp; Berg, “</w:t>
      </w:r>
      <w:r w:rsidRPr="005009C0">
        <w:rPr>
          <w:b/>
          <w:color w:val="000000" w:themeColor="text1"/>
        </w:rPr>
        <w:t>Response to: Comments on incongruous formulations in the SAM (state-space assessment model) model and consequences for fish stock assessment</w:t>
      </w:r>
      <w:r>
        <w:rPr>
          <w:b/>
          <w:color w:val="000000" w:themeColor="text1"/>
        </w:rPr>
        <w:t>,” Fisheries Research.</w:t>
      </w:r>
    </w:p>
    <w:p w14:paraId="59C56E84" w14:textId="77777777" w:rsidR="005009C0" w:rsidRDefault="005009C0" w:rsidP="0030646E">
      <w:pPr>
        <w:rPr>
          <w:b/>
          <w:color w:val="000000" w:themeColor="text1"/>
        </w:rPr>
      </w:pPr>
    </w:p>
    <w:p w14:paraId="1BB3A15A" w14:textId="5663E3C4" w:rsidR="00932766" w:rsidRDefault="005009C0" w:rsidP="0030646E">
      <w:pPr>
        <w:rPr>
          <w:color w:val="000000" w:themeColor="text1"/>
        </w:rPr>
      </w:pPr>
      <w:r>
        <w:rPr>
          <w:color w:val="000000" w:themeColor="text1"/>
        </w:rPr>
        <w:t>Response to Aldrin’s paper.</w:t>
      </w:r>
      <w:r>
        <w:rPr>
          <w:b/>
          <w:color w:val="000000" w:themeColor="text1"/>
        </w:rPr>
        <w:t xml:space="preserve"> </w:t>
      </w:r>
      <w:r>
        <w:rPr>
          <w:color w:val="000000" w:themeColor="text1"/>
        </w:rPr>
        <w:t>They state that the model is different</w:t>
      </w:r>
      <w:r w:rsidR="00F00EF7">
        <w:rPr>
          <w:color w:val="000000" w:themeColor="text1"/>
        </w:rPr>
        <w:t xml:space="preserve"> not wrong. </w:t>
      </w:r>
      <w:r w:rsidR="00F661BD">
        <w:rPr>
          <w:color w:val="000000" w:themeColor="text1"/>
        </w:rPr>
        <w:t>They point out that although the mean F and Catch will increase over time when not conditioned on data, the median is stable. The difference is a modeling choice. Catch projections in SAM are based on the median so the bias is not present.</w:t>
      </w:r>
      <w:r w:rsidR="006657D3">
        <w:rPr>
          <w:color w:val="000000" w:themeColor="text1"/>
        </w:rPr>
        <w:t xml:space="preserve"> The alternative catch equation is interesting and should be investigate</w:t>
      </w:r>
      <w:r w:rsidR="00F23A46">
        <w:rPr>
          <w:color w:val="000000" w:themeColor="text1"/>
        </w:rPr>
        <w:t>d</w:t>
      </w:r>
      <w:r w:rsidR="006657D3">
        <w:rPr>
          <w:color w:val="000000" w:themeColor="text1"/>
        </w:rPr>
        <w:t xml:space="preserve"> further, although in cursory analyses it had minimal effect.</w:t>
      </w:r>
    </w:p>
    <w:p w14:paraId="6EAB8E17" w14:textId="77777777" w:rsidR="00356135" w:rsidRDefault="00356135" w:rsidP="0030646E">
      <w:pPr>
        <w:rPr>
          <w:color w:val="000000" w:themeColor="text1"/>
        </w:rPr>
      </w:pPr>
    </w:p>
    <w:p w14:paraId="106E0CC0" w14:textId="77777777" w:rsidR="00764F2C" w:rsidRDefault="00764F2C" w:rsidP="0030646E">
      <w:pPr>
        <w:rPr>
          <w:color w:val="000000" w:themeColor="text1"/>
        </w:rPr>
      </w:pPr>
    </w:p>
    <w:p w14:paraId="4677027D" w14:textId="62E567E1" w:rsidR="00356135" w:rsidRDefault="00356135" w:rsidP="0030646E">
      <w:pPr>
        <w:rPr>
          <w:b/>
          <w:color w:val="000000" w:themeColor="text1"/>
        </w:rPr>
      </w:pPr>
      <w:r>
        <w:rPr>
          <w:b/>
          <w:color w:val="000000" w:themeColor="text1"/>
        </w:rPr>
        <w:t>2018, Subbey, “</w:t>
      </w:r>
      <w:r w:rsidRPr="00356135">
        <w:rPr>
          <w:b/>
          <w:color w:val="000000" w:themeColor="text1"/>
        </w:rPr>
        <w:t>Parameter estimation in stock assessment modelling: caveats with gradient-based algorithms</w:t>
      </w:r>
      <w:r>
        <w:rPr>
          <w:b/>
          <w:color w:val="000000" w:themeColor="text1"/>
        </w:rPr>
        <w:t>,” ICES Journal of Marine Science.</w:t>
      </w:r>
    </w:p>
    <w:p w14:paraId="13B00611" w14:textId="77777777" w:rsidR="00356135" w:rsidRDefault="00356135" w:rsidP="0030646E">
      <w:pPr>
        <w:rPr>
          <w:b/>
          <w:color w:val="000000" w:themeColor="text1"/>
        </w:rPr>
      </w:pPr>
    </w:p>
    <w:p w14:paraId="15CF1B4D" w14:textId="0A90869E" w:rsidR="00356135" w:rsidRDefault="00356135" w:rsidP="0030646E">
      <w:pPr>
        <w:rPr>
          <w:color w:val="000000" w:themeColor="text1"/>
        </w:rPr>
      </w:pPr>
      <w:r>
        <w:rPr>
          <w:color w:val="000000" w:themeColor="text1"/>
        </w:rPr>
        <w:t>Subbey points out how it can be difficult for AD algorithms to find optimum parameter values when the model has a complicated likelihood surface.</w:t>
      </w:r>
    </w:p>
    <w:p w14:paraId="7EAFAB68" w14:textId="77777777" w:rsidR="002F2520" w:rsidRDefault="002F2520" w:rsidP="0030646E">
      <w:pPr>
        <w:rPr>
          <w:color w:val="000000" w:themeColor="text1"/>
        </w:rPr>
      </w:pPr>
    </w:p>
    <w:p w14:paraId="344FB685" w14:textId="6C089952" w:rsidR="002F2520" w:rsidRDefault="002F2520" w:rsidP="0030646E">
      <w:pPr>
        <w:rPr>
          <w:b/>
          <w:color w:val="000000" w:themeColor="text1"/>
        </w:rPr>
      </w:pPr>
      <w:r>
        <w:rPr>
          <w:b/>
          <w:color w:val="000000" w:themeColor="text1"/>
        </w:rPr>
        <w:t>1992, Sullivan, “A Kalman filter approach to catch-at-length analysis,” Biometrics.</w:t>
      </w:r>
    </w:p>
    <w:p w14:paraId="1467C54B" w14:textId="77777777" w:rsidR="002F2520" w:rsidRPr="002F2520" w:rsidRDefault="002F2520" w:rsidP="0030646E">
      <w:pPr>
        <w:rPr>
          <w:b/>
          <w:color w:val="000000" w:themeColor="text1"/>
        </w:rPr>
      </w:pPr>
      <w:bookmarkStart w:id="0" w:name="_GoBack"/>
      <w:bookmarkEnd w:id="0"/>
    </w:p>
    <w:sectPr w:rsidR="002F2520" w:rsidRPr="002F2520"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E23C5"/>
    <w:rsid w:val="000F0D22"/>
    <w:rsid w:val="00103B0C"/>
    <w:rsid w:val="00124C02"/>
    <w:rsid w:val="00142318"/>
    <w:rsid w:val="00167B85"/>
    <w:rsid w:val="001765FD"/>
    <w:rsid w:val="00296047"/>
    <w:rsid w:val="002A7DFA"/>
    <w:rsid w:val="002E13AD"/>
    <w:rsid w:val="002F2520"/>
    <w:rsid w:val="0030646E"/>
    <w:rsid w:val="00356135"/>
    <w:rsid w:val="00364DA5"/>
    <w:rsid w:val="0038205D"/>
    <w:rsid w:val="00382F37"/>
    <w:rsid w:val="00395A1A"/>
    <w:rsid w:val="00426275"/>
    <w:rsid w:val="004D3061"/>
    <w:rsid w:val="004E607E"/>
    <w:rsid w:val="005009C0"/>
    <w:rsid w:val="00545D28"/>
    <w:rsid w:val="005941E8"/>
    <w:rsid w:val="00595D68"/>
    <w:rsid w:val="005C7862"/>
    <w:rsid w:val="005D0B2A"/>
    <w:rsid w:val="005F2C10"/>
    <w:rsid w:val="0063337D"/>
    <w:rsid w:val="006657D3"/>
    <w:rsid w:val="0067297E"/>
    <w:rsid w:val="006E51AA"/>
    <w:rsid w:val="006F6550"/>
    <w:rsid w:val="0070386A"/>
    <w:rsid w:val="00764F2C"/>
    <w:rsid w:val="00784D1C"/>
    <w:rsid w:val="007D1420"/>
    <w:rsid w:val="00810018"/>
    <w:rsid w:val="0088679C"/>
    <w:rsid w:val="00887E0A"/>
    <w:rsid w:val="0089674A"/>
    <w:rsid w:val="008C2DDB"/>
    <w:rsid w:val="008E78E9"/>
    <w:rsid w:val="00912CCB"/>
    <w:rsid w:val="00920C3D"/>
    <w:rsid w:val="0092664B"/>
    <w:rsid w:val="00932766"/>
    <w:rsid w:val="00941983"/>
    <w:rsid w:val="00983544"/>
    <w:rsid w:val="009D581C"/>
    <w:rsid w:val="009E4DD8"/>
    <w:rsid w:val="00A117EC"/>
    <w:rsid w:val="00A76ECA"/>
    <w:rsid w:val="00AB3FFF"/>
    <w:rsid w:val="00AC1803"/>
    <w:rsid w:val="00AD2F2F"/>
    <w:rsid w:val="00B37BC5"/>
    <w:rsid w:val="00B723C4"/>
    <w:rsid w:val="00B811C4"/>
    <w:rsid w:val="00BC4748"/>
    <w:rsid w:val="00BD75CD"/>
    <w:rsid w:val="00BE1D43"/>
    <w:rsid w:val="00C146D8"/>
    <w:rsid w:val="00C14BF4"/>
    <w:rsid w:val="00C23617"/>
    <w:rsid w:val="00C404E0"/>
    <w:rsid w:val="00C410B9"/>
    <w:rsid w:val="00C4628B"/>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00EF7"/>
    <w:rsid w:val="00F23A46"/>
    <w:rsid w:val="00F25F83"/>
    <w:rsid w:val="00F661BD"/>
    <w:rsid w:val="00F7222E"/>
    <w:rsid w:val="00FA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862</Words>
  <Characters>4920</Characters>
  <Application>Microsoft Macintosh Word</Application>
  <DocSecurity>0</DocSecurity>
  <Lines>41</Lines>
  <Paragraphs>11</Paragraphs>
  <ScaleCrop>false</ScaleCrop>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91</cp:revision>
  <dcterms:created xsi:type="dcterms:W3CDTF">2018-10-04T15:32:00Z</dcterms:created>
  <dcterms:modified xsi:type="dcterms:W3CDTF">2018-11-15T15:42:00Z</dcterms:modified>
</cp:coreProperties>
</file>