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9C9A0" w14:textId="51357E9F" w:rsidR="006C7B76" w:rsidRDefault="006C7B76" w:rsidP="006C7B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141F">
        <w:rPr>
          <w:rFonts w:ascii="Arial" w:eastAsia="Times New Roman" w:hAnsi="Arial" w:cs="Arial"/>
          <w:b/>
          <w:lang w:eastAsia="de-DE"/>
        </w:rPr>
        <w:t xml:space="preserve">Sicherheitsdatenblatt </w:t>
      </w:r>
      <w:r>
        <w:rPr>
          <w:rFonts w:ascii="Times New Roman" w:hAnsi="Times New Roman" w:cs="Times New Roman"/>
          <w:b/>
          <w:bCs/>
          <w:sz w:val="24"/>
          <w:szCs w:val="24"/>
        </w:rPr>
        <w:t>gemäß Verordnung 1907/2006/EG</w:t>
      </w:r>
    </w:p>
    <w:p w14:paraId="1206C08C" w14:textId="45162F1A" w:rsidR="000A1AE3" w:rsidRPr="000A1AE3" w:rsidRDefault="000A1AE3" w:rsidP="000A1AE3">
      <w:pPr>
        <w:autoSpaceDE w:val="0"/>
        <w:autoSpaceDN w:val="0"/>
        <w:adjustRightInd w:val="0"/>
        <w:spacing w:after="266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Verordnung (EU) Nr.830/2015 Der Kommission vom 20. Mai 2015 und überarbeitet nach Verordnung (EU) 2020/878</w:t>
      </w:r>
    </w:p>
    <w:p w14:paraId="7A48BC1D" w14:textId="77777777" w:rsidR="006C7B76" w:rsidRDefault="006C7B76" w:rsidP="006C7B76">
      <w:pPr>
        <w:spacing w:after="0" w:line="240" w:lineRule="auto"/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Produktname: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>ABS FibCR20</w:t>
      </w:r>
    </w:p>
    <w:p w14:paraId="53659F31" w14:textId="08ABADB4" w:rsidR="006C7B76" w:rsidRDefault="006C7B76" w:rsidP="006C7B7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iCs/>
          <w:sz w:val="20"/>
          <w:szCs w:val="20"/>
          <w:lang w:eastAsia="de-DE"/>
        </w:rPr>
        <w:t>Druckdatum: 0</w:t>
      </w:r>
      <w:r w:rsidR="007E6BB6">
        <w:rPr>
          <w:rFonts w:ascii="Arial" w:eastAsia="Times New Roman" w:hAnsi="Arial" w:cs="Arial"/>
          <w:bCs/>
          <w:iCs/>
          <w:sz w:val="20"/>
          <w:szCs w:val="20"/>
          <w:lang w:eastAsia="de-DE"/>
        </w:rPr>
        <w:t>1</w:t>
      </w:r>
      <w:r>
        <w:rPr>
          <w:rFonts w:ascii="Arial" w:eastAsia="Times New Roman" w:hAnsi="Arial" w:cs="Arial"/>
          <w:bCs/>
          <w:iCs/>
          <w:sz w:val="20"/>
          <w:szCs w:val="20"/>
          <w:lang w:eastAsia="de-DE"/>
        </w:rPr>
        <w:t>.0</w:t>
      </w:r>
      <w:r w:rsidR="007E6BB6">
        <w:rPr>
          <w:rFonts w:ascii="Arial" w:eastAsia="Times New Roman" w:hAnsi="Arial" w:cs="Arial"/>
          <w:bCs/>
          <w:iCs/>
          <w:sz w:val="20"/>
          <w:szCs w:val="20"/>
          <w:lang w:eastAsia="de-DE"/>
        </w:rPr>
        <w:t>6</w:t>
      </w:r>
      <w:r>
        <w:rPr>
          <w:rFonts w:ascii="Arial" w:eastAsia="Times New Roman" w:hAnsi="Arial" w:cs="Arial"/>
          <w:bCs/>
          <w:iCs/>
          <w:sz w:val="20"/>
          <w:szCs w:val="20"/>
          <w:lang w:eastAsia="de-DE"/>
        </w:rPr>
        <w:t>.202</w:t>
      </w:r>
      <w:r w:rsidR="007E6BB6">
        <w:rPr>
          <w:rFonts w:ascii="Arial" w:eastAsia="Times New Roman" w:hAnsi="Arial" w:cs="Arial"/>
          <w:bCs/>
          <w:iCs/>
          <w:sz w:val="20"/>
          <w:szCs w:val="20"/>
          <w:lang w:eastAsia="de-DE"/>
        </w:rPr>
        <w:t>4</w:t>
      </w:r>
      <w:r>
        <w:rPr>
          <w:rFonts w:ascii="Arial" w:eastAsia="Times New Roman" w:hAnsi="Arial" w:cs="Arial"/>
          <w:bCs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iCs/>
          <w:sz w:val="20"/>
          <w:szCs w:val="20"/>
          <w:lang w:eastAsia="de-DE"/>
        </w:rPr>
        <w:tab/>
        <w:t>Version 2.</w:t>
      </w:r>
      <w:r w:rsidR="007E6BB6">
        <w:rPr>
          <w:rFonts w:ascii="Arial" w:eastAsia="Times New Roman" w:hAnsi="Arial" w:cs="Arial"/>
          <w:bCs/>
          <w:iCs/>
          <w:sz w:val="20"/>
          <w:szCs w:val="20"/>
          <w:lang w:eastAsia="de-DE"/>
        </w:rPr>
        <w:t>1</w:t>
      </w:r>
      <w:r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Überarbeitet am: </w:t>
      </w:r>
      <w:r w:rsidR="007E6BB6">
        <w:rPr>
          <w:rFonts w:ascii="Arial" w:eastAsia="Times New Roman" w:hAnsi="Arial" w:cs="Arial"/>
          <w:sz w:val="20"/>
          <w:szCs w:val="20"/>
          <w:lang w:eastAsia="de-DE"/>
        </w:rPr>
        <w:t>01</w:t>
      </w:r>
      <w:r>
        <w:rPr>
          <w:rFonts w:ascii="Arial" w:eastAsia="Times New Roman" w:hAnsi="Arial" w:cs="Arial"/>
          <w:sz w:val="20"/>
          <w:szCs w:val="20"/>
          <w:lang w:eastAsia="de-DE"/>
        </w:rPr>
        <w:t>.0</w:t>
      </w:r>
      <w:r w:rsidR="007E6BB6">
        <w:rPr>
          <w:rFonts w:ascii="Arial" w:eastAsia="Times New Roman" w:hAnsi="Arial" w:cs="Arial"/>
          <w:sz w:val="20"/>
          <w:szCs w:val="20"/>
          <w:lang w:eastAsia="de-DE"/>
        </w:rPr>
        <w:t>6</w:t>
      </w:r>
      <w:r>
        <w:rPr>
          <w:rFonts w:ascii="Arial" w:eastAsia="Times New Roman" w:hAnsi="Arial" w:cs="Arial"/>
          <w:sz w:val="20"/>
          <w:szCs w:val="20"/>
          <w:lang w:eastAsia="de-DE"/>
        </w:rPr>
        <w:t>.2024</w:t>
      </w:r>
    </w:p>
    <w:p w14:paraId="7C9901F9" w14:textId="77777777" w:rsidR="006C7B76" w:rsidRPr="00D9070F" w:rsidRDefault="006C7B76" w:rsidP="006C7B76">
      <w:pPr>
        <w:spacing w:after="0" w:line="240" w:lineRule="auto"/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</w:pPr>
    </w:p>
    <w:p w14:paraId="14EDB23C" w14:textId="65BCD504" w:rsidR="006C7B76" w:rsidRPr="00AD141F" w:rsidRDefault="006C7B76" w:rsidP="006C7B76">
      <w:pPr>
        <w:pStyle w:val="berschrift1"/>
        <w:numPr>
          <w:ilvl w:val="0"/>
          <w:numId w:val="2"/>
        </w:numPr>
        <w:rPr>
          <w:rFonts w:eastAsia="Times New Roman"/>
          <w:lang w:eastAsia="de-DE"/>
        </w:rPr>
      </w:pPr>
      <w:r w:rsidRPr="00AD141F">
        <w:rPr>
          <w:rFonts w:eastAsia="Times New Roman"/>
          <w:lang w:eastAsia="de-DE"/>
        </w:rPr>
        <w:t>Stoff-/ Zubereitungs- und Firmenbezeichnung</w:t>
      </w:r>
    </w:p>
    <w:p w14:paraId="7DDB562D" w14:textId="77777777" w:rsidR="006C7B76" w:rsidRPr="008D60BC" w:rsidRDefault="006C7B76" w:rsidP="006C7B7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de-DE"/>
        </w:rPr>
      </w:pPr>
    </w:p>
    <w:p w14:paraId="6285E6E5" w14:textId="77777777" w:rsidR="006C7B76" w:rsidRPr="00AD141F" w:rsidRDefault="006C7B76" w:rsidP="006C7B76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Produktname: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>ABS FibCR20</w:t>
      </w:r>
    </w:p>
    <w:p w14:paraId="45F7C46B" w14:textId="77777777" w:rsidR="006C7B76" w:rsidRPr="00AD141F" w:rsidRDefault="006C7B76" w:rsidP="006C7B76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4D3725EC" w14:textId="77777777" w:rsidR="006C7B76" w:rsidRPr="00A01386" w:rsidRDefault="006C7B76" w:rsidP="006C7B76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01386">
        <w:rPr>
          <w:rFonts w:ascii="Arial" w:eastAsia="Times New Roman" w:hAnsi="Arial" w:cs="Arial"/>
          <w:sz w:val="20"/>
          <w:szCs w:val="20"/>
          <w:lang w:eastAsia="de-DE"/>
        </w:rPr>
        <w:t>Relevante identifizierte Verwendungen: Polymer für die Kunststoffverarbeitung</w:t>
      </w:r>
    </w:p>
    <w:p w14:paraId="57B69B89" w14:textId="77777777" w:rsidR="006C7B76" w:rsidRDefault="006C7B76" w:rsidP="006C7B76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01386">
        <w:rPr>
          <w:rFonts w:ascii="Arial" w:eastAsia="Times New Roman" w:hAnsi="Arial" w:cs="Arial"/>
          <w:sz w:val="20"/>
          <w:szCs w:val="20"/>
          <w:lang w:eastAsia="de-DE"/>
        </w:rPr>
        <w:t>Geeigneter Verwendungszweck: Polymer, nur für industrielle Weiterverarbeitung</w:t>
      </w:r>
    </w:p>
    <w:p w14:paraId="1379B794" w14:textId="1F8B9090" w:rsidR="006C7B76" w:rsidRPr="00A01386" w:rsidRDefault="006C7B76" w:rsidP="006C7B76">
      <w:pPr>
        <w:spacing w:after="0" w:line="240" w:lineRule="auto"/>
        <w:ind w:left="360"/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</w:pPr>
      <w:r w:rsidRPr="000A1AE3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Hersteller</w:t>
      </w:r>
      <w:r w:rsidR="000A1AE3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:</w:t>
      </w:r>
      <w:r w:rsidRPr="000A1AE3">
        <w:rPr>
          <w:rFonts w:ascii="Arial" w:eastAsia="Times New Roman" w:hAnsi="Arial" w:cs="Arial"/>
          <w:b/>
          <w:bCs/>
          <w:sz w:val="20"/>
          <w:szCs w:val="20"/>
          <w:lang w:eastAsia="de-DE"/>
        </w:rPr>
        <w:t xml:space="preserve"> 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01386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01386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01386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01386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>CR-3D</w:t>
      </w:r>
    </w:p>
    <w:p w14:paraId="3F847651" w14:textId="77777777" w:rsidR="006C7B76" w:rsidRPr="00A01386" w:rsidRDefault="006C7B76" w:rsidP="006C7B76">
      <w:pPr>
        <w:keepNext/>
        <w:spacing w:after="0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 w:rsidRPr="00A01386">
        <w:rPr>
          <w:rFonts w:ascii="Arial" w:eastAsia="Times New Roman" w:hAnsi="Arial" w:cs="Arial"/>
          <w:b/>
          <w:bCs/>
          <w:sz w:val="20"/>
          <w:szCs w:val="20"/>
          <w:lang w:eastAsia="de-DE"/>
        </w:rPr>
        <w:tab/>
      </w:r>
      <w:r w:rsidRPr="00A01386">
        <w:rPr>
          <w:rFonts w:ascii="Arial" w:eastAsia="Times New Roman" w:hAnsi="Arial" w:cs="Arial"/>
          <w:b/>
          <w:bCs/>
          <w:sz w:val="20"/>
          <w:szCs w:val="20"/>
          <w:lang w:eastAsia="de-DE"/>
        </w:rPr>
        <w:tab/>
      </w:r>
      <w:r w:rsidRPr="00A01386">
        <w:rPr>
          <w:rFonts w:ascii="Arial" w:eastAsia="Times New Roman" w:hAnsi="Arial" w:cs="Arial"/>
          <w:b/>
          <w:bCs/>
          <w:sz w:val="20"/>
          <w:szCs w:val="20"/>
          <w:lang w:eastAsia="de-DE"/>
        </w:rPr>
        <w:tab/>
      </w:r>
      <w:r w:rsidRPr="00A01386">
        <w:rPr>
          <w:rFonts w:ascii="Arial" w:eastAsia="Times New Roman" w:hAnsi="Arial" w:cs="Arial"/>
          <w:b/>
          <w:bCs/>
          <w:sz w:val="20"/>
          <w:szCs w:val="20"/>
          <w:lang w:eastAsia="de-DE"/>
        </w:rPr>
        <w:tab/>
      </w:r>
      <w:r w:rsidRPr="00A01386">
        <w:rPr>
          <w:rFonts w:ascii="Arial" w:eastAsia="Times New Roman" w:hAnsi="Arial" w:cs="Arial"/>
          <w:b/>
          <w:bCs/>
          <w:sz w:val="20"/>
          <w:szCs w:val="20"/>
          <w:lang w:eastAsia="de-DE"/>
        </w:rPr>
        <w:tab/>
      </w:r>
      <w:r w:rsidRPr="00A01386">
        <w:rPr>
          <w:rFonts w:ascii="Arial" w:eastAsia="Times New Roman" w:hAnsi="Arial" w:cs="Arial"/>
          <w:b/>
          <w:bCs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Saliterstraße</w:t>
      </w:r>
      <w:proofErr w:type="spellEnd"/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 xml:space="preserve"> 25</w:t>
      </w:r>
    </w:p>
    <w:p w14:paraId="57BBDB30" w14:textId="77777777" w:rsidR="006C7B76" w:rsidRDefault="006C7B76" w:rsidP="006C7B76">
      <w:pPr>
        <w:spacing w:after="0" w:line="240" w:lineRule="auto"/>
        <w:ind w:left="360"/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</w:pPr>
      <w:r w:rsidRPr="00FF59D2">
        <w:rPr>
          <w:rFonts w:ascii="Arial" w:eastAsia="Times New Roman" w:hAnsi="Arial" w:cs="Arial"/>
          <w:b/>
          <w:bCs/>
          <w:iCs/>
          <w:color w:val="FFFFFF" w:themeColor="background1"/>
          <w:sz w:val="20"/>
          <w:szCs w:val="20"/>
          <w:lang w:eastAsia="de-DE"/>
        </w:rPr>
        <w:tab/>
      </w:r>
      <w:r w:rsidRPr="00FF59D2">
        <w:rPr>
          <w:rFonts w:ascii="Arial" w:eastAsia="Times New Roman" w:hAnsi="Arial" w:cs="Arial"/>
          <w:b/>
          <w:bCs/>
          <w:iCs/>
          <w:color w:val="FFFFFF" w:themeColor="background1"/>
          <w:sz w:val="20"/>
          <w:szCs w:val="20"/>
          <w:lang w:eastAsia="de-DE"/>
        </w:rPr>
        <w:tab/>
      </w:r>
      <w:r w:rsidRPr="00FF59D2">
        <w:rPr>
          <w:rFonts w:ascii="Arial" w:eastAsia="Times New Roman" w:hAnsi="Arial" w:cs="Arial"/>
          <w:b/>
          <w:bCs/>
          <w:iCs/>
          <w:color w:val="FFFFFF" w:themeColor="background1"/>
          <w:sz w:val="20"/>
          <w:szCs w:val="20"/>
          <w:lang w:eastAsia="de-DE"/>
        </w:rPr>
        <w:tab/>
      </w:r>
      <w:r w:rsidRPr="00FF59D2">
        <w:rPr>
          <w:rFonts w:ascii="Arial" w:eastAsia="Times New Roman" w:hAnsi="Arial" w:cs="Arial"/>
          <w:b/>
          <w:bCs/>
          <w:iCs/>
          <w:color w:val="FFFFFF" w:themeColor="background1"/>
          <w:sz w:val="20"/>
          <w:szCs w:val="20"/>
          <w:lang w:eastAsia="de-DE"/>
        </w:rPr>
        <w:tab/>
      </w:r>
      <w:r w:rsidRPr="00FF59D2">
        <w:rPr>
          <w:rFonts w:ascii="Arial" w:eastAsia="Times New Roman" w:hAnsi="Arial" w:cs="Arial"/>
          <w:b/>
          <w:bCs/>
          <w:iCs/>
          <w:color w:val="FFFFFF" w:themeColor="background1"/>
          <w:sz w:val="20"/>
          <w:szCs w:val="20"/>
          <w:lang w:eastAsia="de-DE"/>
        </w:rPr>
        <w:tab/>
      </w:r>
      <w:r w:rsidRPr="00FF59D2">
        <w:rPr>
          <w:rFonts w:ascii="Arial" w:eastAsia="Times New Roman" w:hAnsi="Arial" w:cs="Arial"/>
          <w:b/>
          <w:bCs/>
          <w:iCs/>
          <w:color w:val="FFFFFF" w:themeColor="background1"/>
          <w:sz w:val="20"/>
          <w:szCs w:val="20"/>
          <w:lang w:eastAsia="de-DE"/>
        </w:rPr>
        <w:tab/>
      </w:r>
      <w:r w:rsidRPr="00A01386"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>93413 Cham</w:t>
      </w:r>
    </w:p>
    <w:p w14:paraId="7A7000AA" w14:textId="34CEA550" w:rsidR="007E6BB6" w:rsidRPr="001D0F43" w:rsidRDefault="007E6BB6" w:rsidP="006C7B76">
      <w:pPr>
        <w:spacing w:after="0" w:line="240" w:lineRule="auto"/>
        <w:ind w:left="360"/>
        <w:rPr>
          <w:rFonts w:ascii="Arial" w:eastAsia="Times New Roman" w:hAnsi="Arial" w:cs="Arial"/>
          <w:b/>
          <w:bCs/>
          <w:iCs/>
          <w:color w:val="FFFFFF" w:themeColor="background1"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>Notrufnummer:</w:t>
      </w:r>
      <w:r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ab/>
      </w:r>
      <w:r w:rsidRPr="007E6BB6"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>09971 / 89 74 57 - 3</w:t>
      </w:r>
    </w:p>
    <w:p w14:paraId="28C69492" w14:textId="77777777" w:rsidR="006C7B76" w:rsidRPr="006C7B76" w:rsidRDefault="006C7B76" w:rsidP="006C7B76">
      <w:pPr>
        <w:pStyle w:val="berschrift1"/>
        <w:rPr>
          <w:bCs/>
          <w:sz w:val="22"/>
          <w:szCs w:val="36"/>
        </w:rPr>
      </w:pPr>
      <w:r w:rsidRPr="006C7B76">
        <w:rPr>
          <w:bCs/>
          <w:szCs w:val="20"/>
        </w:rPr>
        <w:t xml:space="preserve">2. </w:t>
      </w:r>
      <w:r w:rsidRPr="006C7B76">
        <w:rPr>
          <w:bCs/>
          <w:sz w:val="22"/>
          <w:szCs w:val="36"/>
        </w:rPr>
        <w:t>Mögliche Gefahren</w:t>
      </w:r>
    </w:p>
    <w:p w14:paraId="653E7583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2.1 Einstufung des Stoffs oder Gemischs</w:t>
      </w:r>
    </w:p>
    <w:p w14:paraId="3A145520" w14:textId="77777777" w:rsidR="007E6BB6" w:rsidRPr="007E6BB6" w:rsidRDefault="007E6BB6" w:rsidP="007E6B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7E6BB6">
        <w:rPr>
          <w:rFonts w:ascii="Arial" w:hAnsi="Arial" w:cs="Arial"/>
          <w:color w:val="000000"/>
          <w:sz w:val="18"/>
          <w:szCs w:val="18"/>
        </w:rPr>
        <w:t>Entsprechend der Verordnung (EG) Nr. 1272/2008 (CLP) nach GHS-Kriterien: nicht eingestuft</w:t>
      </w:r>
    </w:p>
    <w:p w14:paraId="391271C9" w14:textId="77777777" w:rsidR="007E6BB6" w:rsidRPr="007E6BB6" w:rsidRDefault="007E6BB6" w:rsidP="007E6B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7E6BB6">
        <w:rPr>
          <w:rFonts w:ascii="Arial" w:hAnsi="Arial" w:cs="Arial"/>
          <w:color w:val="000000"/>
          <w:sz w:val="18"/>
          <w:szCs w:val="18"/>
        </w:rPr>
        <w:t>Gemäß Richtlinie 67/548/EWG bzw. 1999/45/EC: nicht eingestuft</w:t>
      </w:r>
    </w:p>
    <w:p w14:paraId="79F48175" w14:textId="77777777" w:rsidR="007E6BB6" w:rsidRDefault="007E6BB6" w:rsidP="007E6B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7E6BB6">
        <w:rPr>
          <w:rFonts w:ascii="Arial" w:hAnsi="Arial" w:cs="Arial"/>
          <w:color w:val="000000"/>
          <w:sz w:val="18"/>
          <w:szCs w:val="18"/>
        </w:rPr>
        <w:t>Mögliche Gefahren: Keine besonderen Gefahren bekannt, wenn die Vorschriften/Hinweise für Lagerung und Umgang beachtet werden.</w:t>
      </w:r>
    </w:p>
    <w:p w14:paraId="73C768E9" w14:textId="3B9FBBCD" w:rsidR="006C7B76" w:rsidRDefault="006C7B76" w:rsidP="007E6B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2.2 Kennzeichnungselemente</w:t>
      </w:r>
    </w:p>
    <w:p w14:paraId="4410957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Gemäß Richtlinie 67/548/EWG bzw. 1999/45/EG</w:t>
      </w:r>
    </w:p>
    <w:p w14:paraId="4B433ED0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Das Produkt ist nach EG-Richtlinien nicht kennzeichnungspflichtig.</w:t>
      </w:r>
    </w:p>
    <w:p w14:paraId="6DCD9511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2.3 Sonstige Gefahren</w:t>
      </w:r>
    </w:p>
    <w:p w14:paraId="49134378" w14:textId="77777777" w:rsidR="007E6BB6" w:rsidRPr="007E6BB6" w:rsidRDefault="007E6BB6" w:rsidP="007E6B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7E6BB6">
        <w:rPr>
          <w:rFonts w:ascii="Arial" w:hAnsi="Arial" w:cs="Arial"/>
          <w:color w:val="000000"/>
          <w:sz w:val="18"/>
          <w:szCs w:val="18"/>
        </w:rPr>
        <w:t>Entsprechend der Verordnung (EG) Nr. 1272/2008: Keine besonderen Gefahren bekannt, wenn die Vorschriften/Hinweise für Lagerung und Umgang beachtet werden.</w:t>
      </w:r>
    </w:p>
    <w:p w14:paraId="2AC321EA" w14:textId="031023F8" w:rsidR="006C7B76" w:rsidRDefault="007E6BB6" w:rsidP="007E6B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proofErr w:type="spellStart"/>
      <w:r w:rsidRPr="007E6BB6">
        <w:rPr>
          <w:rFonts w:ascii="Arial" w:hAnsi="Arial" w:cs="Arial"/>
          <w:color w:val="000000"/>
          <w:sz w:val="18"/>
          <w:szCs w:val="18"/>
        </w:rPr>
        <w:t>Endokrinschädliche</w:t>
      </w:r>
      <w:proofErr w:type="spellEnd"/>
      <w:r w:rsidRPr="007E6BB6">
        <w:rPr>
          <w:rFonts w:ascii="Arial" w:hAnsi="Arial" w:cs="Arial"/>
          <w:color w:val="000000"/>
          <w:sz w:val="18"/>
          <w:szCs w:val="18"/>
        </w:rPr>
        <w:t xml:space="preserve"> Eigenschaften: Keine </w:t>
      </w:r>
      <w:proofErr w:type="spellStart"/>
      <w:r w:rsidRPr="007E6BB6">
        <w:rPr>
          <w:rFonts w:ascii="Arial" w:hAnsi="Arial" w:cs="Arial"/>
          <w:color w:val="000000"/>
          <w:sz w:val="18"/>
          <w:szCs w:val="18"/>
        </w:rPr>
        <w:t>endokrinschädlichen</w:t>
      </w:r>
      <w:proofErr w:type="spellEnd"/>
      <w:r w:rsidRPr="007E6BB6">
        <w:rPr>
          <w:rFonts w:ascii="Arial" w:hAnsi="Arial" w:cs="Arial"/>
          <w:color w:val="000000"/>
          <w:sz w:val="18"/>
          <w:szCs w:val="18"/>
        </w:rPr>
        <w:t xml:space="preserve"> Eigenschaften bekannt.</w:t>
      </w:r>
    </w:p>
    <w:p w14:paraId="315955F9" w14:textId="77777777" w:rsidR="007E6BB6" w:rsidRDefault="007E6BB6" w:rsidP="007E6B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05EC9649" w14:textId="77777777" w:rsidR="006C7B76" w:rsidRP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  <w:r w:rsidRPr="006C7B76">
        <w:rPr>
          <w:rFonts w:ascii="Arial" w:hAnsi="Arial" w:cs="Arial"/>
          <w:b/>
          <w:bCs/>
          <w:color w:val="000000"/>
          <w:sz w:val="20"/>
          <w:szCs w:val="20"/>
        </w:rPr>
        <w:t xml:space="preserve">3. </w:t>
      </w:r>
      <w:r w:rsidRPr="006C7B76">
        <w:rPr>
          <w:rFonts w:ascii="Arial" w:hAnsi="Arial" w:cs="Arial"/>
          <w:b/>
          <w:bCs/>
          <w:color w:val="000000"/>
        </w:rPr>
        <w:t>Zusammensetzung/Angaben zu Bestandteilen</w:t>
      </w:r>
    </w:p>
    <w:p w14:paraId="604E26C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3.1 Stoffe</w:t>
      </w:r>
    </w:p>
    <w:p w14:paraId="3132FD08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Nicht anwendbar</w:t>
      </w:r>
    </w:p>
    <w:p w14:paraId="0C21FA18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3.2 Gemische</w:t>
      </w:r>
    </w:p>
    <w:p w14:paraId="0E842A90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Chemische Charakterisierung</w:t>
      </w:r>
    </w:p>
    <w:p w14:paraId="7F61807E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Zubereitung von auf Basis von: Acrylnitril Butadien Styrol Polymerisat, Additive, Glasfaser.</w:t>
      </w:r>
    </w:p>
    <w:p w14:paraId="62778C8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5A8B6C17" w14:textId="77777777" w:rsidR="006C7B76" w:rsidRP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6C7B76">
        <w:rPr>
          <w:rFonts w:ascii="Arial" w:hAnsi="Arial" w:cs="Arial"/>
          <w:b/>
          <w:bCs/>
        </w:rPr>
        <w:t>4. Erste-Hilfe-Maßnahmen</w:t>
      </w:r>
    </w:p>
    <w:p w14:paraId="31BE942F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4.1 Beschreibung der Erste-Hilfe-Maßnahmen</w:t>
      </w:r>
    </w:p>
    <w:p w14:paraId="7747A324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Berührung mit der Haut, Augen, Kleidung vermeiden.</w:t>
      </w:r>
    </w:p>
    <w:p w14:paraId="63A07E6D" w14:textId="77777777" w:rsidR="006C7B76" w:rsidRP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 w:rsidRPr="006C7B76">
        <w:rPr>
          <w:rFonts w:ascii="Arial" w:hAnsi="Arial" w:cs="Arial"/>
          <w:b/>
          <w:bCs/>
          <w:color w:val="000000"/>
          <w:sz w:val="18"/>
          <w:szCs w:val="18"/>
        </w:rPr>
        <w:t>Nach Einatmen:</w:t>
      </w:r>
    </w:p>
    <w:p w14:paraId="1F1F1150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18"/>
          <w:szCs w:val="18"/>
        </w:rPr>
        <w:t>Bei Beschwerden nach Einatmen von Staub: Frischluft, ggf. ärztlichen Rat einholen</w:t>
      </w:r>
      <w:r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05E7EB41" w14:textId="77777777" w:rsidR="006C7B76" w:rsidRP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 w:rsidRPr="006C7B76">
        <w:rPr>
          <w:rFonts w:ascii="Arial" w:hAnsi="Arial" w:cs="Arial"/>
          <w:b/>
          <w:bCs/>
          <w:color w:val="000000"/>
          <w:sz w:val="18"/>
          <w:szCs w:val="18"/>
        </w:rPr>
        <w:t>Nach Hautkontakt:</w:t>
      </w:r>
    </w:p>
    <w:p w14:paraId="2D38D124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Verbrennungen durch geschmolzenes Material müssen klinisch behandelt werden.</w:t>
      </w:r>
    </w:p>
    <w:p w14:paraId="77BC123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6C7B76">
        <w:rPr>
          <w:rFonts w:ascii="Arial" w:hAnsi="Arial" w:cs="Arial"/>
          <w:b/>
          <w:bCs/>
          <w:color w:val="000000"/>
          <w:sz w:val="18"/>
          <w:szCs w:val="18"/>
        </w:rPr>
        <w:t>Nach Augenkontakt:</w:t>
      </w:r>
      <w:r>
        <w:rPr>
          <w:rFonts w:ascii="Arial" w:hAnsi="Arial" w:cs="Arial"/>
          <w:color w:val="000000"/>
          <w:sz w:val="18"/>
          <w:szCs w:val="18"/>
        </w:rPr>
        <w:t xml:space="preserve"> Wenn Reizwirkungen auftreten, Arzt aufsuchen. Bei Berührung mit den Augen sofort</w:t>
      </w:r>
    </w:p>
    <w:p w14:paraId="0513B468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mit viel Wasser 15 Minuten lang spülen.</w:t>
      </w:r>
    </w:p>
    <w:p w14:paraId="5FFCA6F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Nach Verschlucken: Mund ausspülen und Arzt aufsuchen.</w:t>
      </w:r>
    </w:p>
    <w:p w14:paraId="7A9E1982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4.2 Wichtigste akute und verzögerte Symptome und Auswirkungen</w:t>
      </w:r>
    </w:p>
    <w:p w14:paraId="1E4590E1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Symptome: Bisher liegen keine Erfahrungen über akute oder chronische Schäden am Menschen vor.</w:t>
      </w:r>
    </w:p>
    <w:p w14:paraId="6DD3DCEE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Gefahren: Gefahren von Hautverbrennungen durch heiße Schmelze möglich</w:t>
      </w:r>
    </w:p>
    <w:p w14:paraId="73CF8474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4.3 Hinweise auf ärztliche Soforthilfe oder Spezialbehandlung</w:t>
      </w:r>
    </w:p>
    <w:p w14:paraId="7B1948D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Behandlung: Symptomatisch behandeln.</w:t>
      </w:r>
    </w:p>
    <w:p w14:paraId="62E89C5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140CD6FF" w14:textId="77777777" w:rsidR="006C7B76" w:rsidRP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  <w:r w:rsidRPr="006C7B76">
        <w:rPr>
          <w:rFonts w:ascii="Arial" w:hAnsi="Arial" w:cs="Arial"/>
          <w:b/>
          <w:bCs/>
          <w:color w:val="000000"/>
        </w:rPr>
        <w:t>5. Maßnahmen zur Brandbekämpfung</w:t>
      </w:r>
    </w:p>
    <w:p w14:paraId="4BA0BB98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lastRenderedPageBreak/>
        <w:t>5.1 Löschmittel</w:t>
      </w:r>
    </w:p>
    <w:p w14:paraId="70499094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Geeignete Löschmittel: Wassersprühstrahl, Schaum, Löschpulver</w:t>
      </w:r>
    </w:p>
    <w:p w14:paraId="513C803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5.2 Besondere, von dem betreffenden Stoff oder Gemisch ausgehende Gefahren</w:t>
      </w:r>
    </w:p>
    <w:p w14:paraId="190FA0F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Bei Temperaturen von &gt; 320 °C kann freigesetzt werden: Kohlenstoffmonoxid, Kohlenstoffdioxid, Ruß</w:t>
      </w:r>
    </w:p>
    <w:p w14:paraId="079ED530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Rauch. Unter bestimmten Brandbedingungen sind Spuren anderer giftiger Stoffe nicht auszuschließen. Die</w:t>
      </w:r>
    </w:p>
    <w:p w14:paraId="7365416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Entstehung weiterer Spalt- und Oxidationsprodukte hängt von den Brandbedingungen ab.</w:t>
      </w:r>
    </w:p>
    <w:p w14:paraId="0E8B7B71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5.3 Hinweise für die Brandbekämpfung</w:t>
      </w:r>
    </w:p>
    <w:p w14:paraId="180B6250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Besondere Schutzausrüstung: Umluft unabhängiges Atemschutzgerät verwenden.</w:t>
      </w:r>
    </w:p>
    <w:p w14:paraId="0F2278A9" w14:textId="77777777" w:rsidR="006C7B76" w:rsidRP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  <w:r w:rsidRPr="006C7B76">
        <w:rPr>
          <w:rFonts w:ascii="Arial" w:hAnsi="Arial" w:cs="Arial"/>
          <w:b/>
          <w:bCs/>
          <w:color w:val="000000"/>
          <w:sz w:val="20"/>
          <w:szCs w:val="20"/>
        </w:rPr>
        <w:t xml:space="preserve">6. </w:t>
      </w:r>
      <w:r w:rsidRPr="006C7B76">
        <w:rPr>
          <w:rFonts w:ascii="Arial" w:hAnsi="Arial" w:cs="Arial"/>
          <w:b/>
          <w:bCs/>
          <w:color w:val="000000"/>
        </w:rPr>
        <w:t>Maßnahmen bei unbeabsichtigter Freisetzung</w:t>
      </w:r>
    </w:p>
    <w:p w14:paraId="387BA192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Besondere Rutschgefahr durch ausgelaufenes/verschüttetes Produkt.</w:t>
      </w:r>
    </w:p>
    <w:p w14:paraId="79F21E0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6.1 Personenbezogene Vorsichtsmaßnahmen, Schutzausrüstungen und in Notfällen anzuwendende</w:t>
      </w:r>
    </w:p>
    <w:p w14:paraId="5876D10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Verfahren</w:t>
      </w:r>
    </w:p>
    <w:p w14:paraId="613DD554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Granulat. Rutschgefahr auf verschüttetem Produkt.</w:t>
      </w:r>
    </w:p>
    <w:p w14:paraId="1C2DE4E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Schmelze: Bei Gefahr der exothermen Zersetzung durch Überhitzung</w:t>
      </w:r>
    </w:p>
    <w:p w14:paraId="27B39FF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(Temperaturanstieg, Qualm- oder Rauchbildung) Schmelze im Wasserbad kühlen.</w:t>
      </w:r>
    </w:p>
    <w:p w14:paraId="310D11C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6.2 Umweltschutzmaßnahmen</w:t>
      </w:r>
    </w:p>
    <w:p w14:paraId="5D702F4C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Keine besonderen Maßnahmen erforderlich.</w:t>
      </w:r>
    </w:p>
    <w:p w14:paraId="33D36A4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6.3 Methoden und Material für Rückhaltung und Reinigung</w:t>
      </w:r>
    </w:p>
    <w:p w14:paraId="50A1D0D5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Für kleine Mengen: Mit geeignetem Gerät aufnehmen und entsorgen. Für große Mengen: Mit geeignetem</w:t>
      </w:r>
    </w:p>
    <w:p w14:paraId="6AD55271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Gerät aufnehmen und entsorgen</w:t>
      </w:r>
      <w:r>
        <w:rPr>
          <w:rFonts w:ascii="Arial" w:hAnsi="Arial" w:cs="Arial"/>
          <w:b/>
          <w:bCs/>
          <w:color w:val="000000"/>
          <w:sz w:val="18"/>
          <w:szCs w:val="18"/>
        </w:rPr>
        <w:t>.</w:t>
      </w:r>
    </w:p>
    <w:p w14:paraId="14C8BBCE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6.4 Verweis auf andere Abschnitte</w:t>
      </w:r>
    </w:p>
    <w:p w14:paraId="73D97FF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Handhabung und Lagerung in Abschnitt 7</w:t>
      </w:r>
    </w:p>
    <w:p w14:paraId="7A0EEE0F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Persönliche Schutzausrüstung in Abschnitt 8</w:t>
      </w:r>
    </w:p>
    <w:p w14:paraId="291DEE4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29CFB2A8" w14:textId="77777777" w:rsidR="006C7B76" w:rsidRP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  <w:r w:rsidRPr="006C7B76">
        <w:rPr>
          <w:rFonts w:ascii="Arial" w:hAnsi="Arial" w:cs="Arial"/>
          <w:b/>
          <w:bCs/>
          <w:color w:val="000000"/>
          <w:sz w:val="20"/>
          <w:szCs w:val="20"/>
        </w:rPr>
        <w:t xml:space="preserve">7. </w:t>
      </w:r>
      <w:r w:rsidRPr="006C7B76">
        <w:rPr>
          <w:rFonts w:ascii="Arial" w:hAnsi="Arial" w:cs="Arial"/>
          <w:b/>
          <w:bCs/>
          <w:color w:val="000000"/>
        </w:rPr>
        <w:t>Handhabung und Lagerung</w:t>
      </w:r>
    </w:p>
    <w:p w14:paraId="20059E9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7.1 </w:t>
      </w:r>
      <w:r>
        <w:rPr>
          <w:rFonts w:ascii="Arial" w:hAnsi="Arial" w:cs="Arial"/>
          <w:color w:val="000000"/>
          <w:sz w:val="18"/>
          <w:szCs w:val="18"/>
        </w:rPr>
        <w:t>Brand- und Explosionsschutz:</w:t>
      </w:r>
    </w:p>
    <w:p w14:paraId="12A1CC3E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Schutzmaßnahmen zur sicheren Handhabung</w:t>
      </w:r>
    </w:p>
    <w:p w14:paraId="642521A4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Maßnahmen gegen elektrostatische Aufladungen treffen. Staubbildung vermeiden. Für angemessene</w:t>
      </w:r>
    </w:p>
    <w:p w14:paraId="7F88767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Entlüftung und der Maschine sorgen.</w:t>
      </w:r>
    </w:p>
    <w:p w14:paraId="313627B9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7.2 </w:t>
      </w:r>
      <w:r>
        <w:rPr>
          <w:rFonts w:ascii="Arial" w:hAnsi="Arial" w:cs="Arial"/>
          <w:color w:val="000000"/>
          <w:sz w:val="18"/>
          <w:szCs w:val="18"/>
        </w:rPr>
        <w:t>Bedingungen zur sicheren Lagerung unter Berücksichtigung von Unverträglichkeiten</w:t>
      </w:r>
    </w:p>
    <w:p w14:paraId="059EB25C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Geeignete Materialien für Behälter: Polyethylen niedriger Dichte (LDPE)</w:t>
      </w:r>
    </w:p>
    <w:p w14:paraId="0113D822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7.3 </w:t>
      </w:r>
      <w:r>
        <w:rPr>
          <w:rFonts w:ascii="Arial" w:hAnsi="Arial" w:cs="Arial"/>
          <w:color w:val="000000"/>
          <w:sz w:val="18"/>
          <w:szCs w:val="18"/>
        </w:rPr>
        <w:t>Spezifische Endanwendungen: Bei der relevanten identifizierten Verwendungen gemäß Abschnitt 1 sind</w:t>
      </w:r>
    </w:p>
    <w:p w14:paraId="71573570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die in diesem Abschnitt 7 genannten Hinweise zu beachten.</w:t>
      </w:r>
    </w:p>
    <w:p w14:paraId="5C33276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39AA0685" w14:textId="77777777" w:rsidR="006C7B76" w:rsidRP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  <w:r w:rsidRPr="006C7B76">
        <w:rPr>
          <w:rFonts w:ascii="Arial" w:hAnsi="Arial" w:cs="Arial"/>
          <w:b/>
          <w:bCs/>
          <w:color w:val="000000"/>
        </w:rPr>
        <w:t>8. Begrenzung und Überwachung der Exposition/Persönliche Schutzausrüstungen</w:t>
      </w:r>
    </w:p>
    <w:p w14:paraId="4AC8F2DC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8.1 Zu überwachende Parameter,</w:t>
      </w:r>
    </w:p>
    <w:p w14:paraId="1A19B3E5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Arbeitsplatzwerte:</w:t>
      </w:r>
    </w:p>
    <w:p w14:paraId="6717271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Bezeichnung CAS </w:t>
      </w:r>
      <w:proofErr w:type="spellStart"/>
      <w:r>
        <w:rPr>
          <w:rFonts w:ascii="Arial" w:hAnsi="Arial" w:cs="Arial"/>
          <w:b/>
          <w:bCs/>
          <w:color w:val="000000"/>
          <w:sz w:val="18"/>
          <w:szCs w:val="18"/>
        </w:rPr>
        <w:t>Nr</w:t>
      </w:r>
      <w:proofErr w:type="spellEnd"/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Typ Grenzwert</w:t>
      </w:r>
    </w:p>
    <w:p w14:paraId="7E438175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Ethylbenzol 100-41-4 TRGS 900 Kurzzeit 176 mg/m</w:t>
      </w:r>
      <w:r>
        <w:rPr>
          <w:rFonts w:ascii="Arial" w:hAnsi="Arial" w:cs="Arial"/>
          <w:color w:val="000000"/>
          <w:sz w:val="12"/>
          <w:szCs w:val="12"/>
        </w:rPr>
        <w:t>3</w:t>
      </w:r>
      <w:r>
        <w:rPr>
          <w:rFonts w:ascii="Arial" w:hAnsi="Arial" w:cs="Arial"/>
          <w:color w:val="000000"/>
          <w:sz w:val="18"/>
          <w:szCs w:val="18"/>
        </w:rPr>
        <w:t>; 40 ppm</w:t>
      </w:r>
    </w:p>
    <w:p w14:paraId="7ECA591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kann über die Haut aufgenommen werden</w:t>
      </w:r>
    </w:p>
    <w:p w14:paraId="33C9B83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TRGS 900 Langzeit 88 mg/m³; 20 ppm</w:t>
      </w:r>
    </w:p>
    <w:p w14:paraId="5CAD6B4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kann über die Haut aufgenommen werden</w:t>
      </w:r>
    </w:p>
    <w:p w14:paraId="03FA47D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IOELV: STEL 884 mg/m³; 200 ppm</w:t>
      </w:r>
    </w:p>
    <w:p w14:paraId="33A28E92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kann über die Haut aufgenommen werden</w:t>
      </w:r>
    </w:p>
    <w:p w14:paraId="7E4448DB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IOELV: TWA 442 mg/m³; 100 ppm</w:t>
      </w:r>
    </w:p>
    <w:p w14:paraId="1CAC0740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kann über die Haut aufgenommen werden</w:t>
      </w:r>
    </w:p>
    <w:p w14:paraId="0E9EE850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Styrol 100-42-5 TRGS 900 Kurzzeit 172 mg/m³; 40 ppm</w:t>
      </w:r>
    </w:p>
    <w:p w14:paraId="0142F22C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TRGS 900 Langzeit 86 mg/m³; 20 ppm</w:t>
      </w:r>
    </w:p>
    <w:p w14:paraId="005142C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Acrylnitril 107-13-1 TRGS 910 Langzeit 0,26 mg/m³; 0,12 ppm Akzeptanzkonzentration (4E-5)</w:t>
      </w:r>
    </w:p>
    <w:p w14:paraId="487C6A85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TRGS 910 Langzeit 2,6 mg/m³; 1,2 ppm Toleranzkonzentration (4E-3))</w:t>
      </w:r>
    </w:p>
    <w:p w14:paraId="680F508F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1,3-Butadien 106-99-0 TRGS 910 Langzeit 0,5 mg/m³; 0,2 ppm Akzeptanzkonzentration (4E-5))</w:t>
      </w:r>
    </w:p>
    <w:p w14:paraId="2E92630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TRGS 910 Langzeit 5 mg/m³; 2 ppm (Toleranzkonzentration (4E-3))</w:t>
      </w:r>
    </w:p>
    <w:p w14:paraId="40EDDEA8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BOELV: TWA 2,2 mg/m³; 1 ppm</w:t>
      </w:r>
    </w:p>
    <w:p w14:paraId="0EC81CC5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0083A814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Biologisch Werte</w:t>
      </w:r>
    </w:p>
    <w:p w14:paraId="55D3C0F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Bezeichnung CAS Nr. Typ Grenzwert Parameter Probenahme</w:t>
      </w:r>
    </w:p>
    <w:p w14:paraId="379E71F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Ethylbenzol 100-41-4 TRGS 903 Urin 250 mg/g Kreatinin Mandelsäure Expositionsende</w:t>
      </w:r>
    </w:p>
    <w:p w14:paraId="5486D271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+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Phenylglyoxylsäure</w:t>
      </w:r>
      <w:proofErr w:type="spellEnd"/>
    </w:p>
    <w:p w14:paraId="53441E5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Styrol 100-42-5 TRGS 903 Urin 600 mg/g Kreatinin Mandelsäure Expositionsende</w:t>
      </w:r>
    </w:p>
    <w:p w14:paraId="774D52B6" w14:textId="371BFF81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+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Phenylglyoxylsäure</w:t>
      </w:r>
      <w:proofErr w:type="spellEnd"/>
    </w:p>
    <w:p w14:paraId="4825D97F" w14:textId="77777777" w:rsidR="006C7B76" w:rsidRDefault="006C7B76">
      <w:pPr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 w:type="page"/>
      </w:r>
    </w:p>
    <w:p w14:paraId="6C6AFF29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lastRenderedPageBreak/>
        <w:t>8.2 Begrenzung und Überwachung der Exposition</w:t>
      </w:r>
    </w:p>
    <w:p w14:paraId="5FCBA93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Technische Maßnahmen:</w:t>
      </w:r>
    </w:p>
    <w:p w14:paraId="2327EE1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Geschlossene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Prozeßapparaturen</w:t>
      </w:r>
      <w:proofErr w:type="spellEnd"/>
      <w:r>
        <w:rPr>
          <w:rFonts w:ascii="Arial" w:hAnsi="Arial" w:cs="Arial"/>
          <w:color w:val="000000"/>
          <w:sz w:val="18"/>
          <w:szCs w:val="18"/>
        </w:rPr>
        <w:t>, lokale Entlüftung oder andere technische Regelsysteme zur Einhaltung</w:t>
      </w:r>
    </w:p>
    <w:p w14:paraId="4DE6926B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der empfohlenen Grenzwerte in der Luft verwenden. Falls beim Arbeitsvorgang Stäube, Dämpfe oder Nebel</w:t>
      </w:r>
    </w:p>
    <w:p w14:paraId="218C0271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entstehen, Lüftung einsetzen, um die Einwirkung durch Luftschadstoffe unterhalb der Grenzwerte zu halten.</w:t>
      </w:r>
    </w:p>
    <w:p w14:paraId="13466E4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Persönliche Schutzausrüstung</w:t>
      </w:r>
    </w:p>
    <w:p w14:paraId="1001BA11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Atemschutz:</w:t>
      </w:r>
    </w:p>
    <w:p w14:paraId="2D4BE5F5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Bei Staubentwicklung Filtergerät mit Filtertyp Partikelfilter P1 nach DIN EN 143 verwenden.</w:t>
      </w:r>
    </w:p>
    <w:p w14:paraId="53C1C24B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Handschutz:</w:t>
      </w:r>
    </w:p>
    <w:p w14:paraId="4B478C5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Bei Handhabung heißer Schmelzen zusätzlich Hitzeschutzhandschuhe benutzen (EN 407), z. B. aus Stoff</w:t>
      </w:r>
    </w:p>
    <w:p w14:paraId="12E0B2D1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oder Leder.</w:t>
      </w:r>
    </w:p>
    <w:p w14:paraId="5138A609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Augenschutz:</w:t>
      </w:r>
    </w:p>
    <w:p w14:paraId="05468442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Schutzbrille mit Seitenschutz nach EN 166</w:t>
      </w:r>
    </w:p>
    <w:p w14:paraId="7B061C55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544FBA87" w14:textId="1C72CBEE" w:rsidR="006C7B76" w:rsidRP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  <w:r w:rsidRPr="006C7B76">
        <w:rPr>
          <w:rFonts w:ascii="Arial" w:hAnsi="Arial" w:cs="Arial"/>
          <w:b/>
          <w:bCs/>
          <w:color w:val="000000"/>
        </w:rPr>
        <w:t>9. Physikalische und chemische Eigenschaften</w:t>
      </w:r>
    </w:p>
    <w:p w14:paraId="11B3A45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9.1 Angaben zu den grundlegenden physikalischen und chemischen Eigenschaften</w:t>
      </w:r>
    </w:p>
    <w:p w14:paraId="33B4422C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Form: Granulat</w:t>
      </w:r>
    </w:p>
    <w:p w14:paraId="255B5E0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Farbe: je nach Einfärbung</w:t>
      </w:r>
    </w:p>
    <w:p w14:paraId="3D33671F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Aggregatzustand: bei 20 °C fest</w:t>
      </w:r>
    </w:p>
    <w:p w14:paraId="7807E0A8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pH-Wert: nicht anwendbar</w:t>
      </w:r>
    </w:p>
    <w:p w14:paraId="61428969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Geruch: nahezu geruchlos</w:t>
      </w:r>
    </w:p>
    <w:p w14:paraId="509E6F10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Geruchschwelle: nicht anwendbar</w:t>
      </w:r>
    </w:p>
    <w:p w14:paraId="6917A48F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Schmelzbereich: ab ca. 105 C° Erweichung</w:t>
      </w:r>
    </w:p>
    <w:p w14:paraId="4B10E36E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Siedebereich nicht anwendbar</w:t>
      </w:r>
    </w:p>
    <w:p w14:paraId="61F1D8D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Flammpunkt: nicht anwendbar</w:t>
      </w:r>
    </w:p>
    <w:p w14:paraId="16197153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Verdampfungsgeschwindigkeit: nicht anwendbar</w:t>
      </w:r>
    </w:p>
    <w:p w14:paraId="691D4B3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Entzündlichkeit: nicht selbstentzündlich</w:t>
      </w:r>
    </w:p>
    <w:p w14:paraId="23DBD440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Untere Explosionsgrenze: Nicht bestimmbar</w:t>
      </w:r>
    </w:p>
    <w:p w14:paraId="436A6F78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Zündtemperatur: &gt; 300 °C</w:t>
      </w:r>
    </w:p>
    <w:p w14:paraId="65432EB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Dampfdruck: nicht anwendbar</w:t>
      </w:r>
    </w:p>
    <w:p w14:paraId="5D647122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Dichte: nicht bestimmt</w:t>
      </w:r>
    </w:p>
    <w:p w14:paraId="7154FDD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Relative Dichte: Keine Daten vorhanden.</w:t>
      </w:r>
    </w:p>
    <w:p w14:paraId="649B0ECC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Relative Dampfdichte (Luft): nicht anwendbar</w:t>
      </w:r>
    </w:p>
    <w:p w14:paraId="2B93A551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Wasserlöslichkeit: unlöslich</w:t>
      </w:r>
    </w:p>
    <w:p w14:paraId="5A39DBE8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Verteilungskoeffizient n-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Octanol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/Wasser (log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Kow</w:t>
      </w:r>
      <w:proofErr w:type="spellEnd"/>
      <w:r>
        <w:rPr>
          <w:rFonts w:ascii="Arial" w:hAnsi="Arial" w:cs="Arial"/>
          <w:color w:val="000000"/>
          <w:sz w:val="18"/>
          <w:szCs w:val="18"/>
        </w:rPr>
        <w:t>): nicht anwendbar</w:t>
      </w:r>
    </w:p>
    <w:p w14:paraId="78B6380F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Selbstentzündlichkeit: nicht selbstentzündlich</w:t>
      </w:r>
    </w:p>
    <w:p w14:paraId="01917D0E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Thermische Zersetzung: &gt; 300 °C Zur Vermeidung thermischer Zersetzung nicht</w:t>
      </w:r>
    </w:p>
    <w:p w14:paraId="45774140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überhitzen.</w:t>
      </w:r>
    </w:p>
    <w:p w14:paraId="0B0F12D0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Viskosität, kinematisch: nicht anwendbar, das Produkt ist ein Feststoff</w:t>
      </w:r>
    </w:p>
    <w:p w14:paraId="5C517D58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Explosionsgefahr: nicht explosionsgefährlich</w:t>
      </w:r>
    </w:p>
    <w:p w14:paraId="3D427342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9.2 Sonstige Angaben</w:t>
      </w:r>
    </w:p>
    <w:p w14:paraId="394C8019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Schüttdichte: 600 - 900 kg/m³</w:t>
      </w:r>
    </w:p>
    <w:p w14:paraId="45DB265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46DAFFBF" w14:textId="77777777" w:rsidR="006C7B76" w:rsidRP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  <w:r w:rsidRPr="006C7B76">
        <w:rPr>
          <w:rFonts w:ascii="Arial" w:hAnsi="Arial" w:cs="Arial"/>
          <w:b/>
          <w:bCs/>
          <w:color w:val="000000"/>
        </w:rPr>
        <w:t>10. Stabilität und Reaktivität</w:t>
      </w:r>
    </w:p>
    <w:p w14:paraId="5A9212DC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10.1 </w:t>
      </w:r>
      <w:r>
        <w:rPr>
          <w:rFonts w:ascii="Arial" w:hAnsi="Arial" w:cs="Arial"/>
          <w:color w:val="000000"/>
          <w:sz w:val="18"/>
          <w:szCs w:val="18"/>
        </w:rPr>
        <w:t>Reaktivität</w:t>
      </w:r>
    </w:p>
    <w:p w14:paraId="30EA5EE9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Keine gefährlichen Reaktionen, wenn die Vorschriften/Hinweise für Lagerung und Umgang beachtet werden.</w:t>
      </w:r>
    </w:p>
    <w:p w14:paraId="2A47D415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10.2 </w:t>
      </w:r>
      <w:r>
        <w:rPr>
          <w:rFonts w:ascii="Arial" w:hAnsi="Arial" w:cs="Arial"/>
          <w:color w:val="000000"/>
          <w:sz w:val="18"/>
          <w:szCs w:val="18"/>
        </w:rPr>
        <w:t>Chemische Stabilität</w:t>
      </w:r>
    </w:p>
    <w:p w14:paraId="209FEF64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Das Produkt ist chemisch stabil, wenn die Vorschriften/Hinweise für Lagerung und Umgang beachtet</w:t>
      </w:r>
    </w:p>
    <w:p w14:paraId="32AF86E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werden.</w:t>
      </w:r>
    </w:p>
    <w:p w14:paraId="12D8036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10.3 </w:t>
      </w:r>
      <w:r>
        <w:rPr>
          <w:rFonts w:ascii="Arial" w:hAnsi="Arial" w:cs="Arial"/>
          <w:color w:val="000000"/>
          <w:sz w:val="18"/>
          <w:szCs w:val="18"/>
        </w:rPr>
        <w:t>Möglichkeit gefährlicher Reaktionen</w:t>
      </w:r>
    </w:p>
    <w:p w14:paraId="0407169B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Keine gefährlichen Reaktionen bekannt. Das Produkt ist stabil.</w:t>
      </w:r>
    </w:p>
    <w:p w14:paraId="1EFAF4C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10.4 </w:t>
      </w:r>
      <w:r>
        <w:rPr>
          <w:rFonts w:ascii="Arial" w:hAnsi="Arial" w:cs="Arial"/>
          <w:color w:val="000000"/>
          <w:sz w:val="18"/>
          <w:szCs w:val="18"/>
        </w:rPr>
        <w:t>Zu vermeidende Bedingungen</w:t>
      </w:r>
    </w:p>
    <w:p w14:paraId="1C8D402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Temperatur: &gt; 300 °C</w:t>
      </w:r>
    </w:p>
    <w:p w14:paraId="71E3B591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10.5 </w:t>
      </w:r>
      <w:r>
        <w:rPr>
          <w:rFonts w:ascii="Arial" w:hAnsi="Arial" w:cs="Arial"/>
          <w:color w:val="000000"/>
          <w:sz w:val="18"/>
          <w:szCs w:val="18"/>
        </w:rPr>
        <w:t>Unverträgliche Materialien</w:t>
      </w:r>
    </w:p>
    <w:p w14:paraId="47B976DC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Keine </w:t>
      </w:r>
      <w:proofErr w:type="gramStart"/>
      <w:r>
        <w:rPr>
          <w:rFonts w:ascii="Arial" w:hAnsi="Arial" w:cs="Arial"/>
          <w:color w:val="000000"/>
          <w:sz w:val="18"/>
          <w:szCs w:val="18"/>
        </w:rPr>
        <w:t>zu vermeidenden Stoffe</w:t>
      </w:r>
      <w:proofErr w:type="gramEnd"/>
      <w:r>
        <w:rPr>
          <w:rFonts w:ascii="Arial" w:hAnsi="Arial" w:cs="Arial"/>
          <w:color w:val="000000"/>
          <w:sz w:val="18"/>
          <w:szCs w:val="18"/>
        </w:rPr>
        <w:t xml:space="preserve"> bekannt.</w:t>
      </w:r>
    </w:p>
    <w:p w14:paraId="3111A114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10.6 </w:t>
      </w:r>
      <w:r>
        <w:rPr>
          <w:rFonts w:ascii="Arial" w:hAnsi="Arial" w:cs="Arial"/>
          <w:color w:val="000000"/>
          <w:sz w:val="18"/>
          <w:szCs w:val="18"/>
        </w:rPr>
        <w:t>Gefährliche Zersetzungsprodukte</w:t>
      </w:r>
    </w:p>
    <w:p w14:paraId="0C5D36D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Im Brandfall entstehen: Stickoxyde, Kohlenstoffmonoxid, Kohlenstoffdioxid, Ruß,</w:t>
      </w:r>
    </w:p>
    <w:p w14:paraId="6F0E7168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Abbauprodukte der Polymere und deren Additive.</w:t>
      </w:r>
    </w:p>
    <w:p w14:paraId="437C977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7A7561C8" w14:textId="035A8A69" w:rsidR="006C7B76" w:rsidRP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  <w:r w:rsidRPr="006C7B76">
        <w:rPr>
          <w:rFonts w:ascii="Arial" w:hAnsi="Arial" w:cs="Arial"/>
          <w:b/>
          <w:bCs/>
          <w:color w:val="000000"/>
          <w:sz w:val="20"/>
          <w:szCs w:val="20"/>
        </w:rPr>
        <w:lastRenderedPageBreak/>
        <w:t xml:space="preserve">11 </w:t>
      </w:r>
      <w:r w:rsidRPr="006C7B76">
        <w:rPr>
          <w:rFonts w:ascii="Arial" w:hAnsi="Arial" w:cs="Arial"/>
          <w:b/>
          <w:bCs/>
          <w:color w:val="000000"/>
        </w:rPr>
        <w:t>Toxikologische Angaben</w:t>
      </w:r>
    </w:p>
    <w:p w14:paraId="0435357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11.1 Angaben zu toxikologischen Wirkungen</w:t>
      </w:r>
    </w:p>
    <w:p w14:paraId="0851AB65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Unter den empfohlenen Verarbeitungsbedingungen können geringe Mengen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Emittate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(wie z.B.</w:t>
      </w:r>
    </w:p>
    <w:p w14:paraId="4028F0E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Restmonomere, Abbauprodukte) abgegeben werden. Beim Überhitzen des Produktes können unter</w:t>
      </w:r>
    </w:p>
    <w:p w14:paraId="7DAE6BA9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Umständen Stoffe freigesetzt werden die gesundheitsschädlich oder krebserregend gelten</w:t>
      </w:r>
    </w:p>
    <w:p w14:paraId="276536DF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Mögliche akute Auswirkungen auf die Gesundheit</w:t>
      </w:r>
    </w:p>
    <w:p w14:paraId="70F6C1E1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Hautkontakt</w:t>
      </w:r>
    </w:p>
    <w:p w14:paraId="4578CFC5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Keine besonderen Wirkungen oder Gefahren bekannt. In seltenen</w:t>
      </w:r>
    </w:p>
    <w:p w14:paraId="46C79C4C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Einzelfällen können bei intensivem Kontakt der ungeschützten Haut</w:t>
      </w:r>
    </w:p>
    <w:p w14:paraId="72C3E061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mit Reizungen auftreten. Das geschmolzene Produkt verursacht schwere Verbrennungen.</w:t>
      </w:r>
    </w:p>
    <w:p w14:paraId="5F83E219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Schätzungen akuter Toxizität</w:t>
      </w:r>
    </w:p>
    <w:p w14:paraId="6185B278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Nicht verfügbar</w:t>
      </w:r>
      <w:r>
        <w:rPr>
          <w:rFonts w:ascii="Arial" w:hAnsi="Arial" w:cs="Arial"/>
          <w:b/>
          <w:bCs/>
          <w:color w:val="000000"/>
          <w:sz w:val="18"/>
          <w:szCs w:val="18"/>
        </w:rPr>
        <w:t>.</w:t>
      </w:r>
    </w:p>
    <w:p w14:paraId="691B894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611C9A2E" w14:textId="2D3F1BD5" w:rsidR="006C7B76" w:rsidRP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  <w:r w:rsidRPr="006C7B76">
        <w:rPr>
          <w:rFonts w:ascii="Arial" w:hAnsi="Arial" w:cs="Arial"/>
          <w:b/>
          <w:bCs/>
          <w:color w:val="000000"/>
          <w:sz w:val="20"/>
          <w:szCs w:val="20"/>
        </w:rPr>
        <w:t xml:space="preserve">12 </w:t>
      </w:r>
      <w:r w:rsidRPr="006C7B76">
        <w:rPr>
          <w:rFonts w:ascii="Arial" w:hAnsi="Arial" w:cs="Arial"/>
          <w:b/>
          <w:bCs/>
          <w:color w:val="000000"/>
        </w:rPr>
        <w:t>Umweltbezogene Angaben</w:t>
      </w:r>
    </w:p>
    <w:p w14:paraId="2153C8D4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12.1 Toxizität</w:t>
      </w:r>
    </w:p>
    <w:p w14:paraId="264C38FF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12.2 </w:t>
      </w:r>
      <w:r>
        <w:rPr>
          <w:rFonts w:ascii="Arial" w:hAnsi="Arial" w:cs="Arial"/>
          <w:color w:val="000000"/>
          <w:sz w:val="18"/>
          <w:szCs w:val="18"/>
        </w:rPr>
        <w:t>Beurteilung aquatische Toxizität</w:t>
      </w:r>
      <w:r>
        <w:rPr>
          <w:rFonts w:ascii="Arial" w:hAnsi="Arial" w:cs="Arial"/>
          <w:b/>
          <w:bCs/>
          <w:color w:val="000000"/>
          <w:sz w:val="18"/>
          <w:szCs w:val="18"/>
        </w:rPr>
        <w:t>:</w:t>
      </w:r>
    </w:p>
    <w:p w14:paraId="55334928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Das Produkt wurde nicht geprüft. Die Aussage wurde von der Struktur des Stoffes abgeleitet. Mit hoher</w:t>
      </w:r>
    </w:p>
    <w:p w14:paraId="2B8A580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Wahrscheinlichkeit akut nicht schädlich für Wasserorganismen.</w:t>
      </w:r>
    </w:p>
    <w:p w14:paraId="7560C05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12.3 Persistenz und Abbaubarkeit</w:t>
      </w:r>
    </w:p>
    <w:p w14:paraId="1BC0A13B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Das Produkt ist schwer wasserlöslich und kann daher durch mechanisches Abscheiden in</w:t>
      </w:r>
    </w:p>
    <w:p w14:paraId="47F60835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geeigneten Reinigungsanlagen aus dem Wasser eliminiert werden.</w:t>
      </w:r>
    </w:p>
    <w:p w14:paraId="44A5C6C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12.4 Bioakkumulationspotenzial</w:t>
      </w:r>
    </w:p>
    <w:p w14:paraId="26C86F61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nicht verfügbar</w:t>
      </w:r>
    </w:p>
    <w:p w14:paraId="7265ABF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12.5 Mobilität im Boden</w:t>
      </w:r>
    </w:p>
    <w:p w14:paraId="4182E06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nicht verfügbar</w:t>
      </w:r>
    </w:p>
    <w:p w14:paraId="54E76F69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12.6 Ergebnisse der PBT- und </w:t>
      </w:r>
      <w:proofErr w:type="spellStart"/>
      <w:r>
        <w:rPr>
          <w:rFonts w:ascii="Arial" w:hAnsi="Arial" w:cs="Arial"/>
          <w:b/>
          <w:bCs/>
          <w:color w:val="000000"/>
          <w:sz w:val="18"/>
          <w:szCs w:val="18"/>
        </w:rPr>
        <w:t>vPvB</w:t>
      </w:r>
      <w:proofErr w:type="spellEnd"/>
      <w:r>
        <w:rPr>
          <w:rFonts w:ascii="Arial" w:hAnsi="Arial" w:cs="Arial"/>
          <w:b/>
          <w:bCs/>
          <w:color w:val="000000"/>
          <w:sz w:val="18"/>
          <w:szCs w:val="18"/>
        </w:rPr>
        <w:t>-Beurteilung</w:t>
      </w:r>
    </w:p>
    <w:p w14:paraId="4DA9FE7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keine Beurteilung durchgeführt</w:t>
      </w:r>
    </w:p>
    <w:p w14:paraId="0D94D81B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12.7 Andere Schädliche Wirkung</w:t>
      </w:r>
    </w:p>
    <w:p w14:paraId="22333D5B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keine Beurteilung durchgeführt</w:t>
      </w:r>
    </w:p>
    <w:p w14:paraId="22685370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22C592B8" w14:textId="77777777" w:rsidR="006C7B76" w:rsidRP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  <w:r w:rsidRPr="006C7B76">
        <w:rPr>
          <w:rFonts w:ascii="Arial" w:hAnsi="Arial" w:cs="Arial"/>
          <w:b/>
          <w:bCs/>
          <w:color w:val="000000"/>
          <w:sz w:val="20"/>
          <w:szCs w:val="20"/>
        </w:rPr>
        <w:t xml:space="preserve">13 </w:t>
      </w:r>
      <w:r w:rsidRPr="006C7B76">
        <w:rPr>
          <w:rFonts w:ascii="Arial" w:hAnsi="Arial" w:cs="Arial"/>
          <w:b/>
          <w:bCs/>
          <w:color w:val="000000"/>
        </w:rPr>
        <w:t>Hinweise zur Entsorgung</w:t>
      </w:r>
    </w:p>
    <w:p w14:paraId="109A5B5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13.1 Verfahren der Abfallbehandlung</w:t>
      </w:r>
    </w:p>
    <w:p w14:paraId="0CAEB874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Möglichkeit der Wiederverwertung prüfen. Verbrennen in geeigneter Verbrennungsanlage. Die behördlichen</w:t>
      </w:r>
    </w:p>
    <w:p w14:paraId="25E6F530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Vorschriften sind jedoch zu beachten.</w:t>
      </w:r>
    </w:p>
    <w:p w14:paraId="2858EB03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Ungereinigte Verpackung: Packmittel vollständig entleeren.</w:t>
      </w:r>
    </w:p>
    <w:p w14:paraId="763C8AE2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Vollständig entleerte Verpackungen können einem Recycling zugeführt werden.</w:t>
      </w:r>
    </w:p>
    <w:p w14:paraId="502F9C94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0BA8F42B" w14:textId="77777777" w:rsidR="006C7B76" w:rsidRP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  <w:r w:rsidRPr="006C7B76">
        <w:rPr>
          <w:rFonts w:ascii="Arial" w:hAnsi="Arial" w:cs="Arial"/>
          <w:b/>
          <w:bCs/>
          <w:color w:val="000000"/>
          <w:sz w:val="20"/>
          <w:szCs w:val="20"/>
        </w:rPr>
        <w:t xml:space="preserve">14 </w:t>
      </w:r>
      <w:r w:rsidRPr="006C7B76">
        <w:rPr>
          <w:rFonts w:ascii="Arial" w:hAnsi="Arial" w:cs="Arial"/>
          <w:b/>
          <w:bCs/>
          <w:color w:val="000000"/>
        </w:rPr>
        <w:t>Angaben zum Transport</w:t>
      </w:r>
    </w:p>
    <w:p w14:paraId="6BABD708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Landtransport</w:t>
      </w:r>
    </w:p>
    <w:p w14:paraId="3A653DB3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ADR: Kein Gefahrgut im Sinne der Transportvorschriften</w:t>
      </w:r>
    </w:p>
    <w:p w14:paraId="58FCD62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UN-Nummer: Nicht anwendbar</w:t>
      </w:r>
    </w:p>
    <w:p w14:paraId="76B0F6C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Ordnungsgemäße UN-Versandbezeichnung: Nicht anwendbar</w:t>
      </w:r>
    </w:p>
    <w:p w14:paraId="7DF905B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Transportgefahrenklassen: Nicht anwendbar</w:t>
      </w:r>
    </w:p>
    <w:p w14:paraId="555E19D2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Verpackungsgruppe: Nicht anwendbar</w:t>
      </w:r>
    </w:p>
    <w:p w14:paraId="1611785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Umweltgefahren: Nicht anwendbar</w:t>
      </w:r>
    </w:p>
    <w:p w14:paraId="374350EB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Besondere Vorsichtshinweise für den Anwender: Keine bekannt</w:t>
      </w:r>
    </w:p>
    <w:p w14:paraId="2C8405A3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RID: Kein Gefahrgut im Sinne der Transportvorschriften</w:t>
      </w:r>
    </w:p>
    <w:p w14:paraId="5FD915E1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UN-Nummer: Nicht anwendbar</w:t>
      </w:r>
    </w:p>
    <w:p w14:paraId="26294683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Ordnungsgemäße UN-Versandbezeichnung: Nicht anwendbar</w:t>
      </w:r>
    </w:p>
    <w:p w14:paraId="1882C70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Transportgefahrenklassen: Nicht anwendbar</w:t>
      </w:r>
    </w:p>
    <w:p w14:paraId="6C1A8DFE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Verpackungsgruppe: Nicht anwendbar</w:t>
      </w:r>
    </w:p>
    <w:p w14:paraId="51C62E6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Umweltgefahren: Nicht anwendbar</w:t>
      </w:r>
    </w:p>
    <w:p w14:paraId="3AEFEDD4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Besondere Vorsichtshinweise für den Anwender: Keine bekannt</w:t>
      </w:r>
    </w:p>
    <w:p w14:paraId="364736FB" w14:textId="4D96B40E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Binnenschiffstransport</w:t>
      </w:r>
    </w:p>
    <w:p w14:paraId="6515193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ADN: Kein Gefahrgut im Sinne der Transportvorschriften</w:t>
      </w:r>
    </w:p>
    <w:p w14:paraId="7575519B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UN-Nummer: Nicht anwendbar</w:t>
      </w:r>
    </w:p>
    <w:p w14:paraId="30C8A67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Ordnungsgemäße UN-Versandbezeichnung: Nicht anwendbar</w:t>
      </w:r>
    </w:p>
    <w:p w14:paraId="1CA6E02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Transportgefahrenklassen: Nicht anwendbar</w:t>
      </w:r>
    </w:p>
    <w:p w14:paraId="48F1DF21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Verpackungsgruppe: Nicht anwendbar</w:t>
      </w:r>
    </w:p>
    <w:p w14:paraId="0209E03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Umweltgefahren: Nicht anwendbar</w:t>
      </w:r>
    </w:p>
    <w:p w14:paraId="4FEB4EAF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Besondere Vorsichtshinweise für den Anwender: Keine bekannt</w:t>
      </w:r>
    </w:p>
    <w:p w14:paraId="11366BF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lastRenderedPageBreak/>
        <w:t>Transport im Binnentankschiff: nicht bewertet</w:t>
      </w:r>
    </w:p>
    <w:p w14:paraId="6FD8ABC8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Seeschifftransport</w:t>
      </w:r>
    </w:p>
    <w:p w14:paraId="66431BAE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IMDG Kein Gefahrgut im Sinne der Transportvorschriften</w:t>
      </w:r>
    </w:p>
    <w:p w14:paraId="3789BE2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UN-Nummer: Nicht anwendbar</w:t>
      </w:r>
    </w:p>
    <w:p w14:paraId="3A508CC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Ordnungsgemäße UN-Versandbezeichnung: Nicht anwendbar</w:t>
      </w:r>
    </w:p>
    <w:p w14:paraId="3F356105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Transportgefahrenklassen: Nicht anwendbar</w:t>
      </w:r>
    </w:p>
    <w:p w14:paraId="7DD7D58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Verpackungsgruppe: Nicht anwendbar</w:t>
      </w:r>
    </w:p>
    <w:p w14:paraId="5C279EA4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Umweltgefahren: Nicht anwendbar</w:t>
      </w:r>
    </w:p>
    <w:p w14:paraId="76FDEA7E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Besondere Vorsichtshinweise für den Anwender: Keine bekannt</w:t>
      </w:r>
    </w:p>
    <w:p w14:paraId="0619D9B7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b/>
          <w:bCs/>
          <w:color w:val="000000"/>
          <w:sz w:val="18"/>
          <w:szCs w:val="18"/>
          <w:lang w:val="en-US"/>
        </w:rPr>
        <w:t>Sea transport</w:t>
      </w:r>
    </w:p>
    <w:p w14:paraId="28C1F15D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IMDG: Not classified as a dangerous good under transport regulations</w:t>
      </w:r>
    </w:p>
    <w:p w14:paraId="335532E2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UN number: Not applicable</w:t>
      </w:r>
    </w:p>
    <w:p w14:paraId="668DE77C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UN proper shipping name: Not applicable</w:t>
      </w:r>
    </w:p>
    <w:p w14:paraId="6CF662A6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Transport hazard class(es): Not applicable</w:t>
      </w:r>
    </w:p>
    <w:p w14:paraId="43337C01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Packing group: Not applicable</w:t>
      </w:r>
    </w:p>
    <w:p w14:paraId="29291C63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Environmental hazards: Not applicable</w:t>
      </w:r>
    </w:p>
    <w:p w14:paraId="2932DCA1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Special precautions for user: None known</w:t>
      </w:r>
    </w:p>
    <w:p w14:paraId="1F46DE1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Lufttransport</w:t>
      </w:r>
    </w:p>
    <w:p w14:paraId="7CC2C469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IATA/ICAO Kein Gefahrgut im Sinne der Transportvorschriften</w:t>
      </w:r>
    </w:p>
    <w:p w14:paraId="56F5E8D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UN-Nummer: Nicht anwendbar</w:t>
      </w:r>
    </w:p>
    <w:p w14:paraId="32F2E503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Ordnungsgemäße UN-Versandbezeichnung: Nicht anwendbar</w:t>
      </w:r>
    </w:p>
    <w:p w14:paraId="2B487A8F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Transportgefahrenklassen: Nicht anwendbar</w:t>
      </w:r>
    </w:p>
    <w:p w14:paraId="16928AF5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Verpackungsgruppe: Nicht anwendbar</w:t>
      </w:r>
    </w:p>
    <w:p w14:paraId="0EE985A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Umweltgefahren: Nicht anwendbar</w:t>
      </w:r>
    </w:p>
    <w:p w14:paraId="2FB98820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Besondere Vorsichtshinweise für den Anwender: Keine bekannt</w:t>
      </w:r>
    </w:p>
    <w:p w14:paraId="7BA80465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b/>
          <w:bCs/>
          <w:color w:val="000000"/>
          <w:sz w:val="18"/>
          <w:szCs w:val="18"/>
          <w:lang w:val="en-US"/>
        </w:rPr>
        <w:t>Air transport</w:t>
      </w:r>
    </w:p>
    <w:p w14:paraId="77BD8F8C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IATA/ICAO Not classified as a dangerous good under transport regulations</w:t>
      </w:r>
    </w:p>
    <w:p w14:paraId="3E38ED9D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UN number: Not applicable</w:t>
      </w:r>
    </w:p>
    <w:p w14:paraId="29006E56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UN proper shipping name: Not applicable</w:t>
      </w:r>
    </w:p>
    <w:p w14:paraId="1095ABF7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Transport hazard class(es): Not applicable</w:t>
      </w:r>
    </w:p>
    <w:p w14:paraId="58F2EA96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Packing group: Not applicable</w:t>
      </w:r>
    </w:p>
    <w:p w14:paraId="7A1E5DBF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Environmental hazards: Not applicable</w:t>
      </w:r>
    </w:p>
    <w:p w14:paraId="79FF5FBF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Special precautions for user: None known</w:t>
      </w:r>
    </w:p>
    <w:p w14:paraId="550909D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Massengutbeförderung gemäß Anhang II des MARPOL-Übereinkommens 73/78 und gemäß IBC-Code</w:t>
      </w:r>
    </w:p>
    <w:p w14:paraId="56CC374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Vorschrift: nicht bewertet</w:t>
      </w:r>
    </w:p>
    <w:p w14:paraId="73719062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Transport zulässig: nicht bewertet</w:t>
      </w:r>
    </w:p>
    <w:p w14:paraId="66BCE78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Schadstoffname: nicht bewertet</w:t>
      </w:r>
    </w:p>
    <w:p w14:paraId="780AFD7B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Verschmutzungskategorie: nicht bewertet</w:t>
      </w:r>
    </w:p>
    <w:p w14:paraId="58AB56E9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proofErr w:type="spellStart"/>
      <w:r w:rsidRPr="000A1AE3">
        <w:rPr>
          <w:rFonts w:ascii="Arial" w:hAnsi="Arial" w:cs="Arial"/>
          <w:color w:val="000000"/>
          <w:sz w:val="18"/>
          <w:szCs w:val="18"/>
          <w:lang w:val="en-US"/>
        </w:rPr>
        <w:t>Schiffstyp</w:t>
      </w:r>
      <w:proofErr w:type="spellEnd"/>
      <w:r w:rsidRPr="000A1AE3">
        <w:rPr>
          <w:rFonts w:ascii="Arial" w:hAnsi="Arial" w:cs="Arial"/>
          <w:color w:val="000000"/>
          <w:sz w:val="18"/>
          <w:szCs w:val="18"/>
          <w:lang w:val="en-US"/>
        </w:rPr>
        <w:t xml:space="preserve">: </w:t>
      </w:r>
      <w:proofErr w:type="spellStart"/>
      <w:r w:rsidRPr="000A1AE3">
        <w:rPr>
          <w:rFonts w:ascii="Arial" w:hAnsi="Arial" w:cs="Arial"/>
          <w:color w:val="000000"/>
          <w:sz w:val="18"/>
          <w:szCs w:val="18"/>
          <w:lang w:val="en-US"/>
        </w:rPr>
        <w:t>nicht</w:t>
      </w:r>
      <w:proofErr w:type="spellEnd"/>
      <w:r w:rsidRPr="000A1AE3">
        <w:rPr>
          <w:rFonts w:ascii="Arial" w:hAnsi="Arial" w:cs="Arial"/>
          <w:color w:val="000000"/>
          <w:sz w:val="18"/>
          <w:szCs w:val="18"/>
          <w:lang w:val="en-US"/>
        </w:rPr>
        <w:t xml:space="preserve"> </w:t>
      </w:r>
      <w:proofErr w:type="spellStart"/>
      <w:r w:rsidRPr="000A1AE3">
        <w:rPr>
          <w:rFonts w:ascii="Arial" w:hAnsi="Arial" w:cs="Arial"/>
          <w:color w:val="000000"/>
          <w:sz w:val="18"/>
          <w:szCs w:val="18"/>
          <w:lang w:val="en-US"/>
        </w:rPr>
        <w:t>bewertet</w:t>
      </w:r>
      <w:proofErr w:type="spellEnd"/>
    </w:p>
    <w:p w14:paraId="403212F8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Transport in bulk according to Annex of MARPOL73/78 and the IBC Code</w:t>
      </w:r>
    </w:p>
    <w:p w14:paraId="5C0E8444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Regulation: Not evaluated</w:t>
      </w:r>
    </w:p>
    <w:p w14:paraId="33F50C2E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Shipment approved: Not evaluated</w:t>
      </w:r>
    </w:p>
    <w:p w14:paraId="5AE114A1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Pollution name: Not evaluated</w:t>
      </w:r>
    </w:p>
    <w:p w14:paraId="7742810B" w14:textId="7E85A103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Pollution category: Not evaluated</w:t>
      </w:r>
    </w:p>
    <w:p w14:paraId="4D5D8512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Ship Type: Not evaluated</w:t>
      </w:r>
    </w:p>
    <w:p w14:paraId="2CB933E5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</w:p>
    <w:p w14:paraId="17C6E9F8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lang w:val="en-US"/>
        </w:rPr>
      </w:pPr>
      <w:r w:rsidRPr="000A1AE3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 xml:space="preserve">15 </w:t>
      </w:r>
      <w:proofErr w:type="spellStart"/>
      <w:r w:rsidRPr="000A1AE3">
        <w:rPr>
          <w:rFonts w:ascii="Arial" w:hAnsi="Arial" w:cs="Arial"/>
          <w:b/>
          <w:bCs/>
          <w:color w:val="000000"/>
          <w:lang w:val="en-US"/>
        </w:rPr>
        <w:t>Rechtsvorschriften</w:t>
      </w:r>
      <w:proofErr w:type="spellEnd"/>
    </w:p>
    <w:p w14:paraId="450A8E2F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 w:rsidRPr="000A1AE3">
        <w:rPr>
          <w:rFonts w:ascii="Arial" w:hAnsi="Arial" w:cs="Arial"/>
          <w:b/>
          <w:bCs/>
          <w:color w:val="000000"/>
          <w:sz w:val="18"/>
          <w:szCs w:val="18"/>
          <w:lang w:val="en-US"/>
        </w:rPr>
        <w:t xml:space="preserve">15.1. </w:t>
      </w:r>
      <w:r>
        <w:rPr>
          <w:rFonts w:ascii="Arial" w:hAnsi="Arial" w:cs="Arial"/>
          <w:b/>
          <w:bCs/>
          <w:color w:val="000000"/>
          <w:sz w:val="18"/>
          <w:szCs w:val="18"/>
        </w:rPr>
        <w:t>Vorschriften zu Sicherheit, Gesundheits- und Umweltschutz/spezifische Rechtsvorschriften für</w:t>
      </w:r>
    </w:p>
    <w:p w14:paraId="40FD78A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den Stoff oder das Gemisch</w:t>
      </w:r>
    </w:p>
    <w:p w14:paraId="570AF88F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proofErr w:type="gramStart"/>
      <w:r>
        <w:rPr>
          <w:rFonts w:ascii="Arial" w:hAnsi="Arial" w:cs="Arial"/>
          <w:color w:val="000000"/>
          <w:sz w:val="20"/>
          <w:szCs w:val="20"/>
        </w:rPr>
        <w:t>EG Verordnung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(EG) Nr. 1907/2006 (REACH) Anhang XVII - Nicht anwendbar.</w:t>
      </w:r>
    </w:p>
    <w:p w14:paraId="5AEE67E1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Beschränkung der Herstellung des Inverkehrbringens und der Verwendung bestimmter</w:t>
      </w:r>
    </w:p>
    <w:p w14:paraId="07140C1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gefährlicher Stoffe, Mischungen und Erzeugnisse.</w:t>
      </w:r>
    </w:p>
    <w:p w14:paraId="272090AB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Lagerklasse: 11 = Brennbare Feststoffe</w:t>
      </w:r>
    </w:p>
    <w:p w14:paraId="275AC072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Wassergefährdungsklasse: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nwg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Anhang Nr. 1</w:t>
      </w:r>
    </w:p>
    <w:p w14:paraId="60916F5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5F95A47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  <w:r w:rsidRPr="006C7B76">
        <w:rPr>
          <w:rFonts w:ascii="Arial" w:hAnsi="Arial" w:cs="Arial"/>
          <w:b/>
          <w:bCs/>
          <w:color w:val="000000"/>
          <w:sz w:val="20"/>
          <w:szCs w:val="20"/>
        </w:rPr>
        <w:t xml:space="preserve">16 </w:t>
      </w:r>
      <w:r w:rsidRPr="006C7B76">
        <w:rPr>
          <w:rFonts w:ascii="Arial" w:hAnsi="Arial" w:cs="Arial"/>
          <w:b/>
          <w:bCs/>
          <w:color w:val="000000"/>
        </w:rPr>
        <w:t>Sonstige Angaben</w:t>
      </w:r>
    </w:p>
    <w:p w14:paraId="52F2EC0D" w14:textId="77777777" w:rsidR="000A1AE3" w:rsidRDefault="000A1AE3" w:rsidP="000A1AE3">
      <w:pPr>
        <w:autoSpaceDE w:val="0"/>
        <w:autoSpaceDN w:val="0"/>
        <w:adjustRightInd w:val="0"/>
        <w:spacing w:after="0" w:line="240" w:lineRule="auto"/>
        <w:ind w:left="48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Endgebrauch:                                            Kunststoff für 3D Druck</w:t>
      </w:r>
    </w:p>
    <w:p w14:paraId="4C569406" w14:textId="77777777" w:rsidR="000A1AE3" w:rsidRDefault="000A1AE3" w:rsidP="000A1AE3">
      <w:pPr>
        <w:autoSpaceDE w:val="0"/>
        <w:autoSpaceDN w:val="0"/>
        <w:adjustRightInd w:val="0"/>
        <w:spacing w:after="0" w:line="240" w:lineRule="auto"/>
        <w:ind w:left="48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 </w:t>
      </w:r>
    </w:p>
    <w:p w14:paraId="30799A33" w14:textId="77777777" w:rsidR="000A1AE3" w:rsidRDefault="000A1AE3" w:rsidP="000A1AE3">
      <w:pPr>
        <w:autoSpaceDE w:val="0"/>
        <w:autoSpaceDN w:val="0"/>
        <w:adjustRightInd w:val="0"/>
        <w:spacing w:after="0" w:line="240" w:lineRule="auto"/>
        <w:ind w:left="48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Revisionsgrund:                                         Verordnung (EU) 2020/878</w:t>
      </w:r>
    </w:p>
    <w:p w14:paraId="441D5F35" w14:textId="77777777" w:rsidR="000A1AE3" w:rsidRDefault="000A1AE3" w:rsidP="000A1AE3">
      <w:pPr>
        <w:autoSpaceDE w:val="0"/>
        <w:autoSpaceDN w:val="0"/>
        <w:adjustRightInd w:val="0"/>
        <w:spacing w:after="0" w:line="240" w:lineRule="auto"/>
        <w:ind w:left="48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Revisionsnummer:                                     23</w:t>
      </w:r>
    </w:p>
    <w:p w14:paraId="35DA5570" w14:textId="77777777" w:rsidR="000A1AE3" w:rsidRDefault="000A1AE3" w:rsidP="000A1AE3">
      <w:pPr>
        <w:autoSpaceDE w:val="0"/>
        <w:autoSpaceDN w:val="0"/>
        <w:adjustRightInd w:val="0"/>
        <w:spacing w:after="0" w:line="240" w:lineRule="auto"/>
        <w:ind w:left="48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Überarbeitet:                                             01.06.2024</w:t>
      </w:r>
    </w:p>
    <w:p w14:paraId="140C73B8" w14:textId="77777777" w:rsidR="000A1AE3" w:rsidRDefault="000A1AE3" w:rsidP="000A1AE3">
      <w:pPr>
        <w:autoSpaceDE w:val="0"/>
        <w:autoSpaceDN w:val="0"/>
        <w:adjustRightInd w:val="0"/>
        <w:spacing w:after="0" w:line="240" w:lineRule="auto"/>
        <w:ind w:left="48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Druckdatum:                                              01.06.2024</w:t>
      </w:r>
    </w:p>
    <w:p w14:paraId="3CC01F01" w14:textId="77777777" w:rsidR="000A1AE3" w:rsidRDefault="000A1AE3" w:rsidP="000A1AE3">
      <w:pPr>
        <w:autoSpaceDE w:val="0"/>
        <w:autoSpaceDN w:val="0"/>
        <w:adjustRightInd w:val="0"/>
        <w:spacing w:after="0" w:line="240" w:lineRule="auto"/>
        <w:ind w:left="480" w:hanging="480"/>
        <w:rPr>
          <w:rFonts w:ascii="Arial" w:hAnsi="Arial" w:cs="Arial"/>
          <w:sz w:val="20"/>
          <w:szCs w:val="20"/>
        </w:rPr>
      </w:pPr>
    </w:p>
    <w:p w14:paraId="1DB85315" w14:textId="435807D3" w:rsidR="000A1AE3" w:rsidRDefault="000A1AE3" w:rsidP="000A1AE3">
      <w:pPr>
        <w:autoSpaceDE w:val="0"/>
        <w:autoSpaceDN w:val="0"/>
        <w:adjustRightInd w:val="0"/>
        <w:spacing w:after="0" w:line="240" w:lineRule="auto"/>
        <w:ind w:left="48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Alle anderen Abschnitte wurden auf Vollständigkeit und Aktualität geprüft. Das überarbeitete</w:t>
      </w:r>
    </w:p>
    <w:p w14:paraId="6FFB70C5" w14:textId="2330F029" w:rsidR="000A1AE3" w:rsidRDefault="000A1AE3" w:rsidP="000A1AE3">
      <w:pPr>
        <w:autoSpaceDE w:val="0"/>
        <w:autoSpaceDN w:val="0"/>
        <w:adjustRightInd w:val="0"/>
        <w:spacing w:after="0" w:line="240" w:lineRule="auto"/>
        <w:ind w:left="48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Sicherheitsdatenblatt entspricht nach diesen Änderungen den Vorgaben der Verordnung (EU)</w:t>
      </w:r>
    </w:p>
    <w:p w14:paraId="317235F1" w14:textId="70FE89DA" w:rsidR="000A1AE3" w:rsidRDefault="000A1AE3" w:rsidP="000A1AE3">
      <w:pPr>
        <w:autoSpaceDE w:val="0"/>
        <w:autoSpaceDN w:val="0"/>
        <w:adjustRightInd w:val="0"/>
        <w:spacing w:after="0" w:line="240" w:lineRule="auto"/>
        <w:ind w:left="48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2020/878.</w:t>
      </w:r>
    </w:p>
    <w:p w14:paraId="058C2A75" w14:textId="77777777" w:rsidR="000A1AE3" w:rsidRDefault="000A1AE3" w:rsidP="000A1AE3">
      <w:pPr>
        <w:autoSpaceDE w:val="0"/>
        <w:autoSpaceDN w:val="0"/>
        <w:adjustRightInd w:val="0"/>
        <w:spacing w:after="0" w:line="240" w:lineRule="auto"/>
        <w:ind w:left="480" w:hanging="480"/>
        <w:rPr>
          <w:rFonts w:ascii="Arial" w:hAnsi="Arial" w:cs="Arial"/>
          <w:sz w:val="20"/>
          <w:szCs w:val="20"/>
        </w:rPr>
      </w:pPr>
    </w:p>
    <w:p w14:paraId="4C184607" w14:textId="77777777" w:rsidR="000A1AE3" w:rsidRPr="006C7B76" w:rsidRDefault="000A1AE3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</w:p>
    <w:p w14:paraId="0AD334E9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Die Angaben stützen sich auf den heutigen Stand der Kenntnisse und Erfahrungen. Die Weitergabe</w:t>
      </w:r>
    </w:p>
    <w:p w14:paraId="63A193A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erfolgt ohne Verbindlichkeit. Zusicherungen bestimmter Eigenschaften sind damit nicht verbunden.</w:t>
      </w:r>
    </w:p>
    <w:p w14:paraId="48AA52AC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Änderungen im Rahmen des technischen Fortschritts und betrieblicher Weiterentwicklung bleiben</w:t>
      </w:r>
    </w:p>
    <w:p w14:paraId="493264A1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davon unbenommen. Das Produkt sollte in Übereinstimmung mit guter industrieller Hygienepraxis und</w:t>
      </w:r>
    </w:p>
    <w:p w14:paraId="2BD83F32" w14:textId="2D4B4DA8" w:rsidR="003D3C26" w:rsidRDefault="006C7B76" w:rsidP="006C7B76">
      <w:r>
        <w:rPr>
          <w:rFonts w:ascii="Arial" w:hAnsi="Arial" w:cs="Arial"/>
          <w:color w:val="000000"/>
          <w:sz w:val="18"/>
          <w:szCs w:val="18"/>
        </w:rPr>
        <w:t>allen relevanten gesetzlichen Vorschriften gelagert, behandelt, und verarbeitet werden.</w:t>
      </w:r>
    </w:p>
    <w:sectPr w:rsidR="003D3C26" w:rsidSect="002C41D6">
      <w:headerReference w:type="default" r:id="rId7"/>
      <w:pgSz w:w="11906" w:h="16838"/>
      <w:pgMar w:top="2268" w:right="1418" w:bottom="1701" w:left="1418" w:header="51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3FDF4" w14:textId="77777777" w:rsidR="00B41847" w:rsidRDefault="00B41847" w:rsidP="006C7B76">
      <w:pPr>
        <w:spacing w:after="0" w:line="240" w:lineRule="auto"/>
      </w:pPr>
      <w:r>
        <w:separator/>
      </w:r>
    </w:p>
  </w:endnote>
  <w:endnote w:type="continuationSeparator" w:id="0">
    <w:p w14:paraId="0BD9E7FD" w14:textId="77777777" w:rsidR="00B41847" w:rsidRDefault="00B41847" w:rsidP="006C7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poS">
    <w:altName w:val="Segoe UI Historic"/>
    <w:panose1 w:val="020B0604020202020204"/>
    <w:charset w:val="00"/>
    <w:family w:val="auto"/>
    <w:pitch w:val="variable"/>
    <w:sig w:usb0="800001AF" w:usb1="000078F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EA5731" w14:textId="77777777" w:rsidR="00B41847" w:rsidRDefault="00B41847" w:rsidP="006C7B76">
      <w:pPr>
        <w:spacing w:after="0" w:line="240" w:lineRule="auto"/>
      </w:pPr>
      <w:r>
        <w:separator/>
      </w:r>
    </w:p>
  </w:footnote>
  <w:footnote w:type="continuationSeparator" w:id="0">
    <w:p w14:paraId="22264D5B" w14:textId="77777777" w:rsidR="00B41847" w:rsidRDefault="00B41847" w:rsidP="006C7B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07CEF" w14:textId="70AF9FA8" w:rsidR="006C7B76" w:rsidRDefault="006C7B76">
    <w:pPr>
      <w:pStyle w:val="Kopfzeile"/>
    </w:pPr>
    <w:r w:rsidRPr="00093603">
      <w:rPr>
        <w:rFonts w:ascii="CorpoS" w:hAnsi="CorpoS" w:cs="Arial"/>
        <w:noProof/>
      </w:rPr>
      <w:drawing>
        <wp:anchor distT="0" distB="0" distL="114300" distR="114300" simplePos="0" relativeHeight="251659264" behindDoc="1" locked="0" layoutInCell="1" allowOverlap="1" wp14:anchorId="1C8CF435" wp14:editId="1A777923">
          <wp:simplePos x="0" y="0"/>
          <wp:positionH relativeFrom="page">
            <wp:posOffset>-6985</wp:posOffset>
          </wp:positionH>
          <wp:positionV relativeFrom="paragraph">
            <wp:posOffset>-335915</wp:posOffset>
          </wp:positionV>
          <wp:extent cx="7739380" cy="10942320"/>
          <wp:effectExtent l="0" t="0" r="0" b="0"/>
          <wp:wrapNone/>
          <wp:docPr id="42" name="Grafik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9380" cy="10942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13E8B"/>
    <w:multiLevelType w:val="hybridMultilevel"/>
    <w:tmpl w:val="E4B22192"/>
    <w:lvl w:ilvl="0" w:tplc="377275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16227E4"/>
    <w:multiLevelType w:val="hybridMultilevel"/>
    <w:tmpl w:val="259C1B00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98220022">
    <w:abstractNumId w:val="0"/>
  </w:num>
  <w:num w:numId="2" w16cid:durableId="1950425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B76"/>
    <w:rsid w:val="000A1AE3"/>
    <w:rsid w:val="002C41D6"/>
    <w:rsid w:val="003D3C26"/>
    <w:rsid w:val="00485657"/>
    <w:rsid w:val="00622C72"/>
    <w:rsid w:val="006C7B76"/>
    <w:rsid w:val="007E0403"/>
    <w:rsid w:val="007E6BB6"/>
    <w:rsid w:val="00B41847"/>
    <w:rsid w:val="00C72AD5"/>
    <w:rsid w:val="00EE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21317B"/>
  <w15:chartTrackingRefBased/>
  <w15:docId w15:val="{2D6544BC-6623-4A65-ABC9-CE3B6AD9A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C7B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20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C7B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C7B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C7B76"/>
    <w:rPr>
      <w:rFonts w:asciiTheme="majorHAnsi" w:eastAsiaTheme="majorEastAsia" w:hAnsiTheme="majorHAnsi" w:cstheme="majorBidi"/>
      <w:b/>
      <w:sz w:val="20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C7B7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C7B7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6C7B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C7B76"/>
  </w:style>
  <w:style w:type="paragraph" w:styleId="Fuzeile">
    <w:name w:val="footer"/>
    <w:basedOn w:val="Standard"/>
    <w:link w:val="FuzeileZchn"/>
    <w:uiPriority w:val="99"/>
    <w:unhideWhenUsed/>
    <w:rsid w:val="006C7B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C7B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8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1880</Words>
  <Characters>11844</Characters>
  <Application>Microsoft Office Word</Application>
  <DocSecurity>0</DocSecurity>
  <Lines>98</Lines>
  <Paragraphs>27</Paragraphs>
  <ScaleCrop>false</ScaleCrop>
  <Company/>
  <LinksUpToDate>false</LinksUpToDate>
  <CharactersWithSpaces>13697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Reil</dc:creator>
  <cp:keywords/>
  <dc:description/>
  <cp:lastModifiedBy>ste ve</cp:lastModifiedBy>
  <cp:revision>3</cp:revision>
  <dcterms:created xsi:type="dcterms:W3CDTF">2024-06-01T15:56:00Z</dcterms:created>
  <dcterms:modified xsi:type="dcterms:W3CDTF">2024-07-01T12:56:00Z</dcterms:modified>
</cp:coreProperties>
</file>