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42B5" w14:textId="77777777" w:rsidR="00DB397E" w:rsidRDefault="00000000">
      <w:pPr>
        <w:jc w:val="center"/>
      </w:pPr>
      <w:r>
        <w:rPr>
          <w:b/>
          <w:sz w:val="32"/>
        </w:rPr>
        <w:t>CR AudioViz AI, LLC</w:t>
      </w:r>
    </w:p>
    <w:p w14:paraId="14D0E1C3" w14:textId="77777777" w:rsidR="00DB397E" w:rsidRDefault="00000000">
      <w:pPr>
        <w:jc w:val="center"/>
      </w:pPr>
      <w:r>
        <w:rPr>
          <w:sz w:val="28"/>
        </w:rPr>
        <w:t>Risk-Mitigation Appendix (Pre-Launch)</w:t>
      </w:r>
    </w:p>
    <w:p w14:paraId="2C71BEAC" w14:textId="77777777" w:rsidR="00DB397E" w:rsidRDefault="00000000">
      <w:pPr>
        <w:jc w:val="center"/>
      </w:pPr>
      <w:r>
        <w:rPr>
          <w:sz w:val="20"/>
        </w:rPr>
        <w:t>Business Plan v1.1 | Pre-Revenue Status</w:t>
      </w:r>
    </w:p>
    <w:p w14:paraId="22AC953E" w14:textId="77777777" w:rsidR="00DB397E" w:rsidRDefault="00DB397E"/>
    <w:p w14:paraId="51E62D4F" w14:textId="77777777" w:rsidR="00DB397E" w:rsidRDefault="00000000">
      <w:r>
        <w:rPr>
          <w:b/>
          <w:sz w:val="24"/>
        </w:rPr>
        <w:t>INTRODUCTION</w:t>
      </w:r>
    </w:p>
    <w:p w14:paraId="06651BF9" w14:textId="77777777" w:rsidR="00DB397E" w:rsidRDefault="00000000">
      <w:r>
        <w:t>This appendix identifies material business risks facing CR AudioViz AI, LLC (pre-launch stage) and details mitigation strategies. Risk assessment is ongoing. All projections assume successful commercial launch.</w:t>
      </w:r>
    </w:p>
    <w:p w14:paraId="6FEEE4FD" w14:textId="77777777" w:rsidR="00DB397E" w:rsidRDefault="00DB397E"/>
    <w:p w14:paraId="3AD3AD54" w14:textId="77777777" w:rsidR="00DB397E" w:rsidRDefault="00000000">
      <w:r>
        <w:rPr>
          <w:b/>
          <w:sz w:val="24"/>
        </w:rPr>
        <w:t>MARKET AND COMPETITIVE RISKS</w:t>
      </w:r>
    </w:p>
    <w:p w14:paraId="65AD4D40" w14:textId="77777777" w:rsidR="00DB397E" w:rsidRDefault="00000000">
      <w:r>
        <w:rPr>
          <w:b/>
        </w:rPr>
        <w:t>Risk 1.1: Market Adoption</w:t>
      </w:r>
    </w:p>
    <w:p w14:paraId="44797301" w14:textId="77777777" w:rsidR="00DB397E" w:rsidRDefault="00000000">
      <w:pPr>
        <w:ind w:left="360"/>
      </w:pPr>
      <w:r>
        <w:t>Description: Users may resist platform consolidation. Impact: Slower acquisition, extended profitability timeline. Mitigation: Free tier for trials, customer-first policies planned, gradual migration pathways designed, code ownership eliminating lock-in, targeted education campaigns.</w:t>
      </w:r>
    </w:p>
    <w:p w14:paraId="023DD6A4" w14:textId="77777777" w:rsidR="00DB397E" w:rsidRDefault="00DB397E"/>
    <w:p w14:paraId="19600CED" w14:textId="77777777" w:rsidR="00DB397E" w:rsidRDefault="00000000">
      <w:r>
        <w:rPr>
          <w:b/>
        </w:rPr>
        <w:t>Risk 1.2: Competitive Response</w:t>
      </w:r>
    </w:p>
    <w:p w14:paraId="14DC8E2F" w14:textId="77777777" w:rsidR="00DB397E" w:rsidRDefault="00000000">
      <w:pPr>
        <w:ind w:left="360"/>
      </w:pPr>
      <w:r>
        <w:t>Description: Established competitors may develop unified platforms. Impact: Increased competition, pricing pressure. Mitigation: First-mover advantage through completion speed, social impact focus on underserved segments, customer-first policies, diversified revenue, strategic partnerships.</w:t>
      </w:r>
    </w:p>
    <w:p w14:paraId="6C476063" w14:textId="77777777" w:rsidR="00DB397E" w:rsidRDefault="00DB397E"/>
    <w:p w14:paraId="0949A277" w14:textId="77777777" w:rsidR="00DB397E" w:rsidRDefault="00000000">
      <w:r>
        <w:rPr>
          <w:b/>
          <w:sz w:val="24"/>
        </w:rPr>
        <w:t>TECHNICAL AND OPERATIONAL RISKS</w:t>
      </w:r>
    </w:p>
    <w:p w14:paraId="68EA634E" w14:textId="77777777" w:rsidR="00DB397E" w:rsidRDefault="00000000">
      <w:r>
        <w:rPr>
          <w:b/>
        </w:rPr>
        <w:t>Risk 2.1: Platform Complexity</w:t>
      </w:r>
    </w:p>
    <w:p w14:paraId="02F08A65" w14:textId="77777777" w:rsidR="00DB397E" w:rsidRDefault="00000000">
      <w:pPr>
        <w:ind w:left="360"/>
      </w:pPr>
      <w:r>
        <w:t>Description: Unified architecture increases technical complexity. Impact: Outages, degraded performance, customer dissatisfaction. Mitigation: Enterprise infrastructure (Vercel, Supabase), 9 monitoring bots (24/7), comprehensive error logging, modular architecture, automated backups, Fortune 50 quality standards.</w:t>
      </w:r>
    </w:p>
    <w:p w14:paraId="60F9FD1C" w14:textId="77777777" w:rsidR="00DB397E" w:rsidRDefault="00DB397E"/>
    <w:p w14:paraId="717012C2" w14:textId="77777777" w:rsidR="00DB397E" w:rsidRDefault="00000000">
      <w:r>
        <w:rPr>
          <w:b/>
        </w:rPr>
        <w:lastRenderedPageBreak/>
        <w:t>Risk 2.2: Development Delays</w:t>
      </w:r>
    </w:p>
    <w:p w14:paraId="738C896B" w14:textId="77777777" w:rsidR="00DB397E" w:rsidRDefault="00000000">
      <w:pPr>
        <w:ind w:left="360"/>
      </w:pPr>
      <w:r>
        <w:t>Description: Remaining 17% may require more time than projected. Impact: Delayed launch, increased capital requirements. Mitigation: Phased release allowing monetization during completion, contractor flexibility enabling resource scaling, AI-assisted development, prioritization framework.</w:t>
      </w:r>
    </w:p>
    <w:p w14:paraId="7180D244" w14:textId="77777777" w:rsidR="00DB397E" w:rsidRDefault="00DB397E"/>
    <w:p w14:paraId="760F7967" w14:textId="77777777" w:rsidR="00DB397E" w:rsidRDefault="00000000">
      <w:r>
        <w:rPr>
          <w:b/>
          <w:sz w:val="24"/>
        </w:rPr>
        <w:t>FINANCIAL RISKS</w:t>
      </w:r>
    </w:p>
    <w:p w14:paraId="4AB16A9D" w14:textId="77777777" w:rsidR="00DB397E" w:rsidRDefault="00000000">
      <w:r>
        <w:rPr>
          <w:b/>
        </w:rPr>
        <w:t>Risk 3.1: Revenue Shortfalls</w:t>
      </w:r>
    </w:p>
    <w:p w14:paraId="1353EF2A" w14:textId="77777777" w:rsidR="00DB397E" w:rsidRDefault="00000000">
      <w:pPr>
        <w:ind w:left="360"/>
      </w:pPr>
      <w:r>
        <w:t>Description: Actual revenue may fall short of $1M ARR target. Impact: Extended profitability timeline, increased capital needs. Mitigation: Seven independent revenue streams, lean operational model, flexible pricing, grant funding ($600M+ pipeline), conservative projections, multiple go-to-market channels.</w:t>
      </w:r>
    </w:p>
    <w:p w14:paraId="160AE7D7" w14:textId="77777777" w:rsidR="00DB397E" w:rsidRDefault="00DB397E"/>
    <w:p w14:paraId="3B6CE4D1" w14:textId="77777777" w:rsidR="00DB397E" w:rsidRDefault="00000000">
      <w:r>
        <w:rPr>
          <w:b/>
        </w:rPr>
        <w:t>Risk 3.2: Pre-Launch Status</w:t>
      </w:r>
    </w:p>
    <w:p w14:paraId="5B930B3A" w14:textId="77777777" w:rsidR="00DB397E" w:rsidRDefault="00000000">
      <w:pPr>
        <w:ind w:left="360"/>
      </w:pPr>
      <w:r>
        <w:t>Description: Company is pre-revenue with unproven market demand. Impact: Uncertain commercialization success. Mitigation: Platform 83% complete proving technical feasibility, infrastructure operational and tested, market validation from BP.1 ($847B TAM), grant pipeline for non-dilutive capital, phased launch reducing risk.</w:t>
      </w:r>
    </w:p>
    <w:p w14:paraId="3322A017" w14:textId="77777777" w:rsidR="00DB397E" w:rsidRDefault="00DB397E"/>
    <w:p w14:paraId="52645B09" w14:textId="77777777" w:rsidR="00DB397E" w:rsidRDefault="00000000">
      <w:r>
        <w:rPr>
          <w:b/>
          <w:sz w:val="24"/>
        </w:rPr>
        <w:t>REGULATORY AND LEGAL RISKS</w:t>
      </w:r>
    </w:p>
    <w:p w14:paraId="6F054973" w14:textId="77777777" w:rsidR="00DB397E" w:rsidRDefault="00000000">
      <w:r>
        <w:rPr>
          <w:b/>
        </w:rPr>
        <w:t>Risk 4.1: Data Privacy and Security</w:t>
      </w:r>
    </w:p>
    <w:p w14:paraId="38DFB12C" w14:textId="77777777" w:rsidR="00DB397E" w:rsidRDefault="00000000">
      <w:pPr>
        <w:ind w:left="360"/>
      </w:pPr>
      <w:r>
        <w:t>Description: Platform handles user data subject to GDPR, CCPA regulations. Impact: Legal liability, regulatory penalties. Mitigation: Enterprise-grade security, row-level database security, regular security audits, privacy-by-design architecture, compliance monitoring, incident response procedures, cyber insurance planned.</w:t>
      </w:r>
    </w:p>
    <w:p w14:paraId="789CAA24" w14:textId="77777777" w:rsidR="00DB397E" w:rsidRDefault="00DB397E"/>
    <w:p w14:paraId="2D381A05" w14:textId="77777777" w:rsidR="00DB397E" w:rsidRDefault="00000000">
      <w:r>
        <w:rPr>
          <w:b/>
          <w:sz w:val="24"/>
        </w:rPr>
        <w:t>STRATEGIC RISKS</w:t>
      </w:r>
    </w:p>
    <w:p w14:paraId="5C4AFDDE" w14:textId="77777777" w:rsidR="00DB397E" w:rsidRDefault="00000000">
      <w:r>
        <w:rPr>
          <w:b/>
        </w:rPr>
        <w:t>Risk 5.1: Key Person Dependency</w:t>
      </w:r>
    </w:p>
    <w:p w14:paraId="43FA1580" w14:textId="77777777" w:rsidR="00DB397E" w:rsidRDefault="00000000">
      <w:pPr>
        <w:ind w:left="360"/>
      </w:pPr>
      <w:r>
        <w:t>Description: Platform development dependent on founding team. Impact: Development delays, operational disruption. Mitigation: Comprehensive documentation, 25 GitHub repositories maintaining complete history, contractor relationships, automated operations reducing dependencies, succession planning under development.</w:t>
      </w:r>
    </w:p>
    <w:p w14:paraId="6C179FE5" w14:textId="77777777" w:rsidR="00DB397E" w:rsidRDefault="00DB397E"/>
    <w:p w14:paraId="615E1092" w14:textId="77777777" w:rsidR="00DB397E" w:rsidRDefault="00000000">
      <w:r>
        <w:rPr>
          <w:b/>
        </w:rPr>
        <w:t>Risk 5.2: Execution Risk (Pre-Launch)</w:t>
      </w:r>
    </w:p>
    <w:p w14:paraId="70AE9EF5" w14:textId="77777777" w:rsidR="00DB397E" w:rsidRDefault="00000000">
      <w:pPr>
        <w:ind w:left="360"/>
      </w:pPr>
      <w:r>
        <w:t>Description: Platform vision requires execution across multiple complex domains. Impact: Objectives not achieved, opportunity missed. Mitigation: Phased execution strategy, platform 83% complete demonstrating capability, Fortune 50 quality standards, prioritization framework, regular reviews, AI-assisted development.</w:t>
      </w:r>
    </w:p>
    <w:p w14:paraId="761508BF" w14:textId="77777777" w:rsidR="00DB397E" w:rsidRDefault="00DB397E"/>
    <w:p w14:paraId="1FFD8F62" w14:textId="77777777" w:rsidR="00DB397E" w:rsidRDefault="00000000">
      <w:r>
        <w:rPr>
          <w:b/>
          <w:sz w:val="24"/>
        </w:rPr>
        <w:t>CONCLUSION</w:t>
      </w:r>
    </w:p>
    <w:p w14:paraId="5D727027" w14:textId="77777777" w:rsidR="00DB397E" w:rsidRDefault="00000000">
      <w:r>
        <w:t>CR AudioViz AI management recognizes material business risks in pre-launch stage and maintains active mitigation strategies. Primary risks center on market adoption uncertainty, technical execution, and pre-revenue status. Mitigation focuses on technical validation, market validation (BP.1), infrastructure readiness, and diversified revenue model. Risk assessment is ongoing and management maintains transparent stakeholder communication. This appendix supplements Business Plan v1.1.</w:t>
      </w:r>
    </w:p>
    <w:sectPr w:rsidR="00DB397E" w:rsidSect="00DC49A2">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118A" w14:textId="77777777" w:rsidR="007A7987" w:rsidRDefault="007A7987">
      <w:pPr>
        <w:spacing w:after="0" w:line="240" w:lineRule="auto"/>
      </w:pPr>
      <w:r>
        <w:separator/>
      </w:r>
    </w:p>
  </w:endnote>
  <w:endnote w:type="continuationSeparator" w:id="0">
    <w:p w14:paraId="42DBFB44" w14:textId="77777777" w:rsidR="007A7987" w:rsidRDefault="007A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BB79" w14:textId="77777777" w:rsidR="00DC49A2" w:rsidRDefault="00DC49A2" w:rsidP="00DC49A2">
    <w:pPr>
      <w:pStyle w:val="Footer"/>
    </w:pPr>
    <w:r>
      <w:t xml:space="preserve">CR </w:t>
    </w:r>
    <w:proofErr w:type="spellStart"/>
    <w:r>
      <w:t>AudioViz</w:t>
    </w:r>
    <w:proofErr w:type="spellEnd"/>
    <w:r>
      <w:t xml:space="preserve"> AI, LLC — Confidential</w:t>
    </w:r>
  </w:p>
  <w:p w14:paraId="69EA932D" w14:textId="7D1C9CD3" w:rsidR="00DB397E" w:rsidRDefault="00DC49A2" w:rsidP="00DC49A2">
    <w:pPr>
      <w:pStyle w:val="Footer"/>
    </w:pPr>
    <w:r>
      <w:t xml:space="preserve">© 2026 CR </w:t>
    </w:r>
    <w:proofErr w:type="spellStart"/>
    <w:r>
      <w:t>AudioViz</w:t>
    </w:r>
    <w:proofErr w:type="spellEnd"/>
    <w:r>
      <w:t xml:space="preserve"> AI, LLC. All rights reserved.</w:t>
    </w:r>
    <w:r>
      <w:tab/>
    </w:r>
    <w:r>
      <w:tab/>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6FF9" w14:textId="77777777" w:rsidR="00DC49A2" w:rsidRDefault="00DC49A2" w:rsidP="00DC49A2">
    <w:pPr>
      <w:pStyle w:val="Footer"/>
    </w:pPr>
    <w:r>
      <w:t xml:space="preserve">CR </w:t>
    </w:r>
    <w:proofErr w:type="spellStart"/>
    <w:r>
      <w:t>AudioViz</w:t>
    </w:r>
    <w:proofErr w:type="spellEnd"/>
    <w:r>
      <w:t xml:space="preserve"> AI, LLC — Confidential</w:t>
    </w:r>
  </w:p>
  <w:p w14:paraId="75498EC0" w14:textId="77777777" w:rsidR="00DC49A2" w:rsidRDefault="00DC49A2" w:rsidP="00DC49A2">
    <w:pPr>
      <w:pStyle w:val="Footer"/>
    </w:pPr>
    <w:r>
      <w:t xml:space="preserve">© 2026 CR </w:t>
    </w:r>
    <w:proofErr w:type="spellStart"/>
    <w:r>
      <w:t>AudioViz</w:t>
    </w:r>
    <w:proofErr w:type="spellEnd"/>
    <w:r>
      <w:t xml:space="preserve"> AI, LLC. All rights reserved.</w:t>
    </w:r>
    <w:r>
      <w:tab/>
    </w:r>
    <w:r>
      <w:tab/>
      <w:t xml:space="preserve">Page </w:t>
    </w:r>
    <w:r>
      <w:fldChar w:fldCharType="begin"/>
    </w:r>
    <w:r>
      <w:instrText xml:space="preserve"> PAGE   \* MERGEFORMAT </w:instrText>
    </w:r>
    <w:r>
      <w:fldChar w:fldCharType="separate"/>
    </w:r>
    <w: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3</w:t>
    </w:r>
    <w:r>
      <w:rPr>
        <w:noProof/>
      </w:rPr>
      <w:fldChar w:fldCharType="end"/>
    </w:r>
  </w:p>
  <w:p w14:paraId="6CA44BF7" w14:textId="77777777" w:rsidR="00DC49A2" w:rsidRDefault="00DC4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99050" w14:textId="77777777" w:rsidR="007A7987" w:rsidRDefault="007A7987">
      <w:pPr>
        <w:spacing w:after="0" w:line="240" w:lineRule="auto"/>
      </w:pPr>
      <w:r>
        <w:separator/>
      </w:r>
    </w:p>
  </w:footnote>
  <w:footnote w:type="continuationSeparator" w:id="0">
    <w:p w14:paraId="68197DBC" w14:textId="77777777" w:rsidR="007A7987" w:rsidRDefault="007A7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CBC2" w14:textId="22EB60BA" w:rsidR="00DC49A2" w:rsidRDefault="00DC49A2">
    <w:pPr>
      <w:pStyle w:val="Header"/>
    </w:pPr>
    <w:r>
      <w:ptab w:relativeTo="margin" w:alignment="center" w:leader="none"/>
    </w:r>
    <w:r>
      <w:rPr>
        <w:noProof/>
      </w:rPr>
      <w:drawing>
        <wp:inline distT="0" distB="0" distL="0" distR="0" wp14:anchorId="3AEA773E" wp14:editId="08B52C2A">
          <wp:extent cx="1143000" cy="758952"/>
          <wp:effectExtent l="0" t="0" r="0" b="3175"/>
          <wp:docPr id="19785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796" name="Picture 197853796"/>
                  <pic:cNvPicPr/>
                </pic:nvPicPr>
                <pic:blipFill>
                  <a:blip r:embed="rId1"/>
                  <a:stretch>
                    <a:fillRect/>
                  </a:stretch>
                </pic:blipFill>
                <pic:spPr>
                  <a:xfrm>
                    <a:off x="0" y="0"/>
                    <a:ext cx="1143000" cy="7589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30823">
    <w:abstractNumId w:val="8"/>
  </w:num>
  <w:num w:numId="2" w16cid:durableId="419256781">
    <w:abstractNumId w:val="6"/>
  </w:num>
  <w:num w:numId="3" w16cid:durableId="2051343525">
    <w:abstractNumId w:val="5"/>
  </w:num>
  <w:num w:numId="4" w16cid:durableId="1248883181">
    <w:abstractNumId w:val="4"/>
  </w:num>
  <w:num w:numId="5" w16cid:durableId="1731925069">
    <w:abstractNumId w:val="7"/>
  </w:num>
  <w:num w:numId="6" w16cid:durableId="143595708">
    <w:abstractNumId w:val="3"/>
  </w:num>
  <w:num w:numId="7" w16cid:durableId="143086417">
    <w:abstractNumId w:val="2"/>
  </w:num>
  <w:num w:numId="8" w16cid:durableId="1823811875">
    <w:abstractNumId w:val="1"/>
  </w:num>
  <w:num w:numId="9" w16cid:durableId="35673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69A"/>
    <w:rsid w:val="007A7987"/>
    <w:rsid w:val="00AA1D8D"/>
    <w:rsid w:val="00B47730"/>
    <w:rsid w:val="00CB0664"/>
    <w:rsid w:val="00DB397E"/>
    <w:rsid w:val="00DC4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47A690"/>
  <w14:defaultImageDpi w14:val="300"/>
  <w15:docId w15:val="{F8D0E7D2-07F0-4BA9-8EC1-2DFD2D4D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454</Words>
  <Characters>3552</Characters>
  <Application>Microsoft Office Word</Application>
  <DocSecurity>0</DocSecurity>
  <Lines>75</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 Henderson</cp:lastModifiedBy>
  <cp:revision>2</cp:revision>
  <dcterms:created xsi:type="dcterms:W3CDTF">2013-12-23T23:15:00Z</dcterms:created>
  <dcterms:modified xsi:type="dcterms:W3CDTF">2026-01-19T21:49:00Z</dcterms:modified>
  <cp:category/>
</cp:coreProperties>
</file>