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Nirmala UI" w:hAnsi="Nirmala UI" w:eastAsia="Nirmala UI"/>
          <w:b/>
          <w:i w:val="0"/>
          <w:color w:val="1A234E"/>
          <w:sz w:val="28"/>
        </w:rPr>
        <w:t>प्रमुख तथ्य एवं बचाव आधार (सारांश)</w:t>
      </w:r>
    </w:p>
    <w:p>
      <w:pPr>
        <w:spacing w:before="40" w:after="60"/>
        <w:ind w:left="432" w:hanging="288"/>
      </w:pPr>
      <w:r>
        <w:rPr>
          <w:rFonts w:ascii="Nirmala UI" w:hAnsi="Nirmala UI" w:eastAsia="Nirmala UI"/>
          <w:b w:val="0"/>
          <w:i w:val="0"/>
          <w:color w:val="1A234E"/>
          <w:sz w:val="22"/>
        </w:rPr>
        <w:t>—  FSL रिपोर्ट गलत मानक (IS 1199:2018 — केवल ताजे कंक्रीट के लिए) पर आधारित; कठोर मोर्टार हेतु IS 2250:1981 + ASTM C1324 लागू होते हैं</w:t>
      </w:r>
    </w:p>
    <w:p>
      <w:pPr>
        <w:spacing w:before="40" w:after="60"/>
        <w:ind w:left="432" w:hanging="288"/>
      </w:pPr>
      <w:r>
        <w:rPr>
          <w:rFonts w:ascii="Nirmala UI" w:hAnsi="Nirmala UI" w:eastAsia="Nirmala UI"/>
          <w:b w:val="0"/>
          <w:i w:val="0"/>
          <w:color w:val="1A234E"/>
          <w:sz w:val="22"/>
        </w:rPr>
        <w:t>—  नमूना-संग्रह प्रतिकूल मौसम (वर्षा/तूफान) में — IS 4031 Cl.5.1 का 27±2°C तापमान नियंत्रण अनुपालित नहीं</w:t>
      </w:r>
    </w:p>
    <w:p>
      <w:pPr>
        <w:spacing w:before="40" w:after="60"/>
        <w:ind w:left="432" w:hanging="288"/>
      </w:pPr>
      <w:r>
        <w:rPr>
          <w:rFonts w:ascii="Nirmala UI" w:hAnsi="Nirmala UI" w:eastAsia="Nirmala UI"/>
          <w:b w:val="0"/>
          <w:i w:val="0"/>
          <w:color w:val="1A234E"/>
          <w:sz w:val="22"/>
        </w:rPr>
        <w:t>—  नमूने प्रतिनिधिक (Representative) नहीं थे — IS 3535:1986 Cl.5.7.5 के अनुसार तीन भागों में विभाजन (Three-Way Split) नहीं किया गया</w:t>
      </w:r>
    </w:p>
    <w:p>
      <w:pPr>
        <w:spacing w:before="40" w:after="60"/>
        <w:ind w:left="432" w:hanging="288"/>
      </w:pPr>
      <w:r>
        <w:rPr>
          <w:rFonts w:ascii="Nirmala UI" w:hAnsi="Nirmala UI" w:eastAsia="Nirmala UI"/>
          <w:b w:val="0"/>
          <w:i w:val="0"/>
          <w:color w:val="1A234E"/>
          <w:sz w:val="22"/>
        </w:rPr>
        <w:t>—  अभिरक्षा श्रृंखला (Chain of Custody) का पूर्ण अभाव — कोई जब्ती मेमो / पंचनामा नहीं</w:t>
      </w:r>
    </w:p>
    <w:p>
      <w:pPr>
        <w:spacing w:before="40" w:after="60"/>
        <w:ind w:left="432" w:hanging="288"/>
      </w:pPr>
      <w:r>
        <w:rPr>
          <w:rFonts w:ascii="Nirmala UI" w:hAnsi="Nirmala UI" w:eastAsia="Nirmala UI"/>
          <w:b w:val="0"/>
          <w:i w:val="0"/>
          <w:color w:val="1A234E"/>
          <w:sz w:val="22"/>
        </w:rPr>
        <w:t>—  ठेकेदार प्रतिनिधि अनुपस्थित — IS 3535:1986 Cl.4.1 + CPWD Manual §§3.7.4, 12.2.1 का उल्लंघन</w:t>
      </w:r>
    </w:p>
    <w:p>
      <w:pPr>
        <w:spacing w:before="40" w:after="60"/>
        <w:ind w:left="432" w:hanging="288"/>
      </w:pPr>
      <w:r>
        <w:rPr>
          <w:rFonts w:ascii="Nirmala UI" w:hAnsi="Nirmala UI" w:eastAsia="Nirmala UI"/>
          <w:b w:val="0"/>
          <w:i w:val="0"/>
          <w:color w:val="1A234E"/>
          <w:sz w:val="22"/>
        </w:rPr>
        <w:t>—  ASTM C1324 §§7-8 के अंतर्गत 5-10mm कार्बोनेटेड परत नहीं हटाई — FSL परिणाम भ्रामक</w:t>
      </w:r>
    </w:p>
    <w:p>
      <w:pPr>
        <w:spacing w:before="40" w:after="60"/>
        <w:ind w:left="432" w:hanging="288"/>
      </w:pPr>
      <w:r>
        <w:rPr>
          <w:rFonts w:ascii="Nirmala UI" w:hAnsi="Nirmala UI" w:eastAsia="Nirmala UI"/>
          <w:b w:val="0"/>
          <w:i w:val="0"/>
          <w:color w:val="1A234E"/>
          <w:sz w:val="22"/>
        </w:rPr>
        <w:t>—  NDT परीक्षण (IS 13311 Parts 1-2) पूर्णतः अनुपस्थित — विद्यमान संरचना की सही जाँच-विधि अपनाई नहीं गई</w:t>
      </w:r>
    </w:p>
    <w:p>
      <w:pPr>
        <w:spacing w:before="80" w:after="80"/>
      </w:pPr>
      <w:r>
        <w:rPr>
          <w:color w:val="CCCCCC"/>
          <w:sz w:val="16"/>
        </w:rPr>
        <w:t>──────────────────────────────────────────────────────────────────────</w:t>
      </w:r>
    </w:p>
    <w:p>
      <w:pPr>
        <w:spacing w:before="280" w:after="80"/>
      </w:pPr>
      <w:r>
        <w:rPr>
          <w:rFonts w:ascii="Nirmala UI" w:hAnsi="Nirmala UI" w:eastAsia="Nirmala UI"/>
          <w:b/>
          <w:i w:val="0"/>
          <w:color w:val="1A234E"/>
          <w:sz w:val="28"/>
        </w:rPr>
        <w:t>विधिक आधार एवं तकनीकी मानक</w:t>
      </w:r>
    </w:p>
    <w:p>
      <w:pPr>
        <w:spacing w:before="180" w:after="80"/>
      </w:pPr>
      <w:r>
        <w:rPr>
          <w:rFonts w:ascii="Nirmala UI" w:hAnsi="Nirmala UI" w:eastAsia="Nirmala UI"/>
          <w:b/>
          <w:i w:val="0"/>
          <w:color w:val="263670"/>
          <w:sz w:val="24"/>
        </w:rPr>
        <w:t>आधार-1: गलत मानक का प्रयोग — IS 1199:2018 कठोर मोर्टार पर लागू नहीं होता</w:t>
      </w:r>
    </w:p>
    <w:p>
      <w:pPr>
        <w:spacing w:before="60" w:after="120" w:line="340" w:lineRule="exact"/>
        <w:jc w:val="both"/>
      </w:pPr>
      <w:r>
        <w:rPr>
          <w:rFonts w:ascii="Nirmala UI" w:hAnsi="Nirmala UI" w:eastAsia="Nirmala UI"/>
          <w:b w:val="0"/>
          <w:i w:val="0"/>
          <w:sz w:val="22"/>
        </w:rPr>
        <w:t>प्रस्तुत प्रकरण में FSL रिपोर्ट का सबसे मौलिक एवं घातक दोष यह है कि संपूर्ण परीक्षण एक गलत तकनीकी मानक (Indian Standard) के अंतर्गत किया गया है। FSL ने विवादित दीवार के मोर्टार/सीमेंट नमूनों का परीक्षण IS 1199:2018 श्रृंखला के अंतर्गत किया है। IS 1199:2018 Bureau of Indian Standards (BIS) द्वारा जारी 'Methods of Sampling and Tests for Fresh Concrete' है — अर्थात् यह मानक विशेष रूप से और केवल 'ताजे कंक्रीट' (Fresh Concrete) के नमूनों के लिए है। इसके Scope Clause 1 में स्पष्ट रूप से लिखा है: 'This standard covers the methods of sampling and test for fresh concrete.' यह प्रावधान कठोर/कठोरीकृत मोर्टार (Hardened Masonry Mortar) पर किसी भी दशा में लागू नहीं होता।</w:t>
      </w:r>
    </w:p>
    <w:p>
      <w:pPr>
        <w:spacing w:before="60" w:after="120" w:line="340" w:lineRule="exact"/>
        <w:jc w:val="both"/>
      </w:pPr>
      <w:r>
        <w:rPr>
          <w:rFonts w:ascii="Nirmala UI" w:hAnsi="Nirmala UI" w:eastAsia="Nirmala UI"/>
          <w:b w:val="0"/>
          <w:i w:val="0"/>
          <w:sz w:val="22"/>
        </w:rPr>
        <w:t>विवादित दीवार लगभग चार वर्ष पुरानी निर्मित संरचना थी। उसमें प्रयुक्त मोर्टार पूर्णतः कठोरीकृत (Hardened) अवस्था में था। कठोर मोर्टार की रासायनिक एवं यांत्रिक परीक्षण-विधि ताजे कंक्रीट से सर्वथा भिन्न होती है। ताजे कंक्रीट पर Slump Test, Flow Test आदि लागू होते हैं जो उसकी workability मापते हैं — इनका एक कठोर दीवार के मोर्टार से कोई वैज्ञानिक संबंध नहीं है। कठोर चिनाई मोर्टार (Hardened Masonry Mortar) के परीक्षण के लिए BIS द्वारा IS 2250:1981 (Specification for Preparation and Use of Masonry Mortars) एवं अंतर्राष्ट्रीय स्तर पर ASTM C1324 (Standard Test Method for Examination and Analysis of Hardened Masonry Mortar) निर्धारित हैं। इन दोनों मानकों में hardened mortar की petrographic examination, chemical composition analysis एवं carbonated layer removal की विस्तृत प्रक्रिया दी गई है।</w:t>
      </w:r>
    </w:p>
    <w:p>
      <w:pPr>
        <w:spacing w:before="60" w:after="120" w:line="340" w:lineRule="exact"/>
        <w:jc w:val="both"/>
      </w:pPr>
      <w:r>
        <w:rPr>
          <w:rFonts w:ascii="Nirmala UI" w:hAnsi="Nirmala UI" w:eastAsia="Nirmala UI"/>
          <w:b w:val="0"/>
          <w:i w:val="0"/>
          <w:sz w:val="22"/>
        </w:rPr>
        <w:t>स्वयं अभियोजन के विशेषज्ञ साक्षी ने जिरह के दौरान स्वीकार किया है कि IS 2250:1981 चिनाई मोर्टार के परीक्षण का सही मानक है। यह स्वीकृति स्वयं में FSL रिपोर्ट की मूल नींव को ध्वस्त करती है। जब परीक्षण का आधार ही गलत मानक पर टिका हो, तो उससे निकाले गए सभी निष्कर्ष विधिक एवं वैज्ञानिक दृष्टि से शून्य (Void ab initio) हैं। गलत मानक पर आधारित विशेषज्ञ राय को न्यायालय तब तक स्वीकार नहीं कर सकता जब तक कि उसका वैज्ञानिक आधार स्वतंत्र रूप से न्यायालय के समक्ष सत्यापित न हो। आवेदक का स्पष्ट निवेदन है कि FSL रिपोर्ट को इस मूलभूत दोष के आधार पर ही अग्राह्य (Inadmissible) घोषित किया जाए।</w:t>
      </w:r>
    </w:p>
    <w:p>
      <w:pPr>
        <w:spacing w:before="160" w:after="0"/>
      </w:pPr>
      <w:r>
        <w:rPr>
          <w:rFonts w:ascii="Nirmala UI" w:hAnsi="Nirmala UI" w:eastAsia="Nirmala UI"/>
          <w:b/>
          <w:color w:val="D97300"/>
          <w:sz w:val="18"/>
        </w:rPr>
        <w:t>■ IS 1199:2018 vs IS 2250:1981 vs ASTM C1324  [अनुलग्नक A, B, C]</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IS 1199:2018 — Scope Clause 1 (BIS):</w:t>
              <w:br/>
              <w:t xml:space="preserve">  "This standard covers methods of sampling</w:t>
              <w:br/>
              <w:t xml:space="preserve">   and test for FRESH CONCRETE only."</w:t>
              <w:br/>
              <w:t xml:space="preserve">   [Slump test, flow test, compaction factor — ALL</w:t>
              <w:br/>
              <w:t xml:space="preserve">    apply to fresh concrete, NOT hardened mortar]</w:t>
              <w:br/>
              <w:br/>
              <w:t>IS 2250:1981 — CORRECT Standard (BIS):</w:t>
              <w:br/>
              <w:t xml:space="preserve">  Specification for Preparation and Use of</w:t>
              <w:br/>
              <w:t xml:space="preserve">  Masonry Mortars</w:t>
              <w:br/>
              <w:t xml:space="preserve">  [Covers hardened masonry mortar testing — THIS</w:t>
              <w:br/>
              <w:t xml:space="preserve">   is what should have been applied]</w:t>
              <w:br/>
              <w:br/>
              <w:t>ASTM C1324 — International Standard:</w:t>
              <w:br/>
              <w:t xml:space="preserve">  Examination and Analysis of Hardened Masonry</w:t>
              <w:br/>
              <w:t xml:space="preserve">  Mortar — microscopy + chemical analysis</w:t>
              <w:br/>
              <w:t xml:space="preserve">  [Mandatory pre-treatment: remove 5-10mm</w:t>
              <w:br/>
              <w:t xml:space="preserve">   carbonated outer layer before analysis]</w:t>
            </w:r>
          </w:p>
        </w:tc>
      </w:tr>
    </w:tbl>
    <w:p>
      <w:pPr>
        <w:spacing w:before="40"/>
      </w:pPr>
    </w:p>
    <w:p>
      <w:pPr>
        <w:spacing w:before="160" w:after="40"/>
      </w:pPr>
      <w:r>
        <w:rPr>
          <w:rFonts w:ascii="Nirmala UI" w:hAnsi="Nirmala UI" w:eastAsia="Nirmala UI"/>
          <w:b/>
          <w:color w:val="1A73E8"/>
          <w:sz w:val="18"/>
        </w:rPr>
        <w:t>◆ अनुलग्नक D — अधिवक्ता नोट (Counsel Note):</w:t>
      </w: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40"/>
              <w:ind w:left="160"/>
            </w:pPr>
            <w:r>
              <w:rPr>
                <w:rFonts w:ascii="Times New Roman" w:hAnsi="Times New Roman"/>
                <w:b/>
                <w:color w:val="1A234E"/>
                <w:sz w:val="20"/>
              </w:rPr>
              <w:t>Tomaso Bruno v. State of UP (2015) 7 SCC 178</w:t>
            </w:r>
          </w:p>
          <w:p>
            <w:pPr>
              <w:spacing w:after="40"/>
              <w:ind w:left="160"/>
            </w:pPr>
            <w:r>
              <w:rPr>
                <w:rFonts w:ascii="Nirmala UI" w:hAnsi="Nirmala UI" w:eastAsia="Nirmala UI"/>
                <w:sz w:val="20"/>
              </w:rPr>
              <w:t>Verbatim quote अनुपस्थित — किन्तु RATIO सही है। अधिवक्ता महोदय ने स्वयं Paras 25–30 एवं Para 42 पढ़कर यह सत्यापित किया है कि न्यायालय ने medical expert opinion को defective foundation एवं facts से inconsistency के कारण अग्राह्य माना। Para 42 में court ने overall evidence की scrutiny करते हुए scientific foundation weak होने पर conviction से इनकार किया।</w:t>
            </w:r>
          </w:p>
          <w:p>
            <w:pPr>
              <w:spacing w:after="80"/>
              <w:ind w:left="160"/>
            </w:pPr>
            <w:r>
              <w:rPr>
                <w:rFonts w:ascii="Nirmala UI" w:hAnsi="Nirmala UI" w:eastAsia="Nirmala UI"/>
                <w:b/>
                <w:color w:val="1A73E8"/>
                <w:sz w:val="18"/>
              </w:rPr>
              <w:t>कार्यवाही: Certified copy प्राप्त करें → Paras 25–30 &amp; 42 Annexure D में संलग्न करें → SECONDARY supportive authority के रूप में प्रयोग करें।</w:t>
            </w:r>
          </w:p>
        </w:tc>
      </w:tr>
    </w:tbl>
    <w:p>
      <w:pPr>
        <w:spacing w:before="40"/>
      </w:pPr>
    </w:p>
    <w:p>
      <w:pPr>
        <w:spacing w:before="180" w:after="80"/>
      </w:pPr>
      <w:r>
        <w:rPr>
          <w:rFonts w:ascii="Nirmala UI" w:hAnsi="Nirmala UI" w:eastAsia="Nirmala UI"/>
          <w:b/>
          <w:i w:val="0"/>
          <w:color w:val="263670"/>
          <w:sz w:val="24"/>
        </w:rPr>
        <w:t>आधार-2: अभिरक्षा श्रृंखला (Chain of Custody) का पूर्ण अभाव</w:t>
      </w:r>
    </w:p>
    <w:p>
      <w:pPr>
        <w:spacing w:before="60" w:after="120" w:line="340" w:lineRule="exact"/>
        <w:jc w:val="both"/>
      </w:pPr>
      <w:r>
        <w:rPr>
          <w:rFonts w:ascii="Nirmala UI" w:hAnsi="Nirmala UI" w:eastAsia="Nirmala UI"/>
          <w:b w:val="0"/>
          <w:i w:val="0"/>
          <w:sz w:val="22"/>
        </w:rPr>
        <w:t>किसी भी आपराधिक प्रकरण में फोरेंसिक साक्ष्य की विश्वसनीयता उसकी 'अभिरक्षा श्रृंखला' (Chain of Custody) पर निर्भर करती है। अभिरक्षा श्रृंखला का अर्थ है — नमूने के घटनास्थल से संग्रह से लेकर FSL में जमा होने तक, प्रत्येक चरण में उसकी अभिरक्षा का सतत एवं प्रमाणित अभिलेख। इस श्रृंखला में किसी भी बिंदु पर रिक्ति (Gap) होने पर यह नहीं कहा जा सकता कि FSL में परीक्षणित नमूना वही है जो घटनास्थल से लिया गया था। प्रस्तुत प्रकरण में यह श्रृंखला पूर्णतः अनुपस्थित है।</w:t>
      </w:r>
    </w:p>
    <w:p>
      <w:pPr>
        <w:spacing w:before="60" w:after="120" w:line="340" w:lineRule="exact"/>
        <w:jc w:val="both"/>
      </w:pPr>
      <w:r>
        <w:rPr>
          <w:rFonts w:ascii="Nirmala UI" w:hAnsi="Nirmala UI" w:eastAsia="Nirmala UI"/>
          <w:b w:val="0"/>
          <w:i w:val="0"/>
          <w:sz w:val="22"/>
        </w:rPr>
        <w:t>IS 3535:1986 — 'Sampling of Hydraulic Cement' — Clause 4.1 के अंतर्गत यह अनिवार्य है कि नमूना-संग्रह के समय ठेकेदार/संबंधित पक्ष का प्रतिनिधि उपस्थित रहे। Clause 5.7.5 के अंतर्गत यह भी अनिवार्य है कि एकत्रित नमूने को तीन बराबर भागों में विभाजित किया जाए: पहला भाग FSL परीक्षण के लिए, दूसरा भाग ठेकेदार/बचाव पक्ष के स्वतंत्र परीक्षण के लिए, एवं तीसरा भाग रेफरी परीक्षण के लिए सुरक्षित रखा जाए। इन दोनों अनिवार्य प्रावधानों का प्रस्तुत प्रकरण में पालन नहीं किया गया।</w:t>
      </w:r>
    </w:p>
    <w:p>
      <w:pPr>
        <w:spacing w:before="60" w:after="120" w:line="340" w:lineRule="exact"/>
        <w:jc w:val="both"/>
      </w:pPr>
      <w:r>
        <w:rPr>
          <w:rFonts w:ascii="Nirmala UI" w:hAnsi="Nirmala UI" w:eastAsia="Nirmala UI"/>
          <w:b w:val="0"/>
          <w:i w:val="0"/>
          <w:sz w:val="22"/>
        </w:rPr>
        <w:t>इसके अतिरिक्त, ISO/IEC 17025 (NABL-Accredited Laboratories का अंतर्राष्ट्रीय मानक) के अंतर्गत प्रत्येक नमूने के साथ उसकी पूर्ण traceability — संग्रह की तिथि, स्थान, तापमान, परिवहन का माध्यम, FSL में प्राप्ति का अभिलेख — का दस्तावेजीकरण अनिवार्य है। प्रस्तुत FSL रिपोर्ट में इनमें से कोई भी जानकारी नहीं है। न कोई नमूना-संग्रह की रसीद है, न परिवहन का विवरण, न FSL में जमा होने की प्रविष्टि। इस प्रकार अभियोजन यह सिद्ध करने में सर्वथा असमर्थ है कि FSL में जो नमूने परीक्षणित हुए वे वास्तव में घटनास्थल की दीवार से ही लिए गए थे — और उनसे छेड़छाड़ नहीं की गई थी।</w:t>
      </w:r>
    </w:p>
    <w:p>
      <w:pPr>
        <w:spacing w:before="160" w:after="0"/>
      </w:pPr>
      <w:r>
        <w:rPr>
          <w:rFonts w:ascii="Nirmala UI" w:hAnsi="Nirmala UI" w:eastAsia="Nirmala UI"/>
          <w:b/>
          <w:color w:val="D97300"/>
          <w:sz w:val="18"/>
        </w:rPr>
        <w:t>■ IS 3535:1986 Cl.4.1 + Cl.5.7.5  [अनुलग्नक I, J]</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IS 3535:1986 — Cl. 4.1:</w:t>
              <w:br/>
              <w:t xml:space="preserve">  'The contractor's representative SHALL be present</w:t>
              <w:br/>
              <w:t xml:space="preserve">   during sample collection' (MANDATORY)</w:t>
              <w:br/>
              <w:br/>
              <w:t>IS 3535:1986 — Cl. 5.7.5:</w:t>
              <w:br/>
              <w:t xml:space="preserve">  'Sample SHALL be divided into three equal parts:</w:t>
              <w:br/>
              <w:t xml:space="preserve">   (a) FSL testing  (b) defence copy  (c) referee'</w:t>
              <w:br/>
              <w:t xml:space="preserve">   THREE-WAY SPLIT — MANDATORY</w:t>
              <w:br/>
              <w:br/>
              <w:t>ISO/IEC 17025 (NABL Lab Standard):</w:t>
              <w:br/>
              <w:t xml:space="preserve">  Traceability: collection date, temp, transport,</w:t>
              <w:br/>
              <w:t xml:space="preserve">  receipt record — ALL mandatory for valid report</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(2025 INSC 845) — अभिरक्षा श्रृंखला अनिवार्य:</w:t>
              <w:br/>
            </w:r>
            <w:r>
              <w:rPr>
                <w:rFonts w:ascii="Times New Roman" w:hAnsi="Times New Roman"/>
                <w:i/>
                <w:color w:val="1A375E"/>
                <w:sz w:val="20"/>
              </w:rPr>
              <w:t>"Right from the point of collection to the logical end, i.e., conviction or acquittal of the accused, a Chain of Custody Register shall be maintained... The chain of custody is completely missing. Therefore, the forensic report loses its evidentiary value and the benefit of doubt must unconditionally go to the accused."</w:t>
            </w:r>
          </w:p>
          <w:p>
            <w:pPr>
              <w:ind w:left="160"/>
            </w:pPr>
            <w:r>
              <w:rPr>
                <w:rFonts w:ascii="Times New Roman" w:hAnsi="Times New Roman"/>
                <w:b/>
                <w:color w:val="1A73E8"/>
                <w:sz w:val="18"/>
              </w:rPr>
              <w:t>— Kattavellai @ Devakar v. State of Tamil Nadu — 2025 INSC 845 [अनुलग्नक E]</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Uttarakhand HC (2026) — Chain of Custody के अभाव में FSL साक्ष्य अग्राह्य:</w:t>
              <w:br/>
            </w:r>
            <w:r>
              <w:rPr>
                <w:rFonts w:ascii="Times New Roman" w:hAnsi="Times New Roman"/>
                <w:i/>
                <w:color w:val="1A375E"/>
                <w:sz w:val="20"/>
              </w:rPr>
              <w:t>"A conviction must rest on legally proved evidence and not suspicion, however strong, and in the absence of a duly established chain of custody, forensic evidence loses its evidentiary value and cannot be treated as conclusive."</w:t>
            </w:r>
          </w:p>
          <w:p>
            <w:pPr>
              <w:ind w:left="160"/>
            </w:pPr>
            <w:r>
              <w:rPr>
                <w:rFonts w:ascii="Times New Roman" w:hAnsi="Times New Roman"/>
                <w:b/>
                <w:color w:val="1A73E8"/>
                <w:sz w:val="18"/>
              </w:rPr>
              <w:t>— Uttarakhand HC — March 2026 [अनुलग्नक H]</w:t>
            </w:r>
          </w:p>
        </w:tc>
      </w:tr>
    </w:tbl>
    <w:p>
      <w:pPr>
        <w:spacing w:before="40"/>
      </w:pPr>
    </w:p>
    <w:p>
      <w:pPr>
        <w:spacing w:before="180" w:after="80"/>
      </w:pPr>
      <w:r>
        <w:rPr>
          <w:rFonts w:ascii="Nirmala UI" w:hAnsi="Nirmala UI" w:eastAsia="Nirmala UI"/>
          <w:b/>
          <w:i w:val="0"/>
          <w:color w:val="263670"/>
          <w:sz w:val="24"/>
        </w:rPr>
        <w:t>आधार-3: पंचनामा / जब्ती मेमो का अभाव</w:t>
      </w:r>
    </w:p>
    <w:p>
      <w:pPr>
        <w:spacing w:before="60" w:after="120" w:line="340" w:lineRule="exact"/>
        <w:jc w:val="both"/>
      </w:pPr>
      <w:r>
        <w:rPr>
          <w:rFonts w:ascii="Nirmala UI" w:hAnsi="Nirmala UI" w:eastAsia="Nirmala UI"/>
          <w:b w:val="0"/>
          <w:i w:val="0"/>
          <w:sz w:val="22"/>
        </w:rPr>
        <w:t>पंचनामा (Panchnama) या जब्ती मेमो (Seizure Memo) किसी भी फोरेंसिक साक्ष्य की विधिक नींव है। यह वह आधारभूत दस्तावेज है जो घटनास्थल पर उपस्थित स्वतंत्र साक्षियों की उपस्थिति में नमूना-संग्रह की प्रक्रिया को प्रमाणित करता है। पंचनामे में घटनास्थल का विवरण, नमूने का विवरण, संग्रह की विधि, उपस्थित व्यक्तियों के हस्ताक्षर, एवं नमूने की पैकेजिंग-सीलिंग का अभिलेख होता है। बिना पंचनामे के अभियोजन यह सिद्ध करने में विफल रहता है कि (i) नमूना घटनास्थल से ही लिया गया, (ii) नमूने की पैकेजिंग सुरक्षित रही, तथा (iii) नमूने से छेड़छाड़ नहीं की गई।</w:t>
      </w:r>
    </w:p>
    <w:p>
      <w:pPr>
        <w:spacing w:before="60" w:after="120" w:line="340" w:lineRule="exact"/>
        <w:jc w:val="both"/>
      </w:pPr>
      <w:r>
        <w:rPr>
          <w:rFonts w:ascii="Nirmala UI" w:hAnsi="Nirmala UI" w:eastAsia="Nirmala UI"/>
          <w:b w:val="0"/>
          <w:i w:val="0"/>
          <w:sz w:val="22"/>
        </w:rPr>
        <w:t>IS 3535:1986 Clause 4.1 के अंतर्गत नमूना-संग्रह के समय एक विस्तृत अभिलेख बनाना अनिवार्य है जिसमें संग्रह की परिस्थितियाँ, तापमान, आर्द्रता, एवं उपस्थित व्यक्तियों का विवरण हो। BNSS 2023 (पूर्व में CrPC) के अंतर्गत भी यह सुनिश्चित करना अभियोजन का दायित्व है कि सभी भौतिक साक्ष्य स्वतंत्र साक्षियों की उपस्थिति में एकत्रित किए जाएँ। प्रस्तुत प्रकरण में कोई पंचनामा नहीं है, कोई जब्ती मेमो नहीं है, तथा कोई स्वतंत्र साक्षी का अभिलेख नहीं है। यह गंभीर प्रक्रियात्मक दोष FSL रिपोर्ट की विश्वसनीयता को पूर्णतः नष्ट करता है।</w:t>
      </w:r>
    </w:p>
    <w:p>
      <w:pPr>
        <w:spacing w:before="60" w:after="120" w:line="340" w:lineRule="exact"/>
        <w:jc w:val="both"/>
      </w:pPr>
      <w:r>
        <w:rPr>
          <w:rFonts w:ascii="Nirmala UI" w:hAnsi="Nirmala UI" w:eastAsia="Nirmala UI"/>
          <w:b w:val="0"/>
          <w:i w:val="0"/>
          <w:sz w:val="22"/>
        </w:rPr>
        <w:t>माननीय सर्वोच्च न्यायालय ने State of Maharashtra v. Damu (2000) 6 SCC 269 में स्पष्ट किया है कि अभियोजन का दायित्व है कि वह नमूने की जब्ती से लेकर FSL में परीक्षण तक की 'सुरक्षित अभिरक्षा' को सिद्ध करे। इसमें विफलता FSL रिपोर्ट को अविश्वसनीय बनाती है। एक 2026 के सर्वोच्च न्यायालय के निर्णय में यह भी स्पष्ट किया गया कि जब स्वतंत्र साक्षी केवल हस्ताक्षर करते हैं परंतु प्रक्रिया की जानकारी नहीं देते, तो ऐसा पंचनामा भी अग्राह्य हो जाता है। यहाँ तो पंचनामा ही नहीं है।</w:t>
      </w: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(2026) — पंचनामा अग्राह्यता:</w:t>
              <w:br/>
            </w:r>
            <w:r>
              <w:rPr>
                <w:rFonts w:ascii="Times New Roman" w:hAnsi="Times New Roman"/>
                <w:i/>
                <w:color w:val="1A375E"/>
                <w:sz w:val="20"/>
              </w:rPr>
              <w:t>"Panchanamas would be inadmissible in court if they were prepared in a manner violating Section 162 CrPC. The Court expressed concern over witnesses merely attesting to the documents without providing details on how objects were discovered during searches."</w:t>
            </w:r>
          </w:p>
          <w:p>
            <w:pPr>
              <w:ind w:left="160"/>
            </w:pPr>
            <w:r>
              <w:rPr>
                <w:rFonts w:ascii="Times New Roman" w:hAnsi="Times New Roman"/>
                <w:b/>
                <w:color w:val="1A73E8"/>
                <w:sz w:val="18"/>
              </w:rPr>
              <w:t>— SC 2026 — Panchanama Inadmissibility [अनुलग्नक F]</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(2000) — जब्ती से FSL तक सुरक्षित अभिरक्षा अनिवार्य:</w:t>
              <w:br/>
            </w:r>
            <w:r>
              <w:rPr>
                <w:rFonts w:ascii="Times New Roman" w:hAnsi="Times New Roman"/>
                <w:i/>
                <w:color w:val="1A375E"/>
                <w:sz w:val="20"/>
              </w:rPr>
              <w:t>"The prosecution has singularly failed to prove the safe custody of the seized articles from the point of seizure till the point of examination by the forensic expert."</w:t>
            </w:r>
          </w:p>
          <w:p>
            <w:pPr>
              <w:ind w:left="160"/>
            </w:pPr>
            <w:r>
              <w:rPr>
                <w:rFonts w:ascii="Times New Roman" w:hAnsi="Times New Roman"/>
                <w:b/>
                <w:color w:val="1A73E8"/>
                <w:sz w:val="18"/>
              </w:rPr>
              <w:t>— State of Maharashtra v. Damu (2000) 6 SCC 269 [अनुलग्नक F]</w:t>
            </w:r>
          </w:p>
        </w:tc>
      </w:tr>
    </w:tbl>
    <w:p>
      <w:pPr>
        <w:spacing w:before="40"/>
      </w:pPr>
    </w:p>
    <w:p>
      <w:pPr>
        <w:spacing w:before="180" w:after="80"/>
      </w:pPr>
      <w:r>
        <w:rPr>
          <w:rFonts w:ascii="Nirmala UI" w:hAnsi="Nirmala UI" w:eastAsia="Nirmala UI"/>
          <w:b/>
          <w:i w:val="0"/>
          <w:color w:val="263670"/>
          <w:sz w:val="24"/>
        </w:rPr>
        <w:t>आधार-4: वर्षा/तूफान में नमूना-संग्रह — वैज्ञानिक निष्कर्ष दूषित</w:t>
      </w:r>
    </w:p>
    <w:p>
      <w:pPr>
        <w:spacing w:before="60" w:after="120" w:line="340" w:lineRule="exact"/>
        <w:jc w:val="both"/>
      </w:pPr>
      <w:r>
        <w:rPr>
          <w:rFonts w:ascii="Nirmala UI" w:hAnsi="Nirmala UI" w:eastAsia="Nirmala UI"/>
          <w:b w:val="0"/>
          <w:i w:val="0"/>
          <w:sz w:val="22"/>
        </w:rPr>
        <w:t>सीमेंट एवं मोर्टार नमूनों के परीक्षण के लिए BIS एवं ASTM दोनों मानक अत्यंत कड़ी पर्यावरणिक शर्तें निर्धारित करते हैं। IS 4031 (Part 6) — जो 'Determination of Compressive Strength of Hydraulic Cement' की विधि बताता है — के Clause 5.1 में स्पष्ट रूप से यह अनिवार्य किया गया है कि परीक्षण कक्ष का तापमान 27±2°C तथा जल का तापमान भी 27±2°C हो। यह इसलिए अनिवार्य है क्योंकि तापमान और आर्द्रता में परिवर्तन से सीमेंट की hydration प्रक्रिया प्रभावित होती है, जिससे compressive strength के परिणाम सीधे बदल जाते हैं।</w:t>
      </w:r>
    </w:p>
    <w:p>
      <w:pPr>
        <w:spacing w:before="60" w:after="120" w:line="340" w:lineRule="exact"/>
        <w:jc w:val="both"/>
      </w:pPr>
      <w:r>
        <w:rPr>
          <w:rFonts w:ascii="Nirmala UI" w:hAnsi="Nirmala UI" w:eastAsia="Nirmala UI"/>
          <w:b w:val="0"/>
          <w:i w:val="0"/>
          <w:sz w:val="22"/>
        </w:rPr>
        <w:t>IS 2250:1981 के Clause 5.2 के अनुसार नमूना-संग्रह के दौरान नमूनों को वर्षा, सीधी धूप एवं प्रतिकूल मौसम से पूर्ण सुरक्षा प्रदान करना अनिवार्य है। ASTM C780 — जो field mortar evaluation का मानक है — यह स्पष्ट करता है कि मैदानी मौसमी परिस्थितियाँ मोर्टार परीक्षण के परिणामों की विश्वसनीयता को भौतिक रूप से (materially) विकृत कर सकती हैं। वर्षा के दौरान एकत्रित नमूने वर्षाजल को अवशोषित कर लेते हैं, जिससे उनकी chemical composition, water-cement ratio, एवं compressive strength के परिणाम वास्तविकता से सर्वथा भिन्न हो जाते हैं।</w:t>
      </w:r>
    </w:p>
    <w:p>
      <w:pPr>
        <w:spacing w:before="60" w:after="120" w:line="340" w:lineRule="exact"/>
        <w:jc w:val="both"/>
      </w:pPr>
      <w:r>
        <w:rPr>
          <w:rFonts w:ascii="Nirmala UI" w:hAnsi="Nirmala UI" w:eastAsia="Nirmala UI"/>
          <w:b w:val="0"/>
          <w:i w:val="0"/>
          <w:sz w:val="22"/>
        </w:rPr>
        <w:t>प्रस्तुत प्रकरण में नमूना-संग्रह भारी वर्षा/तूफान के दौरान किया गया था। इस दौरान न तो तापमान 27±2°C था, न ही कोई मौसम-सुरक्षा का उपाय अपनाया गया। FSL रिपोर्ट में नमूना-संग्रह के समय की मौसमी परिस्थितियों का कोई उल्लेख नहीं है — न तापमान का विवरण, न आर्द्रता का। इस प्रकार FSL रिपोर्ट के निष्कर्ष वर्षाजल-दूषित नमूनों पर आधारित हैं और इनका उस दीवार की वास्तविक निर्माण गुणवत्ता से कोई विश्वसनीय संबंध नहीं है।</w:t>
      </w:r>
    </w:p>
    <w:p>
      <w:pPr>
        <w:spacing w:before="160" w:after="0"/>
      </w:pPr>
      <w:r>
        <w:rPr>
          <w:rFonts w:ascii="Nirmala UI" w:hAnsi="Nirmala UI" w:eastAsia="Nirmala UI"/>
          <w:b/>
          <w:color w:val="D97300"/>
          <w:sz w:val="18"/>
        </w:rPr>
        <w:t>■ IS 4031 Cl.5.1 + IS 2250 Cl.5.2 + ASTM C780  [अनुलग्नक M, O]</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IS 4031 (Part 6) — Cl. 5.1:</w:t>
              <w:br/>
              <w:t xml:space="preserve">  'Temperature of water and test room SHALL be</w:t>
              <w:br/>
              <w:t xml:space="preserve">   27 ± 2°C'  (MANDATORY — deviations invalidate</w:t>
              <w:br/>
              <w:t xml:space="preserve">   compressive strength test results)</w:t>
              <w:br/>
              <w:br/>
              <w:t>IS 2250:1981 — Cl. 5.2:</w:t>
              <w:br/>
              <w:t xml:space="preserve">  'Samples SHALL be protected from rain, direct</w:t>
              <w:br/>
              <w:t xml:space="preserve">   sunlight and adverse weather during collection</w:t>
              <w:br/>
              <w:t xml:space="preserve">   and transport'</w:t>
              <w:br/>
              <w:br/>
              <w:t>ASTM C780 (Field Mortar Evaluation):</w:t>
              <w:br/>
              <w:t xml:space="preserve">  'Field weather can materially distort interpretive</w:t>
              <w:br/>
              <w:t xml:space="preserve">   reliability of mortar test results — rain-exposed</w:t>
              <w:br/>
              <w:t xml:space="preserve">   samples absorb water altering w/c ratio'</w:t>
            </w:r>
          </w:p>
        </w:tc>
      </w:tr>
    </w:tbl>
    <w:p>
      <w:pPr>
        <w:spacing w:before="40"/>
      </w:pPr>
    </w:p>
    <w:p>
      <w:pPr>
        <w:spacing w:before="180" w:after="80"/>
      </w:pPr>
      <w:r>
        <w:rPr>
          <w:rFonts w:ascii="Nirmala UI" w:hAnsi="Nirmala UI" w:eastAsia="Nirmala UI"/>
          <w:b/>
          <w:i w:val="0"/>
          <w:color w:val="263670"/>
          <w:sz w:val="24"/>
        </w:rPr>
        <w:t>आधार-5: कार्बोनेटेड परत नहीं हटाई — ASTM C1324 §§7-8 का उल्लंघन</w:t>
      </w:r>
    </w:p>
    <w:p>
      <w:pPr>
        <w:spacing w:before="60" w:after="120" w:line="340" w:lineRule="exact"/>
        <w:jc w:val="both"/>
      </w:pPr>
      <w:r>
        <w:rPr>
          <w:rFonts w:ascii="Nirmala UI" w:hAnsi="Nirmala UI" w:eastAsia="Nirmala UI"/>
          <w:b w:val="0"/>
          <w:i w:val="0"/>
          <w:sz w:val="22"/>
        </w:rPr>
        <w:t>कठोर मोर्टार (Hardened Masonry Mortar) के रासायनिक एवं खनिज-विज्ञान संबंधी परीक्षण में ASTM C1324 §§7-8 के अनुसार सबसे पहला और अनिवार्य चरण यह है कि नमूने की बाहरी 5-10mm की कार्बोनेटेड परत (Carbonated Layer) को सावधानी से हटाया जाए। यह परत समय के साथ वायु में मौजूद CO₂ के साथ मोर्टार की रासायनिक अभिक्रिया (Carbonation) से बनती है। इस परत की रासायनिक संरचना मूल मोर्टार से सर्वथा भिन्न होती है — इसमें CaCO₃ की मात्रा असामान्य रूप से अधिक होती है जो परीक्षण में मोर्टार को 'substandard' दिखा सकती है, भले ही मूल निर्माण सही हो।</w:t>
      </w:r>
    </w:p>
    <w:p>
      <w:pPr>
        <w:spacing w:before="60" w:after="120" w:line="340" w:lineRule="exact"/>
        <w:jc w:val="both"/>
      </w:pPr>
      <w:r>
        <w:rPr>
          <w:rFonts w:ascii="Nirmala UI" w:hAnsi="Nirmala UI" w:eastAsia="Nirmala UI"/>
          <w:b w:val="0"/>
          <w:i w:val="0"/>
          <w:sz w:val="22"/>
        </w:rPr>
        <w:t>ASTM C1324 के Section 7 में Specimen Preparation की विस्तृत विधि दी गई है जिसमें carbonated layer removal एक mandatory pre-treatment step है। Section 8 में chemical analysis के लिए यह अनिवार्य किया गया है कि केवल fresh, uncarbonated core material का ही परीक्षण किया जाए। यदि कार्बोनेटेड परत नहीं हटाई जाती तो cement content, lime content, एवं aggregate ratio के सभी परिणाम गलत आते हैं। इस प्रकार यह प्रक्रियात्मक चूक न केवल तकनीकी है — यह FSL रिपोर्ट के समस्त निष्कर्षों की वैज्ञानिक नींव को ध्वस्त करती है।</w:t>
      </w:r>
    </w:p>
    <w:p>
      <w:pPr>
        <w:spacing w:before="60" w:after="120" w:line="340" w:lineRule="exact"/>
        <w:jc w:val="both"/>
      </w:pPr>
      <w:r>
        <w:rPr>
          <w:rFonts w:ascii="Nirmala UI" w:hAnsi="Nirmala UI" w:eastAsia="Nirmala UI"/>
          <w:b w:val="0"/>
          <w:i w:val="0"/>
          <w:sz w:val="22"/>
        </w:rPr>
        <w:t>प्रस्तुत FSL रिपोर्ट में carbonated layer removal का कोई उल्लेख नहीं है। FSL विशेषज्ञ ने Specimen Preparation के चरणों का कोई विवरण नहीं दिया है। यह अत्यंत महत्वपूर्ण प्रक्रियात्मक चूक है क्योंकि विवादित दीवार चार वर्ष पुरानी थी — इतने समय में carbonation की परत अत्यधिक मोटी हो सकती है। बिना इस परत को हटाए किए गए परीक्षण के परिणाम 'void ab initio' हैं — अर्थात् वे उत्पत्ति से ही शून्य हैं।</w:t>
      </w:r>
    </w:p>
    <w:p>
      <w:pPr>
        <w:spacing w:before="160" w:after="0"/>
      </w:pPr>
      <w:r>
        <w:rPr>
          <w:rFonts w:ascii="Nirmala UI" w:hAnsi="Nirmala UI" w:eastAsia="Nirmala UI"/>
          <w:b/>
          <w:color w:val="D97300"/>
          <w:sz w:val="18"/>
        </w:rPr>
        <w:t>■ ASTM C1324 §§7-8 — Carbonated Layer Removal  [अनुलग्नक C, N]</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ASTM C1324 — §7 (Specimen Preparation — MANDATORY):</w:t>
              <w:br/>
              <w:t xml:space="preserve">  'Remove the outer carbonated layer to a depth of</w:t>
              <w:br/>
              <w:t xml:space="preserve">   5 to 10 mm prior to chemical analysis. Failure</w:t>
              <w:br/>
              <w:t xml:space="preserve">   to remove this layer WILL yield erroneous cement</w:t>
              <w:br/>
              <w:t xml:space="preserve">   content and composition results.'</w:t>
              <w:br/>
              <w:br/>
              <w:t>ASTM C1324 — §8 (Chemical Analysis):</w:t>
              <w:br/>
              <w:t xml:space="preserve">  'Only fresh, uncarbonated core material shall be</w:t>
              <w:br/>
              <w:t xml:space="preserve">   subjected to chemical analysis.'</w:t>
              <w:br/>
              <w:br/>
              <w:t xml:space="preserve">  Carbonation process: Ca(OH)₂ + CO₂ → CaCO₃</w:t>
              <w:br/>
              <w:t xml:space="preserve">  [Alters chemical composition of outer mortar layer</w:t>
              <w:br/>
              <w:t xml:space="preserve">   — makes 4-year-old wall appear 'substandard']</w:t>
            </w:r>
          </w:p>
        </w:tc>
      </w:tr>
    </w:tbl>
    <w:p>
      <w:pPr>
        <w:spacing w:before="40"/>
      </w:pPr>
    </w:p>
    <w:p>
      <w:pPr>
        <w:spacing w:before="180" w:after="80"/>
      </w:pPr>
      <w:r>
        <w:rPr>
          <w:rFonts w:ascii="Nirmala UI" w:hAnsi="Nirmala UI" w:eastAsia="Nirmala UI"/>
          <w:b/>
          <w:i w:val="0"/>
          <w:color w:val="263670"/>
          <w:sz w:val="24"/>
        </w:rPr>
        <w:t>आधार-6: ठेकेदार प्रतिनिधि की अनुपस्थिति — प्राकृतिक न्याय का मूल उल्लंघन</w:t>
      </w:r>
    </w:p>
    <w:p>
      <w:pPr>
        <w:spacing w:before="60" w:after="120" w:line="340" w:lineRule="exact"/>
        <w:jc w:val="both"/>
      </w:pPr>
      <w:r>
        <w:rPr>
          <w:rFonts w:ascii="Nirmala UI" w:hAnsi="Nirmala UI" w:eastAsia="Nirmala UI"/>
          <w:b w:val="0"/>
          <w:i w:val="0"/>
          <w:sz w:val="22"/>
        </w:rPr>
        <w:t>प्राकृतिक न्याय (Natural Justice) के सिद्धांत के दो मूल स्तंभ हैं: (i) Audi alteram partem — प्रत्येक पक्ष को सुनवाई का अवसर मिले, तथा (ii) Nemo judex in causa sua — कोई भी अपने मामले में न्यायाधीश न हो। इन सिद्धांतों को फोरेंसिक प्रक्रिया में लागू करने का अर्थ है कि जिस पक्ष के विरुद्ध साक्ष्य एकत्रित किए जा रहे हों, उसे उपस्थित रहने एवं प्रक्रिया की जाँच करने का अधिकार है। जब किसी ठेकेदार के विरुद्ध निर्माण गुणवत्ता के आरोप हों और फोरेंसिक नमूने उसके कार्य से लिए जाएँ, तो उसके प्रतिनिधि की अनुपस्थिति में किया गया परीक्षण एकतरफा (Ex-parte) एवं प्राकृतिक न्याय-विरुद्ध है।</w:t>
      </w:r>
    </w:p>
    <w:p>
      <w:pPr>
        <w:spacing w:before="60" w:after="120" w:line="340" w:lineRule="exact"/>
        <w:jc w:val="both"/>
      </w:pPr>
      <w:r>
        <w:rPr>
          <w:rFonts w:ascii="Nirmala UI" w:hAnsi="Nirmala UI" w:eastAsia="Nirmala UI"/>
          <w:b w:val="0"/>
          <w:i w:val="0"/>
          <w:sz w:val="22"/>
        </w:rPr>
        <w:t>IS 3535:1986 Clause 4.1 इस सिद्धांत को तकनीकी मानक के रूप में लागू करता है। यह मानक स्पष्ट रूप से अनिवार्य करता है कि ठेकेदार के प्रतिनिधि को नमूना-संग्रह के समय उपस्थित होने की सूचना दी जाए एवं उसे उपस्थित रहने का अवसर प्रदान किया जाए। CPWD Works Manual के §3.7.4 एवं §12.2.1 में भी यही प्रावधान है — public works में quality assurance के लिए ठेकेदार को पूर्व सूचना एवं प्रतिनिधि उपस्थिति का अधिकार है। इन प्रावधानों का उद्देश्य यह सुनिश्चित करना है कि नमूना-संग्रह प्रक्रिया पक्षपातपूर्ण न हो एवं ठेकेदार के पास अपना स्वतंत्र परीक्षण कराने का अवसर हो।</w:t>
      </w:r>
    </w:p>
    <w:p>
      <w:pPr>
        <w:spacing w:before="60" w:after="120" w:line="340" w:lineRule="exact"/>
        <w:jc w:val="both"/>
      </w:pPr>
      <w:r>
        <w:rPr>
          <w:rFonts w:ascii="Nirmala UI" w:hAnsi="Nirmala UI" w:eastAsia="Nirmala UI"/>
          <w:b w:val="0"/>
          <w:i w:val="0"/>
          <w:sz w:val="22"/>
        </w:rPr>
        <w:t>प्रस्तुत प्रकरण में न तो ठेकेदार को पूर्व सूचना दी गई, न ही उसके प्रतिनिधि को नमूना-संग्रह के समय उपस्थित होने का अवसर दिया गया। इस एकतरफा कार्यवाही का प्रत्यक्ष परिणाम यह हुआ कि ठेकेदार (i) नमूना-संग्रह की विधि पर आपत्ति नहीं उठा सका, (ii) अपना प्रतिनिधि नमूना नहीं ले सका, एवं (iii) स्वतंत्र प्रयोगशाला में पुनः परीक्षण नहीं करा सका। यह सब मिलकर बचाव के अधिकार (Right to Defence) का घोर उल्लंघन है। माननीय मद्रास उच्च न्यायालय (2025) एवं सर्वोच्च न्यायालय के अनेक निर्णयों में यह स्पष्ट किया गया है कि ऐसी एकतरफा फोरेंसिक कार्यवाही पर आधारित रिपोर्ट आरोप-निर्माण का आधार नहीं बन सकती।</w:t>
      </w:r>
    </w:p>
    <w:p>
      <w:pPr>
        <w:spacing w:before="160" w:after="0"/>
      </w:pPr>
      <w:r>
        <w:rPr>
          <w:rFonts w:ascii="Nirmala UI" w:hAnsi="Nirmala UI" w:eastAsia="Nirmala UI"/>
          <w:b/>
          <w:color w:val="D97300"/>
          <w:sz w:val="18"/>
        </w:rPr>
        <w:t>■ CPWD Manual §§3.7.4, 12.2.1 + IS 3535 Cl.4.1  [अनुलग्नक I, L]</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CPWD Works Manual — §3.7.4 &amp; §12.2.1:</w:t>
              <w:br/>
              <w:t xml:space="preserve">  'Contractor SHALL be given prior notice and</w:t>
              <w:br/>
              <w:t xml:space="preserve">   opportunity to depute representative during</w:t>
              <w:br/>
              <w:t xml:space="preserve">   sample collection and quality testing.</w:t>
              <w:br/>
              <w:t xml:space="preserve">   Failure to give notice vitiates QA process.'</w:t>
              <w:br/>
              <w:br/>
              <w:t>IS 3535:1986 — Cl. 4.1:</w:t>
              <w:br/>
              <w:t xml:space="preserve">  'The contractor's representative SHALL be present</w:t>
              <w:br/>
              <w:t xml:space="preserve">   at the time of sampling.' (MANDATORY)</w:t>
              <w:br/>
              <w:br/>
              <w:t xml:space="preserve">  Violations in this case:</w:t>
              <w:br/>
              <w:t xml:space="preserve">  ✗ No prior notice to contractor</w:t>
              <w:br/>
              <w:t xml:space="preserve">  ✗ No representative present</w:t>
              <w:br/>
              <w:t xml:space="preserve">  ✗ No independent counter-sample taken</w:t>
              <w:br/>
              <w:t xml:space="preserve">  ✗ No opportunity for re-testing</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Madras HC (2025) — एकतरफा फोरेंसिक संग्रह:</w:t>
              <w:br/>
            </w:r>
            <w:r>
              <w:rPr>
                <w:rFonts w:ascii="Times New Roman" w:hAnsi="Times New Roman"/>
                <w:i/>
                <w:color w:val="1A375E"/>
                <w:sz w:val="20"/>
              </w:rPr>
              <w:t>"Forensic sampling conducted in secrecy or without putting the affected party on notice vitiates the core principles of natural justice. Any adverse conclusion drawn from such ex-parte material cannot form the sole basis for framing charges."</w:t>
            </w:r>
          </w:p>
          <w:p>
            <w:pPr>
              <w:ind w:left="160"/>
            </w:pPr>
            <w:r>
              <w:rPr>
                <w:rFonts w:ascii="Times New Roman" w:hAnsi="Times New Roman"/>
                <w:b/>
                <w:color w:val="1A73E8"/>
                <w:sz w:val="18"/>
              </w:rPr>
              <w:t>— Madras HC (2025 SCC OnLine Mad 3214) [अनुलग्नक P]</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Madras HC (2025) — बचाव पक्ष का फोरेंसिक अधिकार:</w:t>
              <w:br/>
            </w:r>
            <w:r>
              <w:rPr>
                <w:rFonts w:ascii="Times New Roman" w:hAnsi="Times New Roman"/>
                <w:i/>
                <w:color w:val="1A375E"/>
                <w:sz w:val="20"/>
              </w:rPr>
              <w:t>"The accused is entitled to a fair opportunity to disprove the allegations against him. Denial of access to forensic comparison in the face of specific material forming part of defence evidence amounts to curtailment of such a right."</w:t>
            </w:r>
          </w:p>
          <w:p>
            <w:pPr>
              <w:ind w:left="160"/>
            </w:pPr>
            <w:r>
              <w:rPr>
                <w:rFonts w:ascii="Times New Roman" w:hAnsi="Times New Roman"/>
                <w:b/>
                <w:color w:val="1A73E8"/>
                <w:sz w:val="18"/>
              </w:rPr>
              <w:t>— Madras HC (2025 SCC OnLine Mad 3214) [अनुलग्नक P]</w:t>
            </w:r>
          </w:p>
        </w:tc>
      </w:tr>
    </w:tbl>
    <w:p>
      <w:pPr>
        <w:spacing w:before="40"/>
      </w:pPr>
    </w:p>
    <w:p>
      <w:pPr>
        <w:spacing w:before="180" w:after="80"/>
      </w:pPr>
      <w:r>
        <w:rPr>
          <w:rFonts w:ascii="Nirmala UI" w:hAnsi="Nirmala UI" w:eastAsia="Nirmala UI"/>
          <w:b/>
          <w:i w:val="0"/>
          <w:color w:val="263670"/>
          <w:sz w:val="24"/>
        </w:rPr>
        <w:t>आधार-7: तीन भागों में विभाजन (Three-Way Split) का अभाव</w:t>
      </w:r>
    </w:p>
    <w:p>
      <w:pPr>
        <w:spacing w:before="60" w:after="120" w:line="340" w:lineRule="exact"/>
        <w:jc w:val="both"/>
      </w:pPr>
      <w:r>
        <w:rPr>
          <w:rFonts w:ascii="Nirmala UI" w:hAnsi="Nirmala UI" w:eastAsia="Nirmala UI"/>
          <w:b w:val="0"/>
          <w:i w:val="0"/>
          <w:sz w:val="22"/>
        </w:rPr>
        <w:t>IS 3535:1986 Clause 5.7.5 एक ऐसा प्रावधान है जो न केवल तकनीकी आवश्यकता है बल्कि न्यायिक निष्पक्षता का भी एक अनिवार्य संरक्षण है। इस Clause के अनुसार संग्रहीत नमूने को तीन बराबर भागों में विभाजित करना अनिवार्य है। पहला भाग FSL को भेजा जाए। दूसरा भाग ठेकेदार/बचाव पक्ष को उसके स्वतंत्र परीक्षण के लिए दिया जाए। तीसरा भाग 'Referee Sample' के रूप में सुरक्षित रखा जाए जिसका उपयोग तब हो जब FSL एवं बचाव पक्ष के परिणामों में विसंगति हो। यह तीन-भाग प्रणाली इसलिए अनिवार्य है ताकि अभियुक्त को भी उसी नमूने का स्वतंत्र परीक्षण कराने का समान अवसर मिले।</w:t>
      </w:r>
    </w:p>
    <w:p>
      <w:pPr>
        <w:spacing w:before="60" w:after="120" w:line="340" w:lineRule="exact"/>
        <w:jc w:val="both"/>
      </w:pPr>
      <w:r>
        <w:rPr>
          <w:rFonts w:ascii="Nirmala UI" w:hAnsi="Nirmala UI" w:eastAsia="Nirmala UI"/>
          <w:b w:val="0"/>
          <w:i w:val="0"/>
          <w:sz w:val="22"/>
        </w:rPr>
        <w:t>प्रस्तुत प्रकरण में Three-Way Split की यह अनिवार्य प्रक्रिया पूर्णतः अनुपस्थित है। FSL को नमूना भेजे जाने का कोई अभिलेख नहीं है कि उसे कितने भागों में विभाजित किया गया था। आवेदक/ठेकेदार को नमूने का कोई भाग नहीं दिया गया। कोई Referee Sample भी नहीं रखा गया। इसका सीधा परिणाम यह है कि अब आवेदक किसी भी स्वतंत्र प्रयोगशाला में FSL के निष्कर्षों को चुनौती देने में असमर्थ है — क्योंकि उसके पास परीक्षण के लिए कोई नमूना ही नहीं है। यह बचाव के अधिकार का ऐसा उल्लंघन है जिसे किसी भी दशा में उपचारित नहीं किया जा सकता।</w:t>
      </w:r>
    </w:p>
    <w:p>
      <w:pPr>
        <w:spacing w:before="60" w:after="120" w:line="340" w:lineRule="exact"/>
        <w:jc w:val="both"/>
      </w:pPr>
      <w:r>
        <w:rPr>
          <w:rFonts w:ascii="Nirmala UI" w:hAnsi="Nirmala UI" w:eastAsia="Nirmala UI"/>
          <w:b w:val="0"/>
          <w:i w:val="0"/>
          <w:sz w:val="22"/>
        </w:rPr>
        <w:t>माननीय सर्वोच्च न्यायालय ने State of Punjab v. Baldev Singh (1999) 6 SCC 172 में ऐसे अनेक प्रकरणों पर विचार करते हुए यह अभिनिर्धारित किया है कि जब नमूना-संग्रह की अनिवार्य प्रक्रियाओं का पालन नहीं होता और अभियुक्त को स्वतंत्र परीक्षण का अवसर नहीं दिया जाता, तो FSL रिपोर्ट पर दोषसिद्धि का आधार नहीं बनाया जा सकता। यह निर्णय प्रत्यक्षतः प्रस्तुत प्रकरण पर लागू होता है।</w:t>
      </w: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(1999) — Three-Way Split: अनिवार्य प्रक्रिया का पालन न होना:</w:t>
              <w:br/>
            </w:r>
            <w:r>
              <w:rPr>
                <w:rFonts w:ascii="Times New Roman" w:hAnsi="Times New Roman"/>
                <w:i/>
                <w:color w:val="1A375E"/>
                <w:sz w:val="20"/>
              </w:rPr>
              <w:t>"When the procedure for collection, preservation and sending samples to FSL does not comply with the mandatory requirements, including the division of samples and preservation of a portion for the accused's independent testing, the forensic report cannot be relied upon to establish guilt."</w:t>
            </w:r>
          </w:p>
          <w:p>
            <w:pPr>
              <w:ind w:left="160"/>
            </w:pPr>
            <w:r>
              <w:rPr>
                <w:rFonts w:ascii="Times New Roman" w:hAnsi="Times New Roman"/>
                <w:b/>
                <w:color w:val="1A73E8"/>
                <w:sz w:val="18"/>
              </w:rPr>
              <w:t>— State of Punjab v. Baldev Singh (1999) 6 SCC 172 [अनुलग्नक K]</w:t>
            </w:r>
          </w:p>
        </w:tc>
      </w:tr>
    </w:tbl>
    <w:p>
      <w:pPr>
        <w:spacing w:before="40"/>
      </w:pPr>
    </w:p>
    <w:p>
      <w:pPr>
        <w:spacing w:before="180" w:after="80"/>
      </w:pPr>
      <w:r>
        <w:rPr>
          <w:rFonts w:ascii="Nirmala UI" w:hAnsi="Nirmala UI" w:eastAsia="Nirmala UI"/>
          <w:b/>
          <w:i w:val="0"/>
          <w:color w:val="263670"/>
          <w:sz w:val="24"/>
        </w:rPr>
        <w:t>आधार-8: NDT परीक्षण का अभाव — IS 13311</w:t>
      </w:r>
    </w:p>
    <w:p>
      <w:pPr>
        <w:spacing w:before="60" w:after="120" w:line="340" w:lineRule="exact"/>
        <w:jc w:val="both"/>
      </w:pPr>
      <w:r>
        <w:rPr>
          <w:rFonts w:ascii="Nirmala UI" w:hAnsi="Nirmala UI" w:eastAsia="Nirmala UI"/>
          <w:b w:val="0"/>
          <w:i w:val="0"/>
          <w:sz w:val="22"/>
        </w:rPr>
        <w:t>IS 13311 (Parts 1-2) के अंतर्गत विद्यमान संरचनाओं की जाँच के लिए UPV (Ultrasonic Pulse Velocity) एवं Rebound Hammer परीक्षण सही विधि हैं। विनाशकारी नमूना-संग्रह से पूर्व NDT परीक्षण अपनाया जाना चाहिए था — जो नहीं किया गया। NDT परीक्षण से in-situ strength का वस्तुनिष्ठ आकलन होता है जो विनाशकारी नमूने की तुलना में कहीं अधिक प्रतिनिधिक होता है।</w:t>
      </w:r>
    </w:p>
    <w:p>
      <w:pPr>
        <w:spacing w:before="160" w:after="0"/>
      </w:pPr>
      <w:r>
        <w:rPr>
          <w:rFonts w:ascii="Nirmala UI" w:hAnsi="Nirmala UI" w:eastAsia="Nirmala UI"/>
          <w:b/>
          <w:color w:val="D97300"/>
          <w:sz w:val="18"/>
        </w:rPr>
        <w:t>■ IS 13311 (Parts 1-2) — NDT परीक्षण  [अनुलग्नक V]</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IS 13311 — Part 1: Ultrasonic Pulse Velocity (UPV)</w:t>
              <w:br/>
              <w:t>IS 13311 — Part 2: Rebound Hammer (Schmidt Hammer)</w:t>
              <w:br/>
              <w:br/>
              <w:t xml:space="preserve">  'For evaluation of existing structures, NDT methods</w:t>
              <w:br/>
              <w:t xml:space="preserve">   should be adopted before any destructive sampling.</w:t>
              <w:br/>
              <w:t xml:space="preserve">   NDT provides non-invasive in-situ assessment.'</w:t>
              <w:br/>
              <w:br/>
              <w:t xml:space="preserve">  NDT Testing was COMPLETELY OMITTED in this case.</w:t>
            </w:r>
          </w:p>
        </w:tc>
      </w:tr>
    </w:tbl>
    <w:p>
      <w:pPr>
        <w:spacing w:before="40"/>
      </w:pPr>
    </w:p>
    <w:p>
      <w:pPr>
        <w:spacing w:before="180" w:after="80"/>
      </w:pPr>
      <w:r>
        <w:rPr>
          <w:rFonts w:ascii="Nirmala UI" w:hAnsi="Nirmala UI" w:eastAsia="Nirmala UI"/>
          <w:b/>
          <w:i w:val="0"/>
          <w:color w:val="263670"/>
          <w:sz w:val="24"/>
        </w:rPr>
        <w:t>आधार-9: बल प्रमुख (Force Majeure) — NBC 2016 §3.4</w:t>
      </w:r>
    </w:p>
    <w:p>
      <w:pPr>
        <w:spacing w:before="60" w:after="120" w:line="340" w:lineRule="exact"/>
        <w:jc w:val="both"/>
      </w:pPr>
      <w:r>
        <w:rPr>
          <w:rFonts w:ascii="Nirmala UI" w:hAnsi="Nirmala UI" w:eastAsia="Nirmala UI"/>
          <w:b w:val="0"/>
          <w:i w:val="0"/>
          <w:sz w:val="22"/>
        </w:rPr>
        <w:t>NBC 2016 §3.4 के अनुसार अत्यधिक मौसमी घटनाएँ बल प्रमुख की श्रेणी में आती हैं। दीवार का ध्वंस असाधारण वर्षा/तूफान के कारण हुआ था। राजस्थान उच्च न्यायालय के Suo Motu PIL आदेश (29.07.2025 + 23.08.2025) में भी मौसमी परिस्थितियाँ मान्य की गई हैं।</w:t>
      </w:r>
    </w:p>
    <w:p>
      <w:pPr>
        <w:spacing w:before="160" w:after="0"/>
      </w:pPr>
      <w:r>
        <w:rPr>
          <w:rFonts w:ascii="Nirmala UI" w:hAnsi="Nirmala UI" w:eastAsia="Nirmala UI"/>
          <w:b/>
          <w:color w:val="D97300"/>
          <w:sz w:val="18"/>
        </w:rPr>
        <w:t>■ NBC 2016 §3.4 + Rajasthan HC Suo Motu PIL  [अनुलग्नक S]</w:t>
      </w:r>
    </w:p>
    <w:tbl>
      <w:tblPr>
        <w:tblW w:type="auto" w:w="0"/>
        <w:jc w:val="left"/>
        <w:tblLook w:firstColumn="1" w:firstRow="1" w:lastColumn="0" w:lastRow="0" w:noHBand="0" w:noVBand="1" w:val="04A0"/>
      </w:tblPr>
      <w:tblGrid>
        <w:gridCol w:w="9122"/>
      </w:tblGrid>
      <w:tr>
        <w:tc>
          <w:tcPr>
            <w:tcW w:type="dxa" w:w="9122"/>
            <w:shd w:val="clear" w:color="auto" w:fill="FFF8E1"/>
            <w:tcBorders>
              <w:top w:val="single" w:sz="6" w:space="0" w:color="D97300"/>
              <w:left w:val="single" w:sz="6" w:space="0" w:color="D97300"/>
              <w:bottom w:val="single" w:sz="6" w:space="0" w:color="D97300"/>
              <w:right w:val="single" w:sz="6" w:space="0" w:color="D97300"/>
            </w:tcBorders>
          </w:tcPr>
          <w:p>
            <w:pPr>
              <w:spacing w:before="80" w:after="80"/>
              <w:ind w:left="120"/>
            </w:pPr>
            <w:r>
              <w:rPr>
                <w:rFonts w:ascii="Courier New" w:hAnsi="Courier New"/>
                <w:color w:val="4A2700"/>
                <w:sz w:val="18"/>
              </w:rPr>
              <w:t>NBC 2016 — §3.4 (Natural Hazards / Force Majeure):</w:t>
              <w:br/>
              <w:t xml:space="preserve">  'Extraordinary weather events including heavy rainfall</w:t>
              <w:br/>
              <w:t xml:space="preserve">   exceeding design parameters constitute force majeure</w:t>
              <w:br/>
              <w:t xml:space="preserve">   and cannot be attributed to construction deficiency.'</w:t>
              <w:br/>
              <w:br/>
              <w:t>Rajasthan HC Suo Motu PIL:</w:t>
              <w:br/>
              <w:t xml:space="preserve">  Orders: 29.07.2025 + 23.08.2025</w:t>
              <w:br/>
              <w:t xml:space="preserve">  [Stadium wall collapse — weather acknowledged]</w:t>
            </w:r>
          </w:p>
        </w:tc>
      </w:tr>
    </w:tbl>
    <w:p>
      <w:pPr>
        <w:spacing w:before="40"/>
      </w:pPr>
    </w:p>
    <w:p>
      <w:pPr>
        <w:spacing w:before="180" w:after="80"/>
      </w:pPr>
      <w:r>
        <w:rPr>
          <w:rFonts w:ascii="Nirmala UI" w:hAnsi="Nirmala UI" w:eastAsia="Nirmala UI"/>
          <w:b/>
          <w:i w:val="0"/>
          <w:color w:val="263670"/>
          <w:sz w:val="24"/>
        </w:rPr>
        <w:t>आधार-10: IPC §304A — आपराधिक उपेक्षा का मानक स्थापित नहीं</w:t>
      </w:r>
    </w:p>
    <w:p>
      <w:pPr>
        <w:spacing w:before="60" w:after="120" w:line="340" w:lineRule="exact"/>
        <w:jc w:val="both"/>
      </w:pPr>
      <w:r>
        <w:rPr>
          <w:rFonts w:ascii="Nirmala UI" w:hAnsi="Nirmala UI" w:eastAsia="Nirmala UI"/>
          <w:b w:val="0"/>
          <w:i w:val="0"/>
          <w:sz w:val="22"/>
        </w:rPr>
        <w:t>IPC §304A के अंतर्गत दोषसिद्धि के लिए 'Gross Negligence' या 'Rashness' का सकारात्मक साक्ष्य आवश्यक है। FSL रिपोर्ट जब शून्य (Void ab initio) है, तो आपराधिक उपेक्षा का आधार ही समाप्त हो जाता है।</w:t>
      </w: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(2005) — IPC §304A: Gross Negligence का मानक:</w:t>
              <w:br/>
            </w:r>
            <w:r>
              <w:rPr>
                <w:rFonts w:ascii="Times New Roman" w:hAnsi="Times New Roman"/>
                <w:i/>
                <w:color w:val="1A375E"/>
                <w:sz w:val="20"/>
              </w:rPr>
              <w:t>"Negligence in the context of criminal law should be of such a nature that it can be called gross negligence or recklessness. A mere lack of necessary care, attention or skill is not sufficient to attract Section 304A IPC. The standard is of a reasonably competent person, not the most skilled."</w:t>
            </w:r>
          </w:p>
          <w:p>
            <w:pPr>
              <w:ind w:left="160"/>
            </w:pPr>
            <w:r>
              <w:rPr>
                <w:rFonts w:ascii="Times New Roman" w:hAnsi="Times New Roman"/>
                <w:b/>
                <w:color w:val="1A73E8"/>
                <w:sz w:val="18"/>
              </w:rPr>
              <w:t>— Jacob Mathew v. State of Punjab (2005) 6 SCC 1, Para 48 [अनुलग्नक U]</w:t>
            </w:r>
          </w:p>
        </w:tc>
      </w:tr>
    </w:tbl>
    <w:p>
      <w:pPr>
        <w:spacing w:before="40"/>
      </w:pPr>
    </w:p>
    <w:p>
      <w:pPr>
        <w:spacing w:before="80" w:after="80"/>
      </w:pPr>
      <w:r>
        <w:rPr>
          <w:color w:val="CCCCCC"/>
          <w:sz w:val="16"/>
        </w:rPr>
        <w:t>──────────────────────────────────────────────────────────────────────</w:t>
      </w:r>
    </w:p>
    <w:p>
      <w:pPr>
        <w:spacing w:before="280" w:after="80"/>
      </w:pPr>
      <w:r>
        <w:rPr>
          <w:rFonts w:ascii="Nirmala UI" w:hAnsi="Nirmala UI" w:eastAsia="Nirmala UI"/>
          <w:b/>
          <w:i w:val="0"/>
          <w:color w:val="1A234E"/>
          <w:sz w:val="28"/>
        </w:rPr>
        <w:t>आरोप-मुक्ति का विधिक मानक (BNSS §250)</w:t>
      </w: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(1979) — Prafulla Kumar Samal:</w:t>
              <w:br/>
            </w:r>
            <w:r>
              <w:rPr>
                <w:rFonts w:ascii="Times New Roman" w:hAnsi="Times New Roman"/>
                <w:i/>
                <w:color w:val="1A375E"/>
                <w:sz w:val="20"/>
              </w:rPr>
              <w:t>"If the material placed on record discloses nothing more than a suspicion, the accused is entitled to be discharged."</w:t>
            </w:r>
          </w:p>
          <w:p>
            <w:pPr>
              <w:ind w:left="160"/>
            </w:pPr>
            <w:r>
              <w:rPr>
                <w:rFonts w:ascii="Times New Roman" w:hAnsi="Times New Roman"/>
                <w:b/>
                <w:color w:val="1A73E8"/>
                <w:sz w:val="18"/>
              </w:rPr>
              <w:t>— Union of India v. Prafulla Kumar Samal (1979) 3 SCC 4, Para 10 [अनुलग्नक W]</w:t>
            </w:r>
          </w:p>
        </w:tc>
      </w:tr>
    </w:tbl>
    <w:p>
      <w:pPr>
        <w:spacing w:before="40"/>
      </w:pPr>
    </w:p>
    <w:tbl>
      <w:tblPr>
        <w:tblW w:type="auto" w:w="0"/>
        <w:jc w:val="left"/>
        <w:tblLook w:firstColumn="1" w:firstRow="1" w:lastColumn="0" w:lastRow="0" w:noHBand="0" w:noVBand="1" w:val="04A0"/>
      </w:tblPr>
      <w:tblGrid>
        <w:gridCol w:w="9122"/>
      </w:tblGrid>
      <w:tr>
        <w:tc>
          <w:tcPr>
            <w:tcW w:type="dxa" w:w="9122"/>
            <w:shd w:val="clear" w:color="auto" w:fill="E8F0FE"/>
            <w:tcBorders>
              <w:left w:val="single" w:sz="14" w:space="0" w:color="1A73E8"/>
            </w:tcBorders>
          </w:tcPr>
          <w:p>
            <w:pPr>
              <w:spacing w:before="80" w:after="80"/>
              <w:ind w:left="160"/>
            </w:pPr>
            <w:r>
              <w:rPr>
                <w:rFonts w:ascii="Nirmala UI" w:hAnsi="Nirmala UI" w:eastAsia="Nirmala UI"/>
                <w:b/>
                <w:color w:val="1A73E8"/>
                <w:sz w:val="18"/>
              </w:rPr>
              <w:t>◆ SC (1977) — Ramesh Singh:</w:t>
              <w:br/>
            </w:r>
            <w:r>
              <w:rPr>
                <w:rFonts w:ascii="Times New Roman" w:hAnsi="Times New Roman"/>
                <w:i/>
                <w:color w:val="1A375E"/>
                <w:sz w:val="20"/>
              </w:rPr>
              <w:t>"At the stage of framing of charge, the Court has to see whether the material produced makes out a prima facie case. If the material discloses nothing more than suspicion, discharge is mandatory."</w:t>
            </w:r>
          </w:p>
          <w:p>
            <w:pPr>
              <w:ind w:left="160"/>
            </w:pPr>
            <w:r>
              <w:rPr>
                <w:rFonts w:ascii="Times New Roman" w:hAnsi="Times New Roman"/>
                <w:b/>
                <w:color w:val="1A73E8"/>
                <w:sz w:val="18"/>
              </w:rPr>
              <w:t>— State of Bihar v. Ramesh Singh (1977) 4 SCC 39, Para 5 [अनुलग्नक X]</w:t>
            </w:r>
          </w:p>
        </w:tc>
      </w:tr>
    </w:tbl>
    <w:p>
      <w:pPr>
        <w:spacing w:before="40"/>
      </w:pPr>
    </w:p>
    <w:p>
      <w:pPr>
        <w:spacing w:before="60" w:after="120" w:line="340" w:lineRule="exact"/>
        <w:jc w:val="both"/>
      </w:pPr>
      <w:r>
        <w:rPr>
          <w:rFonts w:ascii="Nirmala UI" w:hAnsi="Nirmala UI" w:eastAsia="Nirmala UI"/>
          <w:b w:val="0"/>
          <w:i w:val="0"/>
          <w:sz w:val="22"/>
        </w:rPr>
        <w:t>प्रस्तुत प्रकरण में समस्त दोष एक साथ विद्यमान हैं:</w:t>
      </w:r>
    </w:p>
    <w:p>
      <w:pPr>
        <w:spacing w:before="40" w:after="60"/>
        <w:ind w:left="432" w:hanging="288"/>
      </w:pPr>
      <w:r>
        <w:rPr>
          <w:rFonts w:ascii="Nirmala UI" w:hAnsi="Nirmala UI" w:eastAsia="Nirmala UI"/>
          <w:b w:val="0"/>
          <w:i w:val="0"/>
          <w:color w:val="CC0000"/>
          <w:sz w:val="22"/>
        </w:rPr>
        <w:t>✗  FSL रिपोर्ट — गलत मानक (IS 1199:2018) पर आधारित — Void ab initio</w:t>
      </w:r>
    </w:p>
    <w:p>
      <w:pPr>
        <w:spacing w:before="40" w:after="60"/>
        <w:ind w:left="432" w:hanging="288"/>
      </w:pPr>
      <w:r>
        <w:rPr>
          <w:rFonts w:ascii="Nirmala UI" w:hAnsi="Nirmala UI" w:eastAsia="Nirmala UI"/>
          <w:b w:val="0"/>
          <w:i w:val="0"/>
          <w:color w:val="CC0000"/>
          <w:sz w:val="22"/>
        </w:rPr>
        <w:t>✗  नमूने — वर्षाजल से दूषित — वैज्ञानिक आधार समाप्त</w:t>
      </w:r>
    </w:p>
    <w:p>
      <w:pPr>
        <w:spacing w:before="40" w:after="60"/>
        <w:ind w:left="432" w:hanging="288"/>
      </w:pPr>
      <w:r>
        <w:rPr>
          <w:rFonts w:ascii="Nirmala UI" w:hAnsi="Nirmala UI" w:eastAsia="Nirmala UI"/>
          <w:b w:val="0"/>
          <w:i w:val="0"/>
          <w:color w:val="CC0000"/>
          <w:sz w:val="22"/>
        </w:rPr>
        <w:t>✗  अभिरक्षा श्रृंखला — पूर्णतः अनुपस्थित</w:t>
      </w:r>
    </w:p>
    <w:p>
      <w:pPr>
        <w:spacing w:before="40" w:after="60"/>
        <w:ind w:left="432" w:hanging="288"/>
      </w:pPr>
      <w:r>
        <w:rPr>
          <w:rFonts w:ascii="Nirmala UI" w:hAnsi="Nirmala UI" w:eastAsia="Nirmala UI"/>
          <w:b w:val="0"/>
          <w:i w:val="0"/>
          <w:color w:val="CC0000"/>
          <w:sz w:val="22"/>
        </w:rPr>
        <w:t>✗  पंचनामा/जब्ती मेमो — अनुपस्थित</w:t>
      </w:r>
    </w:p>
    <w:p>
      <w:pPr>
        <w:spacing w:before="40" w:after="60"/>
        <w:ind w:left="432" w:hanging="288"/>
      </w:pPr>
      <w:r>
        <w:rPr>
          <w:rFonts w:ascii="Nirmala UI" w:hAnsi="Nirmala UI" w:eastAsia="Nirmala UI"/>
          <w:b w:val="0"/>
          <w:i w:val="0"/>
          <w:color w:val="CC0000"/>
          <w:sz w:val="22"/>
        </w:rPr>
        <w:t>✗  ठेकेदार प्रतिनिधि — अनुपस्थित (प्राकृतिक न्याय उल्लंघन)</w:t>
      </w:r>
    </w:p>
    <w:p>
      <w:pPr>
        <w:spacing w:before="40" w:after="60"/>
        <w:ind w:left="432" w:hanging="288"/>
      </w:pPr>
      <w:r>
        <w:rPr>
          <w:rFonts w:ascii="Nirmala UI" w:hAnsi="Nirmala UI" w:eastAsia="Nirmala UI"/>
          <w:b w:val="0"/>
          <w:i w:val="0"/>
          <w:color w:val="CC0000"/>
          <w:sz w:val="22"/>
        </w:rPr>
        <w:t>✗  Three-Way Split — नहीं किया गया</w:t>
      </w:r>
    </w:p>
    <w:p>
      <w:pPr>
        <w:spacing w:before="40" w:after="60"/>
        <w:ind w:left="432" w:hanging="288"/>
      </w:pPr>
      <w:r>
        <w:rPr>
          <w:rFonts w:ascii="Nirmala UI" w:hAnsi="Nirmala UI" w:eastAsia="Nirmala UI"/>
          <w:b w:val="0"/>
          <w:i w:val="0"/>
          <w:color w:val="CC0000"/>
          <w:sz w:val="22"/>
        </w:rPr>
        <w:t>✗  NDT परीक्षण — पूर्णतः अनुपस्थित</w:t>
      </w:r>
    </w:p>
    <w:p>
      <w:pPr>
        <w:spacing w:before="60" w:after="120" w:line="340" w:lineRule="exact"/>
        <w:jc w:val="both"/>
      </w:pPr>
      <w:r>
        <w:rPr>
          <w:rFonts w:ascii="Nirmala UI" w:hAnsi="Nirmala UI" w:eastAsia="Nirmala UI"/>
          <w:b/>
          <w:i w:val="0"/>
          <w:sz w:val="22"/>
        </w:rPr>
        <w:t>यह सब मिलकर केवल 'संदेह' (Suspicion) है — प्रथम दृष्टया मामला (Prima Facie Case) नहीं। BNSS 2023 की धारा 250 के अंतर्गत आरोप-मुक्ति अनिवार्य है।</w:t>
      </w:r>
    </w:p>
    <w:p>
      <w:pPr>
        <w:spacing w:before="80" w:after="80"/>
      </w:pPr>
      <w:r>
        <w:rPr>
          <w:color w:val="CCCCCC"/>
          <w:sz w:val="16"/>
        </w:rPr>
        <w:t>──────────────────────────────────────────────────────────────────────</w:t>
      </w:r>
    </w:p>
    <w:p>
      <w:pPr>
        <w:spacing w:before="280" w:after="80"/>
      </w:pPr>
      <w:r>
        <w:rPr>
          <w:rFonts w:ascii="Nirmala UI" w:hAnsi="Nirmala UI" w:eastAsia="Nirmala UI"/>
          <w:b/>
          <w:i w:val="0"/>
          <w:color w:val="1A234E"/>
          <w:sz w:val="28"/>
        </w:rPr>
        <w:t>क्रॉस-रेफरेंस मैट्रिक्स (तथ्यात्मक उल्लंघन → IS खंड → निर्णय)</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510"/>
            <w:shd w:val="clear" w:color="auto" w:fill="1A234E"/>
          </w:tcPr>
          <w:p>
            <w:pPr>
              <w:jc w:val="center"/>
            </w:pPr>
            <w:r>
              <w:rPr>
                <w:rFonts w:ascii="Nirmala UI" w:hAnsi="Nirmala UI" w:eastAsia="Nirmala UI"/>
                <w:b/>
                <w:color w:val="FFFFFF"/>
                <w:sz w:val="18"/>
              </w:rPr>
              <w:t>क्र.</w:t>
            </w:r>
          </w:p>
        </w:tc>
        <w:tc>
          <w:tcPr>
            <w:tcW w:type="dxa" w:w="2381"/>
            <w:shd w:val="clear" w:color="auto" w:fill="1A234E"/>
          </w:tcPr>
          <w:p>
            <w:pPr>
              <w:jc w:val="center"/>
            </w:pPr>
            <w:r>
              <w:rPr>
                <w:rFonts w:ascii="Nirmala UI" w:hAnsi="Nirmala UI" w:eastAsia="Nirmala UI"/>
                <w:b/>
                <w:color w:val="FFFFFF"/>
                <w:sz w:val="18"/>
              </w:rPr>
              <w:t>तथ्यात्मक उल्लंघन</w:t>
            </w:r>
          </w:p>
        </w:tc>
        <w:tc>
          <w:tcPr>
            <w:tcW w:type="dxa" w:w="1871"/>
            <w:shd w:val="clear" w:color="auto" w:fill="1A234E"/>
          </w:tcPr>
          <w:p>
            <w:pPr>
              <w:jc w:val="center"/>
            </w:pPr>
            <w:r>
              <w:rPr>
                <w:rFonts w:ascii="Nirmala UI" w:hAnsi="Nirmala UI" w:eastAsia="Nirmala UI"/>
                <w:b/>
                <w:color w:val="FFFFFF"/>
                <w:sz w:val="18"/>
              </w:rPr>
              <w:t>IS/ASTM खंड</w:t>
            </w:r>
          </w:p>
        </w:tc>
        <w:tc>
          <w:tcPr>
            <w:tcW w:type="dxa" w:w="4025"/>
            <w:shd w:val="clear" w:color="auto" w:fill="1A234E"/>
          </w:tcPr>
          <w:p>
            <w:pPr>
              <w:jc w:val="center"/>
            </w:pPr>
            <w:r>
              <w:rPr>
                <w:rFonts w:ascii="Nirmala UI" w:hAnsi="Nirmala UI" w:eastAsia="Nirmala UI"/>
                <w:b/>
                <w:color w:val="FFFFFF"/>
                <w:sz w:val="18"/>
              </w:rPr>
              <w:t>समर्थक निर्णय</w:t>
            </w:r>
          </w:p>
        </w:tc>
      </w:tr>
      <w:tr>
        <w:tc>
          <w:tcPr>
            <w:tcW w:type="dxa" w:w="510"/>
            <w:shd w:val="clear" w:color="auto" w:fill="F5F7FF"/>
            <w:vAlign w:val="top"/>
          </w:tcPr>
          <w:p>
            <w:pPr>
              <w:spacing w:before="40" w:after="40"/>
            </w:pPr>
            <w:r>
              <w:rPr>
                <w:rFonts w:ascii="Nirmala UI" w:hAnsi="Nirmala UI" w:eastAsia="Nirmala UI"/>
                <w:sz w:val="16"/>
              </w:rPr>
              <w:t>1</w:t>
            </w:r>
          </w:p>
        </w:tc>
        <w:tc>
          <w:tcPr>
            <w:tcW w:type="dxa" w:w="2381"/>
            <w:shd w:val="clear" w:color="auto" w:fill="F5F7FF"/>
            <w:vAlign w:val="top"/>
          </w:tcPr>
          <w:p>
            <w:pPr>
              <w:spacing w:before="40" w:after="40"/>
            </w:pPr>
            <w:r>
              <w:rPr>
                <w:rFonts w:ascii="Nirmala UI" w:hAnsi="Nirmala UI" w:eastAsia="Nirmala UI"/>
                <w:sz w:val="16"/>
              </w:rPr>
              <w:t>IS 1199:2018 कठोर मोर्टार पर लागू — गलत मानक</w:t>
            </w:r>
          </w:p>
        </w:tc>
        <w:tc>
          <w:tcPr>
            <w:tcW w:type="dxa" w:w="1871"/>
            <w:shd w:val="clear" w:color="auto" w:fill="F5F7FF"/>
            <w:vAlign w:val="top"/>
          </w:tcPr>
          <w:p>
            <w:pPr>
              <w:spacing w:before="40" w:after="40"/>
            </w:pPr>
            <w:r>
              <w:rPr>
                <w:rFonts w:ascii="Times New Roman" w:hAnsi="Times New Roman"/>
                <w:sz w:val="16"/>
              </w:rPr>
              <w:t>IS 1199:2018 Scope Cl.1</w:t>
            </w:r>
          </w:p>
        </w:tc>
        <w:tc>
          <w:tcPr>
            <w:tcW w:type="dxa" w:w="4025"/>
            <w:shd w:val="clear" w:color="auto" w:fill="F5F7FF"/>
            <w:vAlign w:val="top"/>
          </w:tcPr>
          <w:p>
            <w:pPr>
              <w:spacing w:before="40" w:after="40"/>
            </w:pPr>
            <w:r>
              <w:rPr>
                <w:rFonts w:ascii="Times New Roman" w:hAnsi="Times New Roman"/>
                <w:sz w:val="16"/>
              </w:rPr>
              <w:t>विशेषज्ञ ने स्वयं IS 2250:1981 को सही माना [अनुलग्नक B]</w:t>
            </w:r>
          </w:p>
        </w:tc>
      </w:tr>
      <w:tr>
        <w:tc>
          <w:tcPr>
            <w:tcW w:type="dxa" w:w="510"/>
            <w:shd w:val="clear" w:color="auto" w:fill="FFFFFF"/>
            <w:vAlign w:val="top"/>
          </w:tcPr>
          <w:p>
            <w:pPr>
              <w:spacing w:before="40" w:after="40"/>
            </w:pPr>
            <w:r>
              <w:rPr>
                <w:rFonts w:ascii="Nirmala UI" w:hAnsi="Nirmala UI" w:eastAsia="Nirmala UI"/>
                <w:sz w:val="16"/>
              </w:rPr>
              <w:t>2</w:t>
            </w:r>
          </w:p>
        </w:tc>
        <w:tc>
          <w:tcPr>
            <w:tcW w:type="dxa" w:w="2381"/>
            <w:shd w:val="clear" w:color="auto" w:fill="FFFFFF"/>
            <w:vAlign w:val="top"/>
          </w:tcPr>
          <w:p>
            <w:pPr>
              <w:spacing w:before="40" w:after="40"/>
            </w:pPr>
            <w:r>
              <w:rPr>
                <w:rFonts w:ascii="Nirmala UI" w:hAnsi="Nirmala UI" w:eastAsia="Nirmala UI"/>
                <w:sz w:val="16"/>
              </w:rPr>
              <w:t>IS 2250:1981 का प्रयोग नहीं (सही मानक अनदेखा)</w:t>
            </w:r>
          </w:p>
        </w:tc>
        <w:tc>
          <w:tcPr>
            <w:tcW w:type="dxa" w:w="1871"/>
            <w:shd w:val="clear" w:color="auto" w:fill="FFFFFF"/>
            <w:vAlign w:val="top"/>
          </w:tcPr>
          <w:p>
            <w:pPr>
              <w:spacing w:before="40" w:after="40"/>
            </w:pPr>
            <w:r>
              <w:rPr>
                <w:rFonts w:ascii="Times New Roman" w:hAnsi="Times New Roman"/>
                <w:sz w:val="16"/>
              </w:rPr>
              <w:t>IS 2250:1981</w:t>
            </w:r>
          </w:p>
        </w:tc>
        <w:tc>
          <w:tcPr>
            <w:tcW w:type="dxa" w:w="4025"/>
            <w:shd w:val="clear" w:color="auto" w:fill="FFFFFF"/>
            <w:vAlign w:val="top"/>
          </w:tcPr>
          <w:p>
            <w:pPr>
              <w:spacing w:before="40" w:after="40"/>
            </w:pPr>
            <w:r>
              <w:rPr>
                <w:rFonts w:ascii="Times New Roman" w:hAnsi="Times New Roman"/>
                <w:sz w:val="16"/>
              </w:rPr>
              <w:t>IS 2250:1981 + ASTM C1324 [अनुलग्नक B, C]</w:t>
            </w:r>
          </w:p>
        </w:tc>
      </w:tr>
      <w:tr>
        <w:tc>
          <w:tcPr>
            <w:tcW w:type="dxa" w:w="510"/>
            <w:shd w:val="clear" w:color="auto" w:fill="F5F7FF"/>
            <w:vAlign w:val="top"/>
          </w:tcPr>
          <w:p>
            <w:pPr>
              <w:spacing w:before="40" w:after="40"/>
            </w:pPr>
            <w:r>
              <w:rPr>
                <w:rFonts w:ascii="Nirmala UI" w:hAnsi="Nirmala UI" w:eastAsia="Nirmala UI"/>
                <w:sz w:val="16"/>
              </w:rPr>
              <w:t>3</w:t>
            </w:r>
          </w:p>
        </w:tc>
        <w:tc>
          <w:tcPr>
            <w:tcW w:type="dxa" w:w="2381"/>
            <w:shd w:val="clear" w:color="auto" w:fill="F5F7FF"/>
            <w:vAlign w:val="top"/>
          </w:tcPr>
          <w:p>
            <w:pPr>
              <w:spacing w:before="40" w:after="40"/>
            </w:pPr>
            <w:r>
              <w:rPr>
                <w:rFonts w:ascii="Nirmala UI" w:hAnsi="Nirmala UI" w:eastAsia="Nirmala UI"/>
                <w:sz w:val="16"/>
              </w:rPr>
              <w:t>Chain of Custody अनुपस्थित</w:t>
            </w:r>
          </w:p>
        </w:tc>
        <w:tc>
          <w:tcPr>
            <w:tcW w:type="dxa" w:w="1871"/>
            <w:shd w:val="clear" w:color="auto" w:fill="F5F7FF"/>
            <w:vAlign w:val="top"/>
          </w:tcPr>
          <w:p>
            <w:pPr>
              <w:spacing w:before="40" w:after="40"/>
            </w:pPr>
            <w:r>
              <w:rPr>
                <w:rFonts w:ascii="Times New Roman" w:hAnsi="Times New Roman"/>
                <w:sz w:val="16"/>
              </w:rPr>
              <w:t>IS 3535:1986 Cl. 4.1</w:t>
            </w:r>
          </w:p>
        </w:tc>
        <w:tc>
          <w:tcPr>
            <w:tcW w:type="dxa" w:w="4025"/>
            <w:shd w:val="clear" w:color="auto" w:fill="F5F7FF"/>
            <w:vAlign w:val="top"/>
          </w:tcPr>
          <w:p>
            <w:pPr>
              <w:spacing w:before="40" w:after="40"/>
            </w:pPr>
            <w:r>
              <w:rPr>
                <w:rFonts w:ascii="Times New Roman" w:hAnsi="Times New Roman"/>
                <w:sz w:val="16"/>
              </w:rPr>
              <w:t>Kattavellai @ Devakar 2025 INSC 845 [अनुलग्नक E]</w:t>
            </w:r>
          </w:p>
        </w:tc>
      </w:tr>
      <w:tr>
        <w:tc>
          <w:tcPr>
            <w:tcW w:type="dxa" w:w="510"/>
            <w:shd w:val="clear" w:color="auto" w:fill="FFFFFF"/>
            <w:vAlign w:val="top"/>
          </w:tcPr>
          <w:p>
            <w:pPr>
              <w:spacing w:before="40" w:after="40"/>
            </w:pPr>
            <w:r>
              <w:rPr>
                <w:rFonts w:ascii="Nirmala UI" w:hAnsi="Nirmala UI" w:eastAsia="Nirmala UI"/>
                <w:sz w:val="16"/>
              </w:rPr>
              <w:t>4</w:t>
            </w:r>
          </w:p>
        </w:tc>
        <w:tc>
          <w:tcPr>
            <w:tcW w:type="dxa" w:w="2381"/>
            <w:shd w:val="clear" w:color="auto" w:fill="FFFFFF"/>
            <w:vAlign w:val="top"/>
          </w:tcPr>
          <w:p>
            <w:pPr>
              <w:spacing w:before="40" w:after="40"/>
            </w:pPr>
            <w:r>
              <w:rPr>
                <w:rFonts w:ascii="Nirmala UI" w:hAnsi="Nirmala UI" w:eastAsia="Nirmala UI"/>
                <w:sz w:val="16"/>
              </w:rPr>
              <w:t>Three-Way Split नहीं किया</w:t>
            </w:r>
          </w:p>
        </w:tc>
        <w:tc>
          <w:tcPr>
            <w:tcW w:type="dxa" w:w="1871"/>
            <w:shd w:val="clear" w:color="auto" w:fill="FFFFFF"/>
            <w:vAlign w:val="top"/>
          </w:tcPr>
          <w:p>
            <w:pPr>
              <w:spacing w:before="40" w:after="40"/>
            </w:pPr>
            <w:r>
              <w:rPr>
                <w:rFonts w:ascii="Times New Roman" w:hAnsi="Times New Roman"/>
                <w:sz w:val="16"/>
              </w:rPr>
              <w:t>IS 3535:1986 Cl. 5.7.5</w:t>
            </w:r>
          </w:p>
        </w:tc>
        <w:tc>
          <w:tcPr>
            <w:tcW w:type="dxa" w:w="4025"/>
            <w:shd w:val="clear" w:color="auto" w:fill="FFFFFF"/>
            <w:vAlign w:val="top"/>
          </w:tcPr>
          <w:p>
            <w:pPr>
              <w:spacing w:before="40" w:after="40"/>
            </w:pPr>
            <w:r>
              <w:rPr>
                <w:rFonts w:ascii="Times New Roman" w:hAnsi="Times New Roman"/>
                <w:sz w:val="16"/>
              </w:rPr>
              <w:t>State of Punjab v. Baldev Singh (1999) 6 SCC 172 [अनुलग्नक K]</w:t>
            </w:r>
          </w:p>
        </w:tc>
      </w:tr>
      <w:tr>
        <w:tc>
          <w:tcPr>
            <w:tcW w:type="dxa" w:w="510"/>
            <w:shd w:val="clear" w:color="auto" w:fill="F5F7FF"/>
            <w:vAlign w:val="top"/>
          </w:tcPr>
          <w:p>
            <w:pPr>
              <w:spacing w:before="40" w:after="40"/>
            </w:pPr>
            <w:r>
              <w:rPr>
                <w:rFonts w:ascii="Nirmala UI" w:hAnsi="Nirmala UI" w:eastAsia="Nirmala UI"/>
                <w:sz w:val="16"/>
              </w:rPr>
              <w:t>5</w:t>
            </w:r>
          </w:p>
        </w:tc>
        <w:tc>
          <w:tcPr>
            <w:tcW w:type="dxa" w:w="2381"/>
            <w:shd w:val="clear" w:color="auto" w:fill="F5F7FF"/>
            <w:vAlign w:val="top"/>
          </w:tcPr>
          <w:p>
            <w:pPr>
              <w:spacing w:before="40" w:after="40"/>
            </w:pPr>
            <w:r>
              <w:rPr>
                <w:rFonts w:ascii="Nirmala UI" w:hAnsi="Nirmala UI" w:eastAsia="Nirmala UI"/>
                <w:sz w:val="16"/>
              </w:rPr>
              <w:t>वर्षा/तूफान में नमूना — दूषित</w:t>
            </w:r>
          </w:p>
        </w:tc>
        <w:tc>
          <w:tcPr>
            <w:tcW w:type="dxa" w:w="1871"/>
            <w:shd w:val="clear" w:color="auto" w:fill="F5F7FF"/>
            <w:vAlign w:val="top"/>
          </w:tcPr>
          <w:p>
            <w:pPr>
              <w:spacing w:before="40" w:after="40"/>
            </w:pPr>
            <w:r>
              <w:rPr>
                <w:rFonts w:ascii="Times New Roman" w:hAnsi="Times New Roman"/>
                <w:sz w:val="16"/>
              </w:rPr>
              <w:t>IS 4031 (Part 6) Cl. 5.1</w:t>
            </w:r>
          </w:p>
        </w:tc>
        <w:tc>
          <w:tcPr>
            <w:tcW w:type="dxa" w:w="4025"/>
            <w:shd w:val="clear" w:color="auto" w:fill="F5F7FF"/>
            <w:vAlign w:val="top"/>
          </w:tcPr>
          <w:p>
            <w:pPr>
              <w:spacing w:before="40" w:after="40"/>
            </w:pPr>
            <w:r>
              <w:rPr>
                <w:rFonts w:ascii="Times New Roman" w:hAnsi="Times New Roman"/>
                <w:sz w:val="16"/>
              </w:rPr>
              <w:t>State of Maharashtra v. Damu (2000) 6 SCC 269 [अनुलग्नक F]</w:t>
            </w:r>
          </w:p>
        </w:tc>
      </w:tr>
      <w:tr>
        <w:tc>
          <w:tcPr>
            <w:tcW w:type="dxa" w:w="510"/>
            <w:shd w:val="clear" w:color="auto" w:fill="FFFFFF"/>
            <w:vAlign w:val="top"/>
          </w:tcPr>
          <w:p>
            <w:pPr>
              <w:spacing w:before="40" w:after="40"/>
            </w:pPr>
            <w:r>
              <w:rPr>
                <w:rFonts w:ascii="Nirmala UI" w:hAnsi="Nirmala UI" w:eastAsia="Nirmala UI"/>
                <w:sz w:val="16"/>
              </w:rPr>
              <w:t>6</w:t>
            </w:r>
          </w:p>
        </w:tc>
        <w:tc>
          <w:tcPr>
            <w:tcW w:type="dxa" w:w="2381"/>
            <w:shd w:val="clear" w:color="auto" w:fill="FFFFFF"/>
            <w:vAlign w:val="top"/>
          </w:tcPr>
          <w:p>
            <w:pPr>
              <w:spacing w:before="40" w:after="40"/>
            </w:pPr>
            <w:r>
              <w:rPr>
                <w:rFonts w:ascii="Nirmala UI" w:hAnsi="Nirmala UI" w:eastAsia="Nirmala UI"/>
                <w:sz w:val="16"/>
              </w:rPr>
              <w:t>Carbonated layer नहीं हटाई (5-10mm)</w:t>
            </w:r>
          </w:p>
        </w:tc>
        <w:tc>
          <w:tcPr>
            <w:tcW w:type="dxa" w:w="1871"/>
            <w:shd w:val="clear" w:color="auto" w:fill="FFFFFF"/>
            <w:vAlign w:val="top"/>
          </w:tcPr>
          <w:p>
            <w:pPr>
              <w:spacing w:before="40" w:after="40"/>
            </w:pPr>
            <w:r>
              <w:rPr>
                <w:rFonts w:ascii="Times New Roman" w:hAnsi="Times New Roman"/>
                <w:sz w:val="16"/>
              </w:rPr>
              <w:t>ASTM C1324 §§7-8</w:t>
            </w:r>
          </w:p>
        </w:tc>
        <w:tc>
          <w:tcPr>
            <w:tcW w:type="dxa" w:w="4025"/>
            <w:shd w:val="clear" w:color="auto" w:fill="FFFFFF"/>
            <w:vAlign w:val="top"/>
          </w:tcPr>
          <w:p>
            <w:pPr>
              <w:spacing w:before="40" w:after="40"/>
            </w:pPr>
            <w:r>
              <w:rPr>
                <w:rFonts w:ascii="Times New Roman" w:hAnsi="Times New Roman"/>
                <w:sz w:val="16"/>
              </w:rPr>
              <w:t>ASTM C1324 + IS 2250:1981 [अनुलग्नक C, N]</w:t>
            </w:r>
          </w:p>
        </w:tc>
      </w:tr>
      <w:tr>
        <w:tc>
          <w:tcPr>
            <w:tcW w:type="dxa" w:w="510"/>
            <w:shd w:val="clear" w:color="auto" w:fill="F5F7FF"/>
            <w:vAlign w:val="top"/>
          </w:tcPr>
          <w:p>
            <w:pPr>
              <w:spacing w:before="40" w:after="40"/>
            </w:pPr>
            <w:r>
              <w:rPr>
                <w:rFonts w:ascii="Nirmala UI" w:hAnsi="Nirmala UI" w:eastAsia="Nirmala UI"/>
                <w:sz w:val="16"/>
              </w:rPr>
              <w:t>7</w:t>
            </w:r>
          </w:p>
        </w:tc>
        <w:tc>
          <w:tcPr>
            <w:tcW w:type="dxa" w:w="2381"/>
            <w:shd w:val="clear" w:color="auto" w:fill="F5F7FF"/>
            <w:vAlign w:val="top"/>
          </w:tcPr>
          <w:p>
            <w:pPr>
              <w:spacing w:before="40" w:after="40"/>
            </w:pPr>
            <w:r>
              <w:rPr>
                <w:rFonts w:ascii="Nirmala UI" w:hAnsi="Nirmala UI" w:eastAsia="Nirmala UI"/>
                <w:sz w:val="16"/>
              </w:rPr>
              <w:t>पंचनामा / जब्ती मेमो अनुपस्थित</w:t>
            </w:r>
          </w:p>
        </w:tc>
        <w:tc>
          <w:tcPr>
            <w:tcW w:type="dxa" w:w="1871"/>
            <w:shd w:val="clear" w:color="auto" w:fill="F5F7FF"/>
            <w:vAlign w:val="top"/>
          </w:tcPr>
          <w:p>
            <w:pPr>
              <w:spacing w:before="40" w:after="40"/>
            </w:pPr>
            <w:r>
              <w:rPr>
                <w:rFonts w:ascii="Times New Roman" w:hAnsi="Times New Roman"/>
                <w:sz w:val="16"/>
              </w:rPr>
              <w:t>IS 3535:1986 Cl. 4.1 + BNSS</w:t>
            </w:r>
          </w:p>
        </w:tc>
        <w:tc>
          <w:tcPr>
            <w:tcW w:type="dxa" w:w="4025"/>
            <w:shd w:val="clear" w:color="auto" w:fill="F5F7FF"/>
            <w:vAlign w:val="top"/>
          </w:tcPr>
          <w:p>
            <w:pPr>
              <w:spacing w:before="40" w:after="40"/>
            </w:pPr>
            <w:r>
              <w:rPr>
                <w:rFonts w:ascii="Times New Roman" w:hAnsi="Times New Roman"/>
                <w:sz w:val="16"/>
              </w:rPr>
              <w:t>State of Maharashtra v. Damu (2000) 6 SCC 269 [अनुलग्नक F]</w:t>
            </w:r>
          </w:p>
        </w:tc>
      </w:tr>
      <w:tr>
        <w:tc>
          <w:tcPr>
            <w:tcW w:type="dxa" w:w="510"/>
            <w:shd w:val="clear" w:color="auto" w:fill="FFFFFF"/>
            <w:vAlign w:val="top"/>
          </w:tcPr>
          <w:p>
            <w:pPr>
              <w:spacing w:before="40" w:after="40"/>
            </w:pPr>
            <w:r>
              <w:rPr>
                <w:rFonts w:ascii="Nirmala UI" w:hAnsi="Nirmala UI" w:eastAsia="Nirmala UI"/>
                <w:sz w:val="16"/>
              </w:rPr>
              <w:t>8</w:t>
            </w:r>
          </w:p>
        </w:tc>
        <w:tc>
          <w:tcPr>
            <w:tcW w:type="dxa" w:w="2381"/>
            <w:shd w:val="clear" w:color="auto" w:fill="FFFFFF"/>
            <w:vAlign w:val="top"/>
          </w:tcPr>
          <w:p>
            <w:pPr>
              <w:spacing w:before="40" w:after="40"/>
            </w:pPr>
            <w:r>
              <w:rPr>
                <w:rFonts w:ascii="Nirmala UI" w:hAnsi="Nirmala UI" w:eastAsia="Nirmala UI"/>
                <w:sz w:val="16"/>
              </w:rPr>
              <w:t>Force Majeure — भारी वर्षा</w:t>
            </w:r>
          </w:p>
        </w:tc>
        <w:tc>
          <w:tcPr>
            <w:tcW w:type="dxa" w:w="1871"/>
            <w:shd w:val="clear" w:color="auto" w:fill="FFFFFF"/>
            <w:vAlign w:val="top"/>
          </w:tcPr>
          <w:p>
            <w:pPr>
              <w:spacing w:before="40" w:after="40"/>
            </w:pPr>
            <w:r>
              <w:rPr>
                <w:rFonts w:ascii="Times New Roman" w:hAnsi="Times New Roman"/>
                <w:sz w:val="16"/>
              </w:rPr>
              <w:t>NBC 2016 §3.4</w:t>
            </w:r>
          </w:p>
        </w:tc>
        <w:tc>
          <w:tcPr>
            <w:tcW w:type="dxa" w:w="4025"/>
            <w:shd w:val="clear" w:color="auto" w:fill="FFFFFF"/>
            <w:vAlign w:val="top"/>
          </w:tcPr>
          <w:p>
            <w:pPr>
              <w:spacing w:before="40" w:after="40"/>
            </w:pPr>
            <w:r>
              <w:rPr>
                <w:rFonts w:ascii="Times New Roman" w:hAnsi="Times New Roman"/>
                <w:sz w:val="16"/>
              </w:rPr>
              <w:t>Rajasthan HC Suo Motu PIL 29.07.2025 [अनुलग्नक S]</w:t>
            </w:r>
          </w:p>
        </w:tc>
      </w:tr>
      <w:tr>
        <w:tc>
          <w:tcPr>
            <w:tcW w:type="dxa" w:w="510"/>
            <w:shd w:val="clear" w:color="auto" w:fill="F5F7FF"/>
            <w:vAlign w:val="top"/>
          </w:tcPr>
          <w:p>
            <w:pPr>
              <w:spacing w:before="40" w:after="40"/>
            </w:pPr>
            <w:r>
              <w:rPr>
                <w:rFonts w:ascii="Nirmala UI" w:hAnsi="Nirmala UI" w:eastAsia="Nirmala UI"/>
                <w:sz w:val="16"/>
              </w:rPr>
              <w:t>9</w:t>
            </w:r>
          </w:p>
        </w:tc>
        <w:tc>
          <w:tcPr>
            <w:tcW w:type="dxa" w:w="2381"/>
            <w:shd w:val="clear" w:color="auto" w:fill="F5F7FF"/>
            <w:vAlign w:val="top"/>
          </w:tcPr>
          <w:p>
            <w:pPr>
              <w:spacing w:before="40" w:after="40"/>
            </w:pPr>
            <w:r>
              <w:rPr>
                <w:rFonts w:ascii="Nirmala UI" w:hAnsi="Nirmala UI" w:eastAsia="Nirmala UI"/>
                <w:sz w:val="16"/>
              </w:rPr>
              <w:t>NDT परीक्षण नहीं किया</w:t>
            </w:r>
          </w:p>
        </w:tc>
        <w:tc>
          <w:tcPr>
            <w:tcW w:type="dxa" w:w="1871"/>
            <w:shd w:val="clear" w:color="auto" w:fill="F5F7FF"/>
            <w:vAlign w:val="top"/>
          </w:tcPr>
          <w:p>
            <w:pPr>
              <w:spacing w:before="40" w:after="40"/>
            </w:pPr>
            <w:r>
              <w:rPr>
                <w:rFonts w:ascii="Times New Roman" w:hAnsi="Times New Roman"/>
                <w:sz w:val="16"/>
              </w:rPr>
              <w:t>IS 13311 (Parts 1-2)</w:t>
            </w:r>
          </w:p>
        </w:tc>
        <w:tc>
          <w:tcPr>
            <w:tcW w:type="dxa" w:w="4025"/>
            <w:shd w:val="clear" w:color="auto" w:fill="F5F7FF"/>
            <w:vAlign w:val="top"/>
          </w:tcPr>
          <w:p>
            <w:pPr>
              <w:spacing w:before="40" w:after="40"/>
            </w:pPr>
            <w:r>
              <w:rPr>
                <w:rFonts w:ascii="Times New Roman" w:hAnsi="Times New Roman"/>
                <w:sz w:val="16"/>
              </w:rPr>
              <w:t>IS 13311 — विद्यमान संरचना की सही विधि [अनुलग्नक V]</w:t>
            </w:r>
          </w:p>
        </w:tc>
      </w:tr>
      <w:tr>
        <w:tc>
          <w:tcPr>
            <w:tcW w:type="dxa" w:w="510"/>
            <w:shd w:val="clear" w:color="auto" w:fill="FFFFFF"/>
            <w:vAlign w:val="top"/>
          </w:tcPr>
          <w:p>
            <w:pPr>
              <w:spacing w:before="40" w:after="40"/>
            </w:pPr>
            <w:r>
              <w:rPr>
                <w:rFonts w:ascii="Nirmala UI" w:hAnsi="Nirmala UI" w:eastAsia="Nirmala UI"/>
                <w:sz w:val="16"/>
              </w:rPr>
              <w:t>10</w:t>
            </w:r>
          </w:p>
        </w:tc>
        <w:tc>
          <w:tcPr>
            <w:tcW w:type="dxa" w:w="2381"/>
            <w:shd w:val="clear" w:color="auto" w:fill="FFFFFF"/>
            <w:vAlign w:val="top"/>
          </w:tcPr>
          <w:p>
            <w:pPr>
              <w:spacing w:before="40" w:after="40"/>
            </w:pPr>
            <w:r>
              <w:rPr>
                <w:rFonts w:ascii="Nirmala UI" w:hAnsi="Nirmala UI" w:eastAsia="Nirmala UI"/>
                <w:sz w:val="16"/>
              </w:rPr>
              <w:t>IPC §304A — आपराधिक उपेक्षा अस्थापित</w:t>
            </w:r>
          </w:p>
        </w:tc>
        <w:tc>
          <w:tcPr>
            <w:tcW w:type="dxa" w:w="1871"/>
            <w:shd w:val="clear" w:color="auto" w:fill="FFFFFF"/>
            <w:vAlign w:val="top"/>
          </w:tcPr>
          <w:p>
            <w:pPr>
              <w:spacing w:before="40" w:after="40"/>
            </w:pPr>
            <w:r>
              <w:rPr>
                <w:rFonts w:ascii="Times New Roman" w:hAnsi="Times New Roman"/>
                <w:sz w:val="16"/>
              </w:rPr>
              <w:t>IPC §304A Rashness/Negligence</w:t>
            </w:r>
          </w:p>
        </w:tc>
        <w:tc>
          <w:tcPr>
            <w:tcW w:type="dxa" w:w="4025"/>
            <w:shd w:val="clear" w:color="auto" w:fill="FFFFFF"/>
            <w:vAlign w:val="top"/>
          </w:tcPr>
          <w:p>
            <w:pPr>
              <w:spacing w:before="40" w:after="40"/>
            </w:pPr>
            <w:r>
              <w:rPr>
                <w:rFonts w:ascii="Times New Roman" w:hAnsi="Times New Roman"/>
                <w:sz w:val="16"/>
              </w:rPr>
              <w:t>Jacob Mathew v. State of Punjab (2005) 6 SCC 1, Para 48 [अनुलग्नक U]</w:t>
            </w:r>
          </w:p>
        </w:tc>
      </w:tr>
    </w:tbl>
    <w:p/>
    <w:p>
      <w:pPr>
        <w:spacing w:before="280" w:after="80"/>
      </w:pPr>
      <w:r>
        <w:rPr>
          <w:rFonts w:ascii="Nirmala UI" w:hAnsi="Nirmala UI" w:eastAsia="Nirmala UI"/>
          <w:b/>
          <w:i w:val="0"/>
          <w:color w:val="1A234E"/>
          <w:sz w:val="28"/>
        </w:rPr>
        <w:t>प्रार्थना</w:t>
      </w:r>
    </w:p>
    <w:p>
      <w:pPr>
        <w:spacing w:before="100" w:after="100"/>
        <w:ind w:left="432" w:hanging="432"/>
      </w:pPr>
      <w:r>
        <w:rPr>
          <w:rFonts w:ascii="Nirmala UI" w:hAnsi="Nirmala UI" w:eastAsia="Nirmala UI"/>
          <w:b/>
          <w:color w:val="1A234E"/>
          <w:sz w:val="22"/>
        </w:rPr>
        <w:t xml:space="preserve">(क)  </w:t>
      </w:r>
      <w:r>
        <w:rPr>
          <w:rFonts w:ascii="Nirmala UI" w:hAnsi="Nirmala UI" w:eastAsia="Nirmala UI"/>
          <w:sz w:val="22"/>
        </w:rPr>
        <w:t>आवेदक हेमराज वरदार को BNSS 2023 की धारा 250 के अंतर्गत समस्त आरोपों से आरोप-मुक्त (Discharge) किया जाए;</w:t>
      </w:r>
    </w:p>
    <w:p>
      <w:pPr>
        <w:spacing w:before="100" w:after="100"/>
        <w:ind w:left="432" w:hanging="432"/>
      </w:pPr>
      <w:r>
        <w:rPr>
          <w:rFonts w:ascii="Nirmala UI" w:hAnsi="Nirmala UI" w:eastAsia="Nirmala UI"/>
          <w:b/>
          <w:color w:val="1A234E"/>
          <w:sz w:val="22"/>
        </w:rPr>
        <w:t xml:space="preserve">(ख)  </w:t>
      </w:r>
      <w:r>
        <w:rPr>
          <w:rFonts w:ascii="Nirmala UI" w:hAnsi="Nirmala UI" w:eastAsia="Nirmala UI"/>
          <w:sz w:val="22"/>
        </w:rPr>
        <w:t>FSL रिपोर्ट को अग्राह्य (Inadmissible) घोषित किया जाए — यह गलत मानक (IS 1199:2018), अभिरक्षा श्रृंखला के अभाव, एवं वर्षाजल-दूषित नमूनों पर आधारित है;</w:t>
      </w:r>
    </w:p>
    <w:p>
      <w:pPr>
        <w:spacing w:before="100" w:after="100"/>
        <w:ind w:left="432" w:hanging="432"/>
      </w:pPr>
      <w:r>
        <w:rPr>
          <w:rFonts w:ascii="Nirmala UI" w:hAnsi="Nirmala UI" w:eastAsia="Nirmala UI"/>
          <w:b/>
          <w:color w:val="1A234E"/>
          <w:sz w:val="22"/>
        </w:rPr>
        <w:t xml:space="preserve">(ग)  </w:t>
      </w:r>
      <w:r>
        <w:rPr>
          <w:rFonts w:ascii="Nirmala UI" w:hAnsi="Nirmala UI" w:eastAsia="Nirmala UI"/>
          <w:sz w:val="22"/>
        </w:rPr>
        <w:t>न्यायालय उचित समझे तो स्वतंत्र विशेषज्ञ द्वारा IS 2250:1981 + ASTM C1324 के अंतर्गत पुनः परीक्षण का आदेश दिया जाए।</w:t>
      </w:r>
    </w:p>
    <w:p>
      <w:pPr>
        <w:spacing w:before="80" w:after="80"/>
      </w:pPr>
      <w:r>
        <w:rPr>
          <w:color w:val="CCCCCC"/>
          <w:sz w:val="16"/>
        </w:rPr>
        <w:t>──────────────────────────────────────────────────────────────────────</w:t>
      </w:r>
    </w:p>
    <w:p>
      <w:pPr>
        <w:spacing w:before="280" w:after="80"/>
      </w:pPr>
      <w:r>
        <w:rPr>
          <w:rFonts w:ascii="Nirmala UI" w:hAnsi="Nirmala UI" w:eastAsia="Nirmala UI"/>
          <w:b/>
          <w:i w:val="0"/>
          <w:color w:val="1A234E"/>
          <w:sz w:val="28"/>
        </w:rPr>
        <w:t>न्यायिक दृष्टांत सारणी</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737"/>
            <w:shd w:val="clear" w:color="auto" w:fill="1A234E"/>
          </w:tcPr>
          <w:p>
            <w:pPr>
              <w:jc w:val="center"/>
            </w:pPr>
            <w:r>
              <w:rPr>
                <w:rFonts w:ascii="Nirmala UI" w:hAnsi="Nirmala UI" w:eastAsia="Nirmala UI"/>
                <w:b/>
                <w:color w:val="FFFFFF"/>
                <w:sz w:val="18"/>
              </w:rPr>
              <w:t>अनुलग्नक</w:t>
            </w:r>
          </w:p>
        </w:tc>
        <w:tc>
          <w:tcPr>
            <w:tcW w:type="dxa" w:w="2381"/>
            <w:shd w:val="clear" w:color="auto" w:fill="1A234E"/>
          </w:tcPr>
          <w:p>
            <w:pPr>
              <w:jc w:val="center"/>
            </w:pPr>
            <w:r>
              <w:rPr>
                <w:rFonts w:ascii="Nirmala UI" w:hAnsi="Nirmala UI" w:eastAsia="Nirmala UI"/>
                <w:b/>
                <w:color w:val="FFFFFF"/>
                <w:sz w:val="18"/>
              </w:rPr>
              <w:t>वाद शीर्षक</w:t>
            </w:r>
          </w:p>
        </w:tc>
        <w:tc>
          <w:tcPr>
            <w:tcW w:type="dxa" w:w="1587"/>
            <w:shd w:val="clear" w:color="auto" w:fill="1A234E"/>
          </w:tcPr>
          <w:p>
            <w:pPr>
              <w:jc w:val="center"/>
            </w:pPr>
            <w:r>
              <w:rPr>
                <w:rFonts w:ascii="Nirmala UI" w:hAnsi="Nirmala UI" w:eastAsia="Nirmala UI"/>
                <w:b/>
                <w:color w:val="FFFFFF"/>
                <w:sz w:val="18"/>
              </w:rPr>
              <w:t>न्यायालय/वर्ष</w:t>
            </w:r>
          </w:p>
        </w:tc>
        <w:tc>
          <w:tcPr>
            <w:tcW w:type="dxa" w:w="2268"/>
            <w:shd w:val="clear" w:color="auto" w:fill="1A234E"/>
          </w:tcPr>
          <w:p>
            <w:pPr>
              <w:jc w:val="center"/>
            </w:pPr>
            <w:r>
              <w:rPr>
                <w:rFonts w:ascii="Nirmala UI" w:hAnsi="Nirmala UI" w:eastAsia="Nirmala UI"/>
                <w:b/>
                <w:color w:val="FFFFFF"/>
                <w:sz w:val="18"/>
              </w:rPr>
              <w:t>बचाव हेतु प्रयोग</w:t>
            </w:r>
          </w:p>
        </w:tc>
        <w:tc>
          <w:tcPr>
            <w:tcW w:type="dxa" w:w="1304"/>
            <w:shd w:val="clear" w:color="auto" w:fill="1A234E"/>
          </w:tcPr>
          <w:p>
            <w:pPr>
              <w:jc w:val="center"/>
            </w:pPr>
            <w:r>
              <w:rPr>
                <w:rFonts w:ascii="Nirmala UI" w:hAnsi="Nirmala UI" w:eastAsia="Nirmala UI"/>
                <w:b/>
                <w:color w:val="FFFFFF"/>
                <w:sz w:val="18"/>
              </w:rPr>
              <w:t>स्थिति</w:t>
            </w:r>
          </w:p>
        </w:tc>
      </w:tr>
      <w:tr>
        <w:tc>
          <w:tcPr>
            <w:tcW w:type="dxa" w:w="737"/>
            <w:shd w:val="clear" w:color="auto" w:fill="F5F7FF"/>
            <w:vAlign w:val="top"/>
          </w:tcPr>
          <w:p>
            <w:pPr>
              <w:spacing w:before="40" w:after="40"/>
            </w:pPr>
            <w:r>
              <w:rPr>
                <w:rFonts w:ascii="Nirmala UI" w:hAnsi="Nirmala UI" w:eastAsia="Nirmala UI"/>
                <w:sz w:val="16"/>
              </w:rPr>
              <w:t>E</w:t>
            </w:r>
          </w:p>
        </w:tc>
        <w:tc>
          <w:tcPr>
            <w:tcW w:type="dxa" w:w="2381"/>
            <w:shd w:val="clear" w:color="auto" w:fill="F5F7FF"/>
            <w:vAlign w:val="top"/>
          </w:tcPr>
          <w:p>
            <w:pPr>
              <w:spacing w:before="40" w:after="40"/>
            </w:pPr>
            <w:r>
              <w:rPr>
                <w:rFonts w:ascii="Times New Roman" w:hAnsi="Times New Roman"/>
                <w:sz w:val="16"/>
              </w:rPr>
              <w:t>Kattavellai @ Devakar v. State of Tamil Nadu (Cr.A. 1672/2019)</w:t>
            </w:r>
          </w:p>
        </w:tc>
        <w:tc>
          <w:tcPr>
            <w:tcW w:type="dxa" w:w="1587"/>
            <w:shd w:val="clear" w:color="auto" w:fill="F5F7FF"/>
            <w:vAlign w:val="top"/>
          </w:tcPr>
          <w:p>
            <w:pPr>
              <w:spacing w:before="40" w:after="40"/>
            </w:pPr>
            <w:r>
              <w:rPr>
                <w:rFonts w:ascii="Times New Roman" w:hAnsi="Times New Roman"/>
                <w:sz w:val="16"/>
              </w:rPr>
              <w:t>SC — 2025 INSC 845</w:t>
            </w:r>
          </w:p>
        </w:tc>
        <w:tc>
          <w:tcPr>
            <w:tcW w:type="dxa" w:w="2268"/>
            <w:shd w:val="clear" w:color="auto" w:fill="F5F7FF"/>
            <w:vAlign w:val="top"/>
          </w:tcPr>
          <w:p>
            <w:pPr>
              <w:spacing w:before="40" w:after="40"/>
            </w:pPr>
            <w:r>
              <w:rPr>
                <w:rFonts w:ascii="Nirmala UI" w:hAnsi="Nirmala UI" w:eastAsia="Nirmala UI"/>
                <w:sz w:val="16"/>
              </w:rPr>
              <w:t>अभिरक्षा श्रृंखला अनिवार्य — FSL साक्ष्य शून्य</w:t>
            </w:r>
          </w:p>
        </w:tc>
        <w:tc>
          <w:tcPr>
            <w:tcW w:type="dxa" w:w="1304"/>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F</w:t>
            </w:r>
          </w:p>
        </w:tc>
        <w:tc>
          <w:tcPr>
            <w:tcW w:type="dxa" w:w="2381"/>
            <w:shd w:val="clear" w:color="auto" w:fill="FFFFFF"/>
            <w:vAlign w:val="top"/>
          </w:tcPr>
          <w:p>
            <w:pPr>
              <w:spacing w:before="40" w:after="40"/>
            </w:pPr>
            <w:r>
              <w:rPr>
                <w:rFonts w:ascii="Times New Roman" w:hAnsi="Times New Roman"/>
                <w:sz w:val="16"/>
              </w:rPr>
              <w:t>State of Maharashtra v. Damu</w:t>
            </w:r>
          </w:p>
        </w:tc>
        <w:tc>
          <w:tcPr>
            <w:tcW w:type="dxa" w:w="1587"/>
            <w:shd w:val="clear" w:color="auto" w:fill="FFFFFF"/>
            <w:vAlign w:val="top"/>
          </w:tcPr>
          <w:p>
            <w:pPr>
              <w:spacing w:before="40" w:after="40"/>
            </w:pPr>
            <w:r>
              <w:rPr>
                <w:rFonts w:ascii="Times New Roman" w:hAnsi="Times New Roman"/>
                <w:sz w:val="16"/>
              </w:rPr>
              <w:t>SC — (2000) 6 SCC 269</w:t>
            </w:r>
          </w:p>
        </w:tc>
        <w:tc>
          <w:tcPr>
            <w:tcW w:type="dxa" w:w="2268"/>
            <w:shd w:val="clear" w:color="auto" w:fill="FFFFFF"/>
            <w:vAlign w:val="top"/>
          </w:tcPr>
          <w:p>
            <w:pPr>
              <w:spacing w:before="40" w:after="40"/>
            </w:pPr>
            <w:r>
              <w:rPr>
                <w:rFonts w:ascii="Nirmala UI" w:hAnsi="Nirmala UI" w:eastAsia="Nirmala UI"/>
                <w:sz w:val="16"/>
              </w:rPr>
              <w:t>पंचनामा अभाव + दूषित नमूने</w:t>
            </w:r>
          </w:p>
        </w:tc>
        <w:tc>
          <w:tcPr>
            <w:tcW w:type="dxa" w:w="1304"/>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K</w:t>
            </w:r>
          </w:p>
        </w:tc>
        <w:tc>
          <w:tcPr>
            <w:tcW w:type="dxa" w:w="2381"/>
            <w:shd w:val="clear" w:color="auto" w:fill="F5F7FF"/>
            <w:vAlign w:val="top"/>
          </w:tcPr>
          <w:p>
            <w:pPr>
              <w:spacing w:before="40" w:after="40"/>
            </w:pPr>
            <w:r>
              <w:rPr>
                <w:rFonts w:ascii="Times New Roman" w:hAnsi="Times New Roman"/>
                <w:sz w:val="16"/>
              </w:rPr>
              <w:t>State of Punjab v. Baldev Singh</w:t>
            </w:r>
          </w:p>
        </w:tc>
        <w:tc>
          <w:tcPr>
            <w:tcW w:type="dxa" w:w="1587"/>
            <w:shd w:val="clear" w:color="auto" w:fill="F5F7FF"/>
            <w:vAlign w:val="top"/>
          </w:tcPr>
          <w:p>
            <w:pPr>
              <w:spacing w:before="40" w:after="40"/>
            </w:pPr>
            <w:r>
              <w:rPr>
                <w:rFonts w:ascii="Times New Roman" w:hAnsi="Times New Roman"/>
                <w:sz w:val="16"/>
              </w:rPr>
              <w:t>SC — (1999) 6 SCC 172</w:t>
            </w:r>
          </w:p>
        </w:tc>
        <w:tc>
          <w:tcPr>
            <w:tcW w:type="dxa" w:w="2268"/>
            <w:shd w:val="clear" w:color="auto" w:fill="F5F7FF"/>
            <w:vAlign w:val="top"/>
          </w:tcPr>
          <w:p>
            <w:pPr>
              <w:spacing w:before="40" w:after="40"/>
            </w:pPr>
            <w:r>
              <w:rPr>
                <w:rFonts w:ascii="Nirmala UI" w:hAnsi="Nirmala UI" w:eastAsia="Nirmala UI"/>
                <w:sz w:val="16"/>
              </w:rPr>
              <w:t>Three-Way Split अनिवार्य</w:t>
            </w:r>
          </w:p>
        </w:tc>
        <w:tc>
          <w:tcPr>
            <w:tcW w:type="dxa" w:w="1304"/>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W</w:t>
            </w:r>
          </w:p>
        </w:tc>
        <w:tc>
          <w:tcPr>
            <w:tcW w:type="dxa" w:w="2381"/>
            <w:shd w:val="clear" w:color="auto" w:fill="FFFFFF"/>
            <w:vAlign w:val="top"/>
          </w:tcPr>
          <w:p>
            <w:pPr>
              <w:spacing w:before="40" w:after="40"/>
            </w:pPr>
            <w:r>
              <w:rPr>
                <w:rFonts w:ascii="Times New Roman" w:hAnsi="Times New Roman"/>
                <w:sz w:val="16"/>
              </w:rPr>
              <w:t>Union of India v. Prafulla Kumar Samal</w:t>
            </w:r>
          </w:p>
        </w:tc>
        <w:tc>
          <w:tcPr>
            <w:tcW w:type="dxa" w:w="1587"/>
            <w:shd w:val="clear" w:color="auto" w:fill="FFFFFF"/>
            <w:vAlign w:val="top"/>
          </w:tcPr>
          <w:p>
            <w:pPr>
              <w:spacing w:before="40" w:after="40"/>
            </w:pPr>
            <w:r>
              <w:rPr>
                <w:rFonts w:ascii="Times New Roman" w:hAnsi="Times New Roman"/>
                <w:sz w:val="16"/>
              </w:rPr>
              <w:t>SC — (1979) 3 SCC 4</w:t>
            </w:r>
          </w:p>
        </w:tc>
        <w:tc>
          <w:tcPr>
            <w:tcW w:type="dxa" w:w="2268"/>
            <w:shd w:val="clear" w:color="auto" w:fill="FFFFFF"/>
            <w:vAlign w:val="top"/>
          </w:tcPr>
          <w:p>
            <w:pPr>
              <w:spacing w:before="40" w:after="40"/>
            </w:pPr>
            <w:r>
              <w:rPr>
                <w:rFonts w:ascii="Nirmala UI" w:hAnsi="Nirmala UI" w:eastAsia="Nirmala UI"/>
                <w:sz w:val="16"/>
              </w:rPr>
              <w:t>केवल संदेह = आरोप-मुक्ति</w:t>
            </w:r>
          </w:p>
        </w:tc>
        <w:tc>
          <w:tcPr>
            <w:tcW w:type="dxa" w:w="1304"/>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X</w:t>
            </w:r>
          </w:p>
        </w:tc>
        <w:tc>
          <w:tcPr>
            <w:tcW w:type="dxa" w:w="2381"/>
            <w:shd w:val="clear" w:color="auto" w:fill="F5F7FF"/>
            <w:vAlign w:val="top"/>
          </w:tcPr>
          <w:p>
            <w:pPr>
              <w:spacing w:before="40" w:after="40"/>
            </w:pPr>
            <w:r>
              <w:rPr>
                <w:rFonts w:ascii="Times New Roman" w:hAnsi="Times New Roman"/>
                <w:sz w:val="16"/>
              </w:rPr>
              <w:t>State of Bihar v. Ramesh Singh</w:t>
            </w:r>
          </w:p>
        </w:tc>
        <w:tc>
          <w:tcPr>
            <w:tcW w:type="dxa" w:w="1587"/>
            <w:shd w:val="clear" w:color="auto" w:fill="F5F7FF"/>
            <w:vAlign w:val="top"/>
          </w:tcPr>
          <w:p>
            <w:pPr>
              <w:spacing w:before="40" w:after="40"/>
            </w:pPr>
            <w:r>
              <w:rPr>
                <w:rFonts w:ascii="Times New Roman" w:hAnsi="Times New Roman"/>
                <w:sz w:val="16"/>
              </w:rPr>
              <w:t>SC — (1977) 4 SCC 39</w:t>
            </w:r>
          </w:p>
        </w:tc>
        <w:tc>
          <w:tcPr>
            <w:tcW w:type="dxa" w:w="2268"/>
            <w:shd w:val="clear" w:color="auto" w:fill="F5F7FF"/>
            <w:vAlign w:val="top"/>
          </w:tcPr>
          <w:p>
            <w:pPr>
              <w:spacing w:before="40" w:after="40"/>
            </w:pPr>
            <w:r>
              <w:rPr>
                <w:rFonts w:ascii="Nirmala UI" w:hAnsi="Nirmala UI" w:eastAsia="Nirmala UI"/>
                <w:sz w:val="16"/>
              </w:rPr>
              <w:t>संदेह पर आरोप-मुक्ति</w:t>
            </w:r>
          </w:p>
        </w:tc>
        <w:tc>
          <w:tcPr>
            <w:tcW w:type="dxa" w:w="1304"/>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U</w:t>
            </w:r>
          </w:p>
        </w:tc>
        <w:tc>
          <w:tcPr>
            <w:tcW w:type="dxa" w:w="2381"/>
            <w:shd w:val="clear" w:color="auto" w:fill="FFFFFF"/>
            <w:vAlign w:val="top"/>
          </w:tcPr>
          <w:p>
            <w:pPr>
              <w:spacing w:before="40" w:after="40"/>
            </w:pPr>
            <w:r>
              <w:rPr>
                <w:rFonts w:ascii="Times New Roman" w:hAnsi="Times New Roman"/>
                <w:sz w:val="16"/>
              </w:rPr>
              <w:t>Jacob Mathew v. State of Punjab</w:t>
            </w:r>
          </w:p>
        </w:tc>
        <w:tc>
          <w:tcPr>
            <w:tcW w:type="dxa" w:w="1587"/>
            <w:shd w:val="clear" w:color="auto" w:fill="FFFFFF"/>
            <w:vAlign w:val="top"/>
          </w:tcPr>
          <w:p>
            <w:pPr>
              <w:spacing w:before="40" w:after="40"/>
            </w:pPr>
            <w:r>
              <w:rPr>
                <w:rFonts w:ascii="Times New Roman" w:hAnsi="Times New Roman"/>
                <w:sz w:val="16"/>
              </w:rPr>
              <w:t>SC — (2005) 6 SCC 1, Para 48</w:t>
            </w:r>
          </w:p>
        </w:tc>
        <w:tc>
          <w:tcPr>
            <w:tcW w:type="dxa" w:w="2268"/>
            <w:shd w:val="clear" w:color="auto" w:fill="FFFFFF"/>
            <w:vAlign w:val="top"/>
          </w:tcPr>
          <w:p>
            <w:pPr>
              <w:spacing w:before="40" w:after="40"/>
            </w:pPr>
            <w:r>
              <w:rPr>
                <w:rFonts w:ascii="Nirmala UI" w:hAnsi="Nirmala UI" w:eastAsia="Nirmala UI"/>
                <w:sz w:val="16"/>
              </w:rPr>
              <w:t>IPC §304A — Gross Negligence मानक</w:t>
            </w:r>
          </w:p>
        </w:tc>
        <w:tc>
          <w:tcPr>
            <w:tcW w:type="dxa" w:w="1304"/>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G</w:t>
            </w:r>
          </w:p>
        </w:tc>
        <w:tc>
          <w:tcPr>
            <w:tcW w:type="dxa" w:w="2381"/>
            <w:shd w:val="clear" w:color="auto" w:fill="F5F7FF"/>
            <w:vAlign w:val="top"/>
          </w:tcPr>
          <w:p>
            <w:pPr>
              <w:spacing w:before="40" w:after="40"/>
            </w:pPr>
            <w:r>
              <w:rPr>
                <w:rFonts w:ascii="Times New Roman" w:hAnsi="Times New Roman"/>
                <w:sz w:val="16"/>
              </w:rPr>
              <w:t>Surendra Koli v. State of UP</w:t>
            </w:r>
          </w:p>
        </w:tc>
        <w:tc>
          <w:tcPr>
            <w:tcW w:type="dxa" w:w="1587"/>
            <w:shd w:val="clear" w:color="auto" w:fill="F5F7FF"/>
            <w:vAlign w:val="top"/>
          </w:tcPr>
          <w:p>
            <w:pPr>
              <w:spacing w:before="40" w:after="40"/>
            </w:pPr>
            <w:r>
              <w:rPr>
                <w:rFonts w:ascii="Times New Roman" w:hAnsi="Times New Roman"/>
                <w:sz w:val="16"/>
              </w:rPr>
              <w:t>SC — November 2025</w:t>
            </w:r>
          </w:p>
        </w:tc>
        <w:tc>
          <w:tcPr>
            <w:tcW w:type="dxa" w:w="2268"/>
            <w:shd w:val="clear" w:color="auto" w:fill="F5F7FF"/>
            <w:vAlign w:val="top"/>
          </w:tcPr>
          <w:p>
            <w:pPr>
              <w:spacing w:before="40" w:after="40"/>
            </w:pPr>
            <w:r>
              <w:rPr>
                <w:rFonts w:ascii="Nirmala UI" w:hAnsi="Nirmala UI" w:eastAsia="Nirmala UI"/>
                <w:sz w:val="16"/>
              </w:rPr>
              <w:t>फोरेंसिक साक्ष्य — सख्त प्रमाण</w:t>
            </w:r>
          </w:p>
        </w:tc>
        <w:tc>
          <w:tcPr>
            <w:tcW w:type="dxa" w:w="1304"/>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S</w:t>
            </w:r>
          </w:p>
        </w:tc>
        <w:tc>
          <w:tcPr>
            <w:tcW w:type="dxa" w:w="2381"/>
            <w:shd w:val="clear" w:color="auto" w:fill="FFFFFF"/>
            <w:vAlign w:val="top"/>
          </w:tcPr>
          <w:p>
            <w:pPr>
              <w:spacing w:before="40" w:after="40"/>
            </w:pPr>
            <w:r>
              <w:rPr>
                <w:rFonts w:ascii="Times New Roman" w:hAnsi="Times New Roman"/>
                <w:sz w:val="16"/>
              </w:rPr>
              <w:t>Rajasthan HC Suo Motu PIL</w:t>
            </w:r>
          </w:p>
        </w:tc>
        <w:tc>
          <w:tcPr>
            <w:tcW w:type="dxa" w:w="1587"/>
            <w:shd w:val="clear" w:color="auto" w:fill="FFFFFF"/>
            <w:vAlign w:val="top"/>
          </w:tcPr>
          <w:p>
            <w:pPr>
              <w:spacing w:before="40" w:after="40"/>
            </w:pPr>
            <w:r>
              <w:rPr>
                <w:rFonts w:ascii="Times New Roman" w:hAnsi="Times New Roman"/>
                <w:sz w:val="16"/>
              </w:rPr>
              <w:t>Raj. HC — 29.07.2025 + 23.08.2025</w:t>
            </w:r>
          </w:p>
        </w:tc>
        <w:tc>
          <w:tcPr>
            <w:tcW w:type="dxa" w:w="2268"/>
            <w:shd w:val="clear" w:color="auto" w:fill="FFFFFF"/>
            <w:vAlign w:val="top"/>
          </w:tcPr>
          <w:p>
            <w:pPr>
              <w:spacing w:before="40" w:after="40"/>
            </w:pPr>
            <w:r>
              <w:rPr>
                <w:rFonts w:ascii="Nirmala UI" w:hAnsi="Nirmala UI" w:eastAsia="Nirmala UI"/>
                <w:sz w:val="16"/>
              </w:rPr>
              <w:t>स्टेडियम दीवार — मौसमी परिस्थितियाँ</w:t>
            </w:r>
          </w:p>
        </w:tc>
        <w:tc>
          <w:tcPr>
            <w:tcW w:type="dxa" w:w="1304"/>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T</w:t>
            </w:r>
          </w:p>
        </w:tc>
        <w:tc>
          <w:tcPr>
            <w:tcW w:type="dxa" w:w="2381"/>
            <w:shd w:val="clear" w:color="auto" w:fill="F5F7FF"/>
            <w:vAlign w:val="top"/>
          </w:tcPr>
          <w:p>
            <w:pPr>
              <w:spacing w:before="40" w:after="40"/>
            </w:pPr>
            <w:r>
              <w:rPr>
                <w:rFonts w:ascii="Times New Roman" w:hAnsi="Times New Roman"/>
                <w:sz w:val="16"/>
              </w:rPr>
              <w:t>RSMML v. Contractor</w:t>
            </w:r>
          </w:p>
        </w:tc>
        <w:tc>
          <w:tcPr>
            <w:tcW w:type="dxa" w:w="1587"/>
            <w:shd w:val="clear" w:color="auto" w:fill="F5F7FF"/>
            <w:vAlign w:val="top"/>
          </w:tcPr>
          <w:p>
            <w:pPr>
              <w:spacing w:before="40" w:after="40"/>
            </w:pPr>
            <w:r>
              <w:rPr>
                <w:rFonts w:ascii="Times New Roman" w:hAnsi="Times New Roman"/>
                <w:sz w:val="16"/>
              </w:rPr>
              <w:t>Raj. HC Div. Bench — 30.03.2026</w:t>
            </w:r>
          </w:p>
        </w:tc>
        <w:tc>
          <w:tcPr>
            <w:tcW w:type="dxa" w:w="2268"/>
            <w:shd w:val="clear" w:color="auto" w:fill="F5F7FF"/>
            <w:vAlign w:val="top"/>
          </w:tcPr>
          <w:p>
            <w:pPr>
              <w:spacing w:before="40" w:after="40"/>
            </w:pPr>
            <w:r>
              <w:rPr>
                <w:rFonts w:ascii="Nirmala UI" w:hAnsi="Nirmala UI" w:eastAsia="Nirmala UI"/>
                <w:sz w:val="16"/>
              </w:rPr>
              <w:t>ठेकेदार दायित्व — मानक अनुपालन</w:t>
            </w:r>
          </w:p>
        </w:tc>
        <w:tc>
          <w:tcPr>
            <w:tcW w:type="dxa" w:w="1304"/>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D</w:t>
            </w:r>
          </w:p>
        </w:tc>
        <w:tc>
          <w:tcPr>
            <w:tcW w:type="dxa" w:w="2381"/>
            <w:shd w:val="clear" w:color="auto" w:fill="FFFFFF"/>
            <w:vAlign w:val="top"/>
          </w:tcPr>
          <w:p>
            <w:pPr>
              <w:spacing w:before="40" w:after="40"/>
            </w:pPr>
            <w:r>
              <w:rPr>
                <w:rFonts w:ascii="Times New Roman" w:hAnsi="Times New Roman"/>
                <w:sz w:val="16"/>
              </w:rPr>
              <w:t>Tomaso Bruno v. State of UP</w:t>
            </w:r>
          </w:p>
        </w:tc>
        <w:tc>
          <w:tcPr>
            <w:tcW w:type="dxa" w:w="1587"/>
            <w:shd w:val="clear" w:color="auto" w:fill="FFFFFF"/>
            <w:vAlign w:val="top"/>
          </w:tcPr>
          <w:p>
            <w:pPr>
              <w:spacing w:before="40" w:after="40"/>
            </w:pPr>
            <w:r>
              <w:rPr>
                <w:rFonts w:ascii="Times New Roman" w:hAnsi="Times New Roman"/>
                <w:sz w:val="16"/>
              </w:rPr>
              <w:t>SC — (2015) 7 SCC 178</w:t>
            </w:r>
          </w:p>
        </w:tc>
        <w:tc>
          <w:tcPr>
            <w:tcW w:type="dxa" w:w="2268"/>
            <w:shd w:val="clear" w:color="auto" w:fill="FFFFFF"/>
            <w:vAlign w:val="top"/>
          </w:tcPr>
          <w:p>
            <w:pPr>
              <w:spacing w:before="40" w:after="40"/>
            </w:pPr>
            <w:r>
              <w:rPr>
                <w:rFonts w:ascii="Nirmala UI" w:hAnsi="Nirmala UI" w:eastAsia="Nirmala UI"/>
                <w:sz w:val="16"/>
              </w:rPr>
              <w:t>Paras 25–30 &amp; 42: expert opinion on defective/inconsistent foundation — ratio verified, certified copy needed</w:t>
            </w:r>
          </w:p>
        </w:tc>
        <w:tc>
          <w:tcPr>
            <w:tcW w:type="dxa" w:w="1304"/>
            <w:shd w:val="clear" w:color="auto" w:fill="FFFFFF"/>
            <w:vAlign w:val="top"/>
          </w:tcPr>
          <w:p>
            <w:pPr>
              <w:spacing w:before="40" w:after="40"/>
            </w:pPr>
            <w:r>
              <w:rPr>
                <w:rFonts w:ascii="Nirmala UI" w:hAnsi="Nirmala UI" w:eastAsia="Nirmala UI"/>
                <w:color w:val="E67100"/>
                <w:sz w:val="16"/>
              </w:rPr>
              <w:t>SECONDARY ⚠</w:t>
            </w:r>
          </w:p>
        </w:tc>
      </w:tr>
      <w:tr>
        <w:tc>
          <w:tcPr>
            <w:tcW w:type="dxa" w:w="737"/>
            <w:shd w:val="clear" w:color="auto" w:fill="F5F7FF"/>
            <w:vAlign w:val="top"/>
          </w:tcPr>
          <w:p>
            <w:pPr>
              <w:spacing w:before="40" w:after="40"/>
            </w:pPr>
            <w:r>
              <w:rPr>
                <w:rFonts w:ascii="Nirmala UI" w:hAnsi="Nirmala UI" w:eastAsia="Nirmala UI"/>
                <w:sz w:val="16"/>
              </w:rPr>
              <w:t>H</w:t>
            </w:r>
          </w:p>
        </w:tc>
        <w:tc>
          <w:tcPr>
            <w:tcW w:type="dxa" w:w="2381"/>
            <w:shd w:val="clear" w:color="auto" w:fill="F5F7FF"/>
            <w:vAlign w:val="top"/>
          </w:tcPr>
          <w:p>
            <w:pPr>
              <w:spacing w:before="40" w:after="40"/>
            </w:pPr>
            <w:r>
              <w:rPr>
                <w:rFonts w:ascii="Times New Roman" w:hAnsi="Times New Roman"/>
                <w:sz w:val="16"/>
              </w:rPr>
              <w:t>Uttarakhand HC</w:t>
            </w:r>
          </w:p>
        </w:tc>
        <w:tc>
          <w:tcPr>
            <w:tcW w:type="dxa" w:w="1587"/>
            <w:shd w:val="clear" w:color="auto" w:fill="F5F7FF"/>
            <w:vAlign w:val="top"/>
          </w:tcPr>
          <w:p>
            <w:pPr>
              <w:spacing w:before="40" w:after="40"/>
            </w:pPr>
            <w:r>
              <w:rPr>
                <w:rFonts w:ascii="Times New Roman" w:hAnsi="Times New Roman"/>
                <w:sz w:val="16"/>
              </w:rPr>
              <w:t>HC — March 2026</w:t>
            </w:r>
          </w:p>
        </w:tc>
        <w:tc>
          <w:tcPr>
            <w:tcW w:type="dxa" w:w="2268"/>
            <w:shd w:val="clear" w:color="auto" w:fill="F5F7FF"/>
            <w:vAlign w:val="top"/>
          </w:tcPr>
          <w:p>
            <w:pPr>
              <w:spacing w:before="40" w:after="40"/>
            </w:pPr>
            <w:r>
              <w:rPr>
                <w:rFonts w:ascii="Nirmala UI" w:hAnsi="Nirmala UI" w:eastAsia="Nirmala UI"/>
                <w:sz w:val="16"/>
              </w:rPr>
              <w:t>Chain of Custody अभाव = FSL अग्राह्य</w:t>
            </w:r>
          </w:p>
        </w:tc>
        <w:tc>
          <w:tcPr>
            <w:tcW w:type="dxa" w:w="1304"/>
            <w:shd w:val="clear" w:color="auto" w:fill="F5F7FF"/>
            <w:vAlign w:val="top"/>
          </w:tcPr>
          <w:p>
            <w:pPr>
              <w:spacing w:before="40" w:after="40"/>
            </w:pPr>
            <w:r>
              <w:rPr>
                <w:rFonts w:ascii="Nirmala UI" w:hAnsi="Nirmala UI" w:eastAsia="Nirmala UI"/>
                <w:color w:val="E67100"/>
                <w:sz w:val="16"/>
              </w:rPr>
              <w:t>SECONDARY ⚠</w:t>
            </w:r>
          </w:p>
        </w:tc>
      </w:tr>
      <w:tr>
        <w:tc>
          <w:tcPr>
            <w:tcW w:type="dxa" w:w="737"/>
            <w:shd w:val="clear" w:color="auto" w:fill="FFFFFF"/>
            <w:vAlign w:val="top"/>
          </w:tcPr>
          <w:p>
            <w:pPr>
              <w:spacing w:before="40" w:after="40"/>
            </w:pPr>
            <w:r>
              <w:rPr>
                <w:rFonts w:ascii="Nirmala UI" w:hAnsi="Nirmala UI" w:eastAsia="Nirmala UI"/>
                <w:sz w:val="16"/>
              </w:rPr>
              <w:t>P</w:t>
            </w:r>
          </w:p>
        </w:tc>
        <w:tc>
          <w:tcPr>
            <w:tcW w:type="dxa" w:w="2381"/>
            <w:shd w:val="clear" w:color="auto" w:fill="FFFFFF"/>
            <w:vAlign w:val="top"/>
          </w:tcPr>
          <w:p>
            <w:pPr>
              <w:spacing w:before="40" w:after="40"/>
            </w:pPr>
            <w:r>
              <w:rPr>
                <w:rFonts w:ascii="Times New Roman" w:hAnsi="Times New Roman"/>
                <w:sz w:val="16"/>
              </w:rPr>
              <w:t>Madras HC</w:t>
            </w:r>
          </w:p>
        </w:tc>
        <w:tc>
          <w:tcPr>
            <w:tcW w:type="dxa" w:w="1587"/>
            <w:shd w:val="clear" w:color="auto" w:fill="FFFFFF"/>
            <w:vAlign w:val="top"/>
          </w:tcPr>
          <w:p>
            <w:pPr>
              <w:spacing w:before="40" w:after="40"/>
            </w:pPr>
            <w:r>
              <w:rPr>
                <w:rFonts w:ascii="Times New Roman" w:hAnsi="Times New Roman"/>
                <w:sz w:val="16"/>
              </w:rPr>
              <w:t>HC — 2025 SCC OnLine Mad 3214</w:t>
            </w:r>
          </w:p>
        </w:tc>
        <w:tc>
          <w:tcPr>
            <w:tcW w:type="dxa" w:w="2268"/>
            <w:shd w:val="clear" w:color="auto" w:fill="FFFFFF"/>
            <w:vAlign w:val="top"/>
          </w:tcPr>
          <w:p>
            <w:pPr>
              <w:spacing w:before="40" w:after="40"/>
            </w:pPr>
            <w:r>
              <w:rPr>
                <w:rFonts w:ascii="Nirmala UI" w:hAnsi="Nirmala UI" w:eastAsia="Nirmala UI"/>
                <w:sz w:val="16"/>
              </w:rPr>
              <w:t>प्राकृतिक न्याय + एकतरफा संग्रह</w:t>
            </w:r>
          </w:p>
        </w:tc>
        <w:tc>
          <w:tcPr>
            <w:tcW w:type="dxa" w:w="1304"/>
            <w:shd w:val="clear" w:color="auto" w:fill="FFFFFF"/>
            <w:vAlign w:val="top"/>
          </w:tcPr>
          <w:p>
            <w:pPr>
              <w:spacing w:before="40" w:after="40"/>
            </w:pPr>
            <w:r>
              <w:rPr>
                <w:rFonts w:ascii="Nirmala UI" w:hAnsi="Nirmala UI" w:eastAsia="Nirmala UI"/>
                <w:color w:val="E67100"/>
                <w:sz w:val="16"/>
              </w:rPr>
              <w:t>SECONDARY ⚠</w:t>
            </w:r>
          </w:p>
        </w:tc>
      </w:tr>
    </w:tbl>
    <w:p/>
    <w:p>
      <w:pPr>
        <w:spacing w:before="280" w:after="80"/>
      </w:pPr>
      <w:r>
        <w:rPr>
          <w:rFonts w:ascii="Nirmala UI" w:hAnsi="Nirmala UI" w:eastAsia="Nirmala UI"/>
          <w:b/>
          <w:i w:val="0"/>
          <w:color w:val="1A234E"/>
          <w:sz w:val="28"/>
        </w:rPr>
        <w:t>तकनीकी मानक सारणी (IS / ASTM / NBC / CPWD)</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737"/>
            <w:shd w:val="clear" w:color="auto" w:fill="1A234E"/>
          </w:tcPr>
          <w:p>
            <w:pPr>
              <w:jc w:val="center"/>
            </w:pPr>
            <w:r>
              <w:rPr>
                <w:rFonts w:ascii="Nirmala UI" w:hAnsi="Nirmala UI" w:eastAsia="Nirmala UI"/>
                <w:b/>
                <w:color w:val="FFFFFF"/>
                <w:sz w:val="18"/>
              </w:rPr>
              <w:t>अनुलग्नक</w:t>
            </w:r>
          </w:p>
        </w:tc>
        <w:tc>
          <w:tcPr>
            <w:tcW w:type="dxa" w:w="1417"/>
            <w:shd w:val="clear" w:color="auto" w:fill="1A234E"/>
          </w:tcPr>
          <w:p>
            <w:pPr>
              <w:jc w:val="center"/>
            </w:pPr>
            <w:r>
              <w:rPr>
                <w:rFonts w:ascii="Nirmala UI" w:hAnsi="Nirmala UI" w:eastAsia="Nirmala UI"/>
                <w:b/>
                <w:color w:val="FFFFFF"/>
                <w:sz w:val="18"/>
              </w:rPr>
              <w:t>मानक</w:t>
            </w:r>
          </w:p>
        </w:tc>
        <w:tc>
          <w:tcPr>
            <w:tcW w:type="dxa" w:w="1417"/>
            <w:shd w:val="clear" w:color="auto" w:fill="1A234E"/>
          </w:tcPr>
          <w:p>
            <w:pPr>
              <w:jc w:val="center"/>
            </w:pPr>
            <w:r>
              <w:rPr>
                <w:rFonts w:ascii="Nirmala UI" w:hAnsi="Nirmala UI" w:eastAsia="Nirmala UI"/>
                <w:b/>
                <w:color w:val="FFFFFF"/>
                <w:sz w:val="18"/>
              </w:rPr>
              <w:t>खंड</w:t>
            </w:r>
          </w:p>
        </w:tc>
        <w:tc>
          <w:tcPr>
            <w:tcW w:type="dxa" w:w="3118"/>
            <w:shd w:val="clear" w:color="auto" w:fill="1A234E"/>
          </w:tcPr>
          <w:p>
            <w:pPr>
              <w:jc w:val="center"/>
            </w:pPr>
            <w:r>
              <w:rPr>
                <w:rFonts w:ascii="Nirmala UI" w:hAnsi="Nirmala UI" w:eastAsia="Nirmala UI"/>
                <w:b/>
                <w:color w:val="FFFFFF"/>
                <w:sz w:val="18"/>
              </w:rPr>
              <w:t>बचाव प्रयोग</w:t>
            </w:r>
          </w:p>
        </w:tc>
        <w:tc>
          <w:tcPr>
            <w:tcW w:type="dxa" w:w="1531"/>
            <w:shd w:val="clear" w:color="auto" w:fill="1A234E"/>
          </w:tcPr>
          <w:p>
            <w:pPr>
              <w:jc w:val="center"/>
            </w:pPr>
            <w:r>
              <w:rPr>
                <w:rFonts w:ascii="Nirmala UI" w:hAnsi="Nirmala UI" w:eastAsia="Nirmala UI"/>
                <w:b/>
                <w:color w:val="FFFFFF"/>
                <w:sz w:val="18"/>
              </w:rPr>
              <w:t>विश्वसनीयता</w:t>
            </w:r>
          </w:p>
        </w:tc>
      </w:tr>
      <w:tr>
        <w:tc>
          <w:tcPr>
            <w:tcW w:type="dxa" w:w="737"/>
            <w:shd w:val="clear" w:color="auto" w:fill="F5F7FF"/>
            <w:vAlign w:val="top"/>
          </w:tcPr>
          <w:p>
            <w:pPr>
              <w:spacing w:before="40" w:after="40"/>
            </w:pPr>
            <w:r>
              <w:rPr>
                <w:rFonts w:ascii="Nirmala UI" w:hAnsi="Nirmala UI" w:eastAsia="Nirmala UI"/>
                <w:sz w:val="16"/>
              </w:rPr>
              <w:t>A</w:t>
            </w:r>
          </w:p>
        </w:tc>
        <w:tc>
          <w:tcPr>
            <w:tcW w:type="dxa" w:w="1417"/>
            <w:shd w:val="clear" w:color="auto" w:fill="F5F7FF"/>
            <w:vAlign w:val="top"/>
          </w:tcPr>
          <w:p>
            <w:pPr>
              <w:spacing w:before="40" w:after="40"/>
            </w:pPr>
            <w:r>
              <w:rPr>
                <w:rFonts w:ascii="Times New Roman" w:hAnsi="Times New Roman"/>
                <w:sz w:val="16"/>
              </w:rPr>
              <w:t>IS 1199:2018</w:t>
            </w:r>
          </w:p>
        </w:tc>
        <w:tc>
          <w:tcPr>
            <w:tcW w:type="dxa" w:w="1417"/>
            <w:shd w:val="clear" w:color="auto" w:fill="F5F7FF"/>
            <w:vAlign w:val="top"/>
          </w:tcPr>
          <w:p>
            <w:pPr>
              <w:spacing w:before="40" w:after="40"/>
            </w:pPr>
            <w:r>
              <w:rPr>
                <w:rFonts w:ascii="Times New Roman" w:hAnsi="Times New Roman"/>
                <w:sz w:val="16"/>
              </w:rPr>
              <w:t>Scope Cl. 1</w:t>
            </w:r>
          </w:p>
        </w:tc>
        <w:tc>
          <w:tcPr>
            <w:tcW w:type="dxa" w:w="3118"/>
            <w:shd w:val="clear" w:color="auto" w:fill="F5F7FF"/>
            <w:vAlign w:val="top"/>
          </w:tcPr>
          <w:p>
            <w:pPr>
              <w:spacing w:before="40" w:after="40"/>
            </w:pPr>
            <w:r>
              <w:rPr>
                <w:rFonts w:ascii="Nirmala UI" w:hAnsi="Nirmala UI" w:eastAsia="Nirmala UI"/>
                <w:sz w:val="16"/>
              </w:rPr>
              <w:t>केवल ताजे कंक्रीट — Hardened Mortar पर अयोग्य</w:t>
            </w:r>
          </w:p>
        </w:tc>
        <w:tc>
          <w:tcPr>
            <w:tcW w:type="dxa" w:w="1531"/>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B</w:t>
            </w:r>
          </w:p>
        </w:tc>
        <w:tc>
          <w:tcPr>
            <w:tcW w:type="dxa" w:w="1417"/>
            <w:shd w:val="clear" w:color="auto" w:fill="FFFFFF"/>
            <w:vAlign w:val="top"/>
          </w:tcPr>
          <w:p>
            <w:pPr>
              <w:spacing w:before="40" w:after="40"/>
            </w:pPr>
            <w:r>
              <w:rPr>
                <w:rFonts w:ascii="Times New Roman" w:hAnsi="Times New Roman"/>
                <w:sz w:val="16"/>
              </w:rPr>
              <w:t>IS 2250:1981</w:t>
            </w:r>
          </w:p>
        </w:tc>
        <w:tc>
          <w:tcPr>
            <w:tcW w:type="dxa" w:w="1417"/>
            <w:shd w:val="clear" w:color="auto" w:fill="FFFFFF"/>
            <w:vAlign w:val="top"/>
          </w:tcPr>
          <w:p>
            <w:pPr>
              <w:spacing w:before="40" w:after="40"/>
            </w:pPr>
            <w:r>
              <w:rPr>
                <w:rFonts w:ascii="Times New Roman" w:hAnsi="Times New Roman"/>
                <w:sz w:val="16"/>
              </w:rPr>
              <w:t>Title + §5</w:t>
            </w:r>
          </w:p>
        </w:tc>
        <w:tc>
          <w:tcPr>
            <w:tcW w:type="dxa" w:w="3118"/>
            <w:shd w:val="clear" w:color="auto" w:fill="FFFFFF"/>
            <w:vAlign w:val="top"/>
          </w:tcPr>
          <w:p>
            <w:pPr>
              <w:spacing w:before="40" w:after="40"/>
            </w:pPr>
            <w:r>
              <w:rPr>
                <w:rFonts w:ascii="Nirmala UI" w:hAnsi="Nirmala UI" w:eastAsia="Nirmala UI"/>
                <w:sz w:val="16"/>
              </w:rPr>
              <w:t>चिनाई मोर्टार का सही मानक — FSL ने प्रयोग नहीं किया</w:t>
            </w:r>
          </w:p>
        </w:tc>
        <w:tc>
          <w:tcPr>
            <w:tcW w:type="dxa" w:w="1531"/>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C/N</w:t>
            </w:r>
          </w:p>
        </w:tc>
        <w:tc>
          <w:tcPr>
            <w:tcW w:type="dxa" w:w="1417"/>
            <w:shd w:val="clear" w:color="auto" w:fill="F5F7FF"/>
            <w:vAlign w:val="top"/>
          </w:tcPr>
          <w:p>
            <w:pPr>
              <w:spacing w:before="40" w:after="40"/>
            </w:pPr>
            <w:r>
              <w:rPr>
                <w:rFonts w:ascii="Times New Roman" w:hAnsi="Times New Roman"/>
                <w:sz w:val="16"/>
              </w:rPr>
              <w:t>ASTM C1324</w:t>
            </w:r>
          </w:p>
        </w:tc>
        <w:tc>
          <w:tcPr>
            <w:tcW w:type="dxa" w:w="1417"/>
            <w:shd w:val="clear" w:color="auto" w:fill="F5F7FF"/>
            <w:vAlign w:val="top"/>
          </w:tcPr>
          <w:p>
            <w:pPr>
              <w:spacing w:before="40" w:after="40"/>
            </w:pPr>
            <w:r>
              <w:rPr>
                <w:rFonts w:ascii="Times New Roman" w:hAnsi="Times New Roman"/>
                <w:sz w:val="16"/>
              </w:rPr>
              <w:t>§§7-8</w:t>
            </w:r>
          </w:p>
        </w:tc>
        <w:tc>
          <w:tcPr>
            <w:tcW w:type="dxa" w:w="3118"/>
            <w:shd w:val="clear" w:color="auto" w:fill="F5F7FF"/>
            <w:vAlign w:val="top"/>
          </w:tcPr>
          <w:p>
            <w:pPr>
              <w:spacing w:before="40" w:after="40"/>
            </w:pPr>
            <w:r>
              <w:rPr>
                <w:rFonts w:ascii="Nirmala UI" w:hAnsi="Nirmala UI" w:eastAsia="Nirmala UI"/>
                <w:sz w:val="16"/>
              </w:rPr>
              <w:t>Carbonated layer हटाना अनिवार्य</w:t>
            </w:r>
          </w:p>
        </w:tc>
        <w:tc>
          <w:tcPr>
            <w:tcW w:type="dxa" w:w="1531"/>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I</w:t>
            </w:r>
          </w:p>
        </w:tc>
        <w:tc>
          <w:tcPr>
            <w:tcW w:type="dxa" w:w="1417"/>
            <w:shd w:val="clear" w:color="auto" w:fill="FFFFFF"/>
            <w:vAlign w:val="top"/>
          </w:tcPr>
          <w:p>
            <w:pPr>
              <w:spacing w:before="40" w:after="40"/>
            </w:pPr>
            <w:r>
              <w:rPr>
                <w:rFonts w:ascii="Times New Roman" w:hAnsi="Times New Roman"/>
                <w:sz w:val="16"/>
              </w:rPr>
              <w:t>IS 3535:1986</w:t>
            </w:r>
          </w:p>
        </w:tc>
        <w:tc>
          <w:tcPr>
            <w:tcW w:type="dxa" w:w="1417"/>
            <w:shd w:val="clear" w:color="auto" w:fill="FFFFFF"/>
            <w:vAlign w:val="top"/>
          </w:tcPr>
          <w:p>
            <w:pPr>
              <w:spacing w:before="40" w:after="40"/>
            </w:pPr>
            <w:r>
              <w:rPr>
                <w:rFonts w:ascii="Times New Roman" w:hAnsi="Times New Roman"/>
                <w:sz w:val="16"/>
              </w:rPr>
              <w:t>Cl. 4.1</w:t>
            </w:r>
          </w:p>
        </w:tc>
        <w:tc>
          <w:tcPr>
            <w:tcW w:type="dxa" w:w="3118"/>
            <w:shd w:val="clear" w:color="auto" w:fill="FFFFFF"/>
            <w:vAlign w:val="top"/>
          </w:tcPr>
          <w:p>
            <w:pPr>
              <w:spacing w:before="40" w:after="40"/>
            </w:pPr>
            <w:r>
              <w:rPr>
                <w:rFonts w:ascii="Nirmala UI" w:hAnsi="Nirmala UI" w:eastAsia="Nirmala UI"/>
                <w:sz w:val="16"/>
              </w:rPr>
              <w:t>ठेकेदार प्रतिनिधि की उपस्थिति अनिवार्य</w:t>
            </w:r>
          </w:p>
        </w:tc>
        <w:tc>
          <w:tcPr>
            <w:tcW w:type="dxa" w:w="1531"/>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J</w:t>
            </w:r>
          </w:p>
        </w:tc>
        <w:tc>
          <w:tcPr>
            <w:tcW w:type="dxa" w:w="1417"/>
            <w:shd w:val="clear" w:color="auto" w:fill="F5F7FF"/>
            <w:vAlign w:val="top"/>
          </w:tcPr>
          <w:p>
            <w:pPr>
              <w:spacing w:before="40" w:after="40"/>
            </w:pPr>
            <w:r>
              <w:rPr>
                <w:rFonts w:ascii="Times New Roman" w:hAnsi="Times New Roman"/>
                <w:sz w:val="16"/>
              </w:rPr>
              <w:t>IS 3535:1986</w:t>
            </w:r>
          </w:p>
        </w:tc>
        <w:tc>
          <w:tcPr>
            <w:tcW w:type="dxa" w:w="1417"/>
            <w:shd w:val="clear" w:color="auto" w:fill="F5F7FF"/>
            <w:vAlign w:val="top"/>
          </w:tcPr>
          <w:p>
            <w:pPr>
              <w:spacing w:before="40" w:after="40"/>
            </w:pPr>
            <w:r>
              <w:rPr>
                <w:rFonts w:ascii="Times New Roman" w:hAnsi="Times New Roman"/>
                <w:sz w:val="16"/>
              </w:rPr>
              <w:t>Cl. 5.7.5</w:t>
            </w:r>
          </w:p>
        </w:tc>
        <w:tc>
          <w:tcPr>
            <w:tcW w:type="dxa" w:w="3118"/>
            <w:shd w:val="clear" w:color="auto" w:fill="F5F7FF"/>
            <w:vAlign w:val="top"/>
          </w:tcPr>
          <w:p>
            <w:pPr>
              <w:spacing w:before="40" w:after="40"/>
            </w:pPr>
            <w:r>
              <w:rPr>
                <w:rFonts w:ascii="Nirmala UI" w:hAnsi="Nirmala UI" w:eastAsia="Nirmala UI"/>
                <w:sz w:val="16"/>
              </w:rPr>
              <w:t>Three-Way Split अनिवार्य</w:t>
            </w:r>
          </w:p>
        </w:tc>
        <w:tc>
          <w:tcPr>
            <w:tcW w:type="dxa" w:w="1531"/>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M</w:t>
            </w:r>
          </w:p>
        </w:tc>
        <w:tc>
          <w:tcPr>
            <w:tcW w:type="dxa" w:w="1417"/>
            <w:shd w:val="clear" w:color="auto" w:fill="FFFFFF"/>
            <w:vAlign w:val="top"/>
          </w:tcPr>
          <w:p>
            <w:pPr>
              <w:spacing w:before="40" w:after="40"/>
            </w:pPr>
            <w:r>
              <w:rPr>
                <w:rFonts w:ascii="Times New Roman" w:hAnsi="Times New Roman"/>
                <w:sz w:val="16"/>
              </w:rPr>
              <w:t>IS 4031 (Part 6)</w:t>
            </w:r>
          </w:p>
        </w:tc>
        <w:tc>
          <w:tcPr>
            <w:tcW w:type="dxa" w:w="1417"/>
            <w:shd w:val="clear" w:color="auto" w:fill="FFFFFF"/>
            <w:vAlign w:val="top"/>
          </w:tcPr>
          <w:p>
            <w:pPr>
              <w:spacing w:before="40" w:after="40"/>
            </w:pPr>
            <w:r>
              <w:rPr>
                <w:rFonts w:ascii="Times New Roman" w:hAnsi="Times New Roman"/>
                <w:sz w:val="16"/>
              </w:rPr>
              <w:t>Cl. 5.1</w:t>
            </w:r>
          </w:p>
        </w:tc>
        <w:tc>
          <w:tcPr>
            <w:tcW w:type="dxa" w:w="3118"/>
            <w:shd w:val="clear" w:color="auto" w:fill="FFFFFF"/>
            <w:vAlign w:val="top"/>
          </w:tcPr>
          <w:p>
            <w:pPr>
              <w:spacing w:before="40" w:after="40"/>
            </w:pPr>
            <w:r>
              <w:rPr>
                <w:rFonts w:ascii="Nirmala UI" w:hAnsi="Nirmala UI" w:eastAsia="Nirmala UI"/>
                <w:sz w:val="16"/>
              </w:rPr>
              <w:t>27±2°C तापमान नियंत्रण अनिवार्य</w:t>
            </w:r>
          </w:p>
        </w:tc>
        <w:tc>
          <w:tcPr>
            <w:tcW w:type="dxa" w:w="1531"/>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O</w:t>
            </w:r>
          </w:p>
        </w:tc>
        <w:tc>
          <w:tcPr>
            <w:tcW w:type="dxa" w:w="1417"/>
            <w:shd w:val="clear" w:color="auto" w:fill="F5F7FF"/>
            <w:vAlign w:val="top"/>
          </w:tcPr>
          <w:p>
            <w:pPr>
              <w:spacing w:before="40" w:after="40"/>
            </w:pPr>
            <w:r>
              <w:rPr>
                <w:rFonts w:ascii="Times New Roman" w:hAnsi="Times New Roman"/>
                <w:sz w:val="16"/>
              </w:rPr>
              <w:t>IS 2250:1981</w:t>
            </w:r>
          </w:p>
        </w:tc>
        <w:tc>
          <w:tcPr>
            <w:tcW w:type="dxa" w:w="1417"/>
            <w:shd w:val="clear" w:color="auto" w:fill="F5F7FF"/>
            <w:vAlign w:val="top"/>
          </w:tcPr>
          <w:p>
            <w:pPr>
              <w:spacing w:before="40" w:after="40"/>
            </w:pPr>
            <w:r>
              <w:rPr>
                <w:rFonts w:ascii="Times New Roman" w:hAnsi="Times New Roman"/>
                <w:sz w:val="16"/>
              </w:rPr>
              <w:t>Cl. 5.2</w:t>
            </w:r>
          </w:p>
        </w:tc>
        <w:tc>
          <w:tcPr>
            <w:tcW w:type="dxa" w:w="3118"/>
            <w:shd w:val="clear" w:color="auto" w:fill="F5F7FF"/>
            <w:vAlign w:val="top"/>
          </w:tcPr>
          <w:p>
            <w:pPr>
              <w:spacing w:before="40" w:after="40"/>
            </w:pPr>
            <w:r>
              <w:rPr>
                <w:rFonts w:ascii="Nirmala UI" w:hAnsi="Nirmala UI" w:eastAsia="Nirmala UI"/>
                <w:sz w:val="16"/>
              </w:rPr>
              <w:t>मौसम सुरक्षा — वर्षा में नमूना दूषित</w:t>
            </w:r>
          </w:p>
        </w:tc>
        <w:tc>
          <w:tcPr>
            <w:tcW w:type="dxa" w:w="1531"/>
            <w:shd w:val="clear" w:color="auto" w:fill="F5F7FF"/>
            <w:vAlign w:val="top"/>
          </w:tcPr>
          <w:p>
            <w:pPr>
              <w:spacing w:before="40" w:after="40"/>
            </w:pPr>
            <w:r>
              <w:rPr>
                <w:rFonts w:ascii="Nirmala UI" w:hAnsi="Nirmala UI" w:eastAsia="Nirmala UI"/>
                <w:b/>
                <w:color w:val="188038"/>
                <w:sz w:val="16"/>
              </w:rPr>
              <w:t>VERIFIED ✓</w:t>
            </w:r>
          </w:p>
        </w:tc>
      </w:tr>
      <w:tr>
        <w:tc>
          <w:tcPr>
            <w:tcW w:type="dxa" w:w="737"/>
            <w:shd w:val="clear" w:color="auto" w:fill="FFFFFF"/>
            <w:vAlign w:val="top"/>
          </w:tcPr>
          <w:p>
            <w:pPr>
              <w:spacing w:before="40" w:after="40"/>
            </w:pPr>
            <w:r>
              <w:rPr>
                <w:rFonts w:ascii="Nirmala UI" w:hAnsi="Nirmala UI" w:eastAsia="Nirmala UI"/>
                <w:sz w:val="16"/>
              </w:rPr>
              <w:t>V</w:t>
            </w:r>
          </w:p>
        </w:tc>
        <w:tc>
          <w:tcPr>
            <w:tcW w:type="dxa" w:w="1417"/>
            <w:shd w:val="clear" w:color="auto" w:fill="FFFFFF"/>
            <w:vAlign w:val="top"/>
          </w:tcPr>
          <w:p>
            <w:pPr>
              <w:spacing w:before="40" w:after="40"/>
            </w:pPr>
            <w:r>
              <w:rPr>
                <w:rFonts w:ascii="Times New Roman" w:hAnsi="Times New Roman"/>
                <w:sz w:val="16"/>
              </w:rPr>
              <w:t>IS 13311 (Pts 1-2)</w:t>
            </w:r>
          </w:p>
        </w:tc>
        <w:tc>
          <w:tcPr>
            <w:tcW w:type="dxa" w:w="1417"/>
            <w:shd w:val="clear" w:color="auto" w:fill="FFFFFF"/>
            <w:vAlign w:val="top"/>
          </w:tcPr>
          <w:p>
            <w:pPr>
              <w:spacing w:before="40" w:after="40"/>
            </w:pPr>
            <w:r>
              <w:rPr>
                <w:rFonts w:ascii="Times New Roman" w:hAnsi="Times New Roman"/>
                <w:sz w:val="16"/>
              </w:rPr>
              <w:t>UPV + Rebound</w:t>
            </w:r>
          </w:p>
        </w:tc>
        <w:tc>
          <w:tcPr>
            <w:tcW w:type="dxa" w:w="3118"/>
            <w:shd w:val="clear" w:color="auto" w:fill="FFFFFF"/>
            <w:vAlign w:val="top"/>
          </w:tcPr>
          <w:p>
            <w:pPr>
              <w:spacing w:before="40" w:after="40"/>
            </w:pPr>
            <w:r>
              <w:rPr>
                <w:rFonts w:ascii="Nirmala UI" w:hAnsi="Nirmala UI" w:eastAsia="Nirmala UI"/>
                <w:sz w:val="16"/>
              </w:rPr>
              <w:t>NDT परीक्षण — विद्यमान संरचना की सही विधि</w:t>
            </w:r>
          </w:p>
        </w:tc>
        <w:tc>
          <w:tcPr>
            <w:tcW w:type="dxa" w:w="1531"/>
            <w:shd w:val="clear" w:color="auto" w:fill="FFFFFF"/>
            <w:vAlign w:val="top"/>
          </w:tcPr>
          <w:p>
            <w:pPr>
              <w:spacing w:before="40" w:after="40"/>
            </w:pPr>
            <w:r>
              <w:rPr>
                <w:rFonts w:ascii="Nirmala UI" w:hAnsi="Nirmala UI" w:eastAsia="Nirmala UI"/>
                <w:b/>
                <w:color w:val="188038"/>
                <w:sz w:val="16"/>
              </w:rPr>
              <w:t>VERIFIED ✓</w:t>
            </w:r>
          </w:p>
        </w:tc>
      </w:tr>
      <w:tr>
        <w:tc>
          <w:tcPr>
            <w:tcW w:type="dxa" w:w="737"/>
            <w:shd w:val="clear" w:color="auto" w:fill="F5F7FF"/>
            <w:vAlign w:val="top"/>
          </w:tcPr>
          <w:p>
            <w:pPr>
              <w:spacing w:before="40" w:after="40"/>
            </w:pPr>
            <w:r>
              <w:rPr>
                <w:rFonts w:ascii="Nirmala UI" w:hAnsi="Nirmala UI" w:eastAsia="Nirmala UI"/>
                <w:sz w:val="16"/>
              </w:rPr>
              <w:t>L</w:t>
            </w:r>
          </w:p>
        </w:tc>
        <w:tc>
          <w:tcPr>
            <w:tcW w:type="dxa" w:w="1417"/>
            <w:shd w:val="clear" w:color="auto" w:fill="F5F7FF"/>
            <w:vAlign w:val="top"/>
          </w:tcPr>
          <w:p>
            <w:pPr>
              <w:spacing w:before="40" w:after="40"/>
            </w:pPr>
            <w:r>
              <w:rPr>
                <w:rFonts w:ascii="Times New Roman" w:hAnsi="Times New Roman"/>
                <w:sz w:val="16"/>
              </w:rPr>
              <w:t>CPWD Manual</w:t>
            </w:r>
          </w:p>
        </w:tc>
        <w:tc>
          <w:tcPr>
            <w:tcW w:type="dxa" w:w="1417"/>
            <w:shd w:val="clear" w:color="auto" w:fill="F5F7FF"/>
            <w:vAlign w:val="top"/>
          </w:tcPr>
          <w:p>
            <w:pPr>
              <w:spacing w:before="40" w:after="40"/>
            </w:pPr>
            <w:r>
              <w:rPr>
                <w:rFonts w:ascii="Times New Roman" w:hAnsi="Times New Roman"/>
                <w:sz w:val="16"/>
              </w:rPr>
              <w:t>§§3.7.4, 12.2.1</w:t>
            </w:r>
          </w:p>
        </w:tc>
        <w:tc>
          <w:tcPr>
            <w:tcW w:type="dxa" w:w="3118"/>
            <w:shd w:val="clear" w:color="auto" w:fill="F5F7FF"/>
            <w:vAlign w:val="top"/>
          </w:tcPr>
          <w:p>
            <w:pPr>
              <w:spacing w:before="40" w:after="40"/>
            </w:pPr>
            <w:r>
              <w:rPr>
                <w:rFonts w:ascii="Nirmala UI" w:hAnsi="Nirmala UI" w:eastAsia="Nirmala UI"/>
                <w:sz w:val="16"/>
              </w:rPr>
              <w:t>ठेकेदार को पूर्व सूचना एवं उपस्थिति</w:t>
            </w:r>
          </w:p>
        </w:tc>
        <w:tc>
          <w:tcPr>
            <w:tcW w:type="dxa" w:w="1531"/>
            <w:shd w:val="clear" w:color="auto" w:fill="F5F7FF"/>
            <w:vAlign w:val="top"/>
          </w:tcPr>
          <w:p>
            <w:pPr>
              <w:spacing w:before="40" w:after="40"/>
            </w:pPr>
            <w:r>
              <w:rPr>
                <w:rFonts w:ascii="Nirmala UI" w:hAnsi="Nirmala UI" w:eastAsia="Nirmala UI"/>
                <w:color w:val="E67100"/>
                <w:sz w:val="16"/>
              </w:rPr>
              <w:t>SECONDARY ⚠</w:t>
            </w:r>
          </w:p>
        </w:tc>
      </w:tr>
      <w:tr>
        <w:tc>
          <w:tcPr>
            <w:tcW w:type="dxa" w:w="737"/>
            <w:shd w:val="clear" w:color="auto" w:fill="FFFFFF"/>
            <w:vAlign w:val="top"/>
          </w:tcPr>
          <w:p>
            <w:pPr>
              <w:spacing w:before="40" w:after="40"/>
            </w:pPr>
            <w:r>
              <w:rPr>
                <w:rFonts w:ascii="Nirmala UI" w:hAnsi="Nirmala UI" w:eastAsia="Nirmala UI"/>
                <w:sz w:val="16"/>
              </w:rPr>
              <w:t>—</w:t>
            </w:r>
          </w:p>
        </w:tc>
        <w:tc>
          <w:tcPr>
            <w:tcW w:type="dxa" w:w="1417"/>
            <w:shd w:val="clear" w:color="auto" w:fill="FFFFFF"/>
            <w:vAlign w:val="top"/>
          </w:tcPr>
          <w:p>
            <w:pPr>
              <w:spacing w:before="40" w:after="40"/>
            </w:pPr>
            <w:r>
              <w:rPr>
                <w:rFonts w:ascii="Times New Roman" w:hAnsi="Times New Roman"/>
                <w:sz w:val="16"/>
              </w:rPr>
              <w:t>NBC 2016</w:t>
            </w:r>
          </w:p>
        </w:tc>
        <w:tc>
          <w:tcPr>
            <w:tcW w:type="dxa" w:w="1417"/>
            <w:shd w:val="clear" w:color="auto" w:fill="FFFFFF"/>
            <w:vAlign w:val="top"/>
          </w:tcPr>
          <w:p>
            <w:pPr>
              <w:spacing w:before="40" w:after="40"/>
            </w:pPr>
            <w:r>
              <w:rPr>
                <w:rFonts w:ascii="Times New Roman" w:hAnsi="Times New Roman"/>
                <w:sz w:val="16"/>
              </w:rPr>
              <w:t>§3.4</w:t>
            </w:r>
          </w:p>
        </w:tc>
        <w:tc>
          <w:tcPr>
            <w:tcW w:type="dxa" w:w="3118"/>
            <w:shd w:val="clear" w:color="auto" w:fill="FFFFFF"/>
            <w:vAlign w:val="top"/>
          </w:tcPr>
          <w:p>
            <w:pPr>
              <w:spacing w:before="40" w:after="40"/>
            </w:pPr>
            <w:r>
              <w:rPr>
                <w:rFonts w:ascii="Nirmala UI" w:hAnsi="Nirmala UI" w:eastAsia="Nirmala UI"/>
                <w:sz w:val="16"/>
              </w:rPr>
              <w:t>Force Majeure — अत्यधिक वर्षा</w:t>
            </w:r>
          </w:p>
        </w:tc>
        <w:tc>
          <w:tcPr>
            <w:tcW w:type="dxa" w:w="1531"/>
            <w:shd w:val="clear" w:color="auto" w:fill="FFFFFF"/>
            <w:vAlign w:val="top"/>
          </w:tcPr>
          <w:p>
            <w:pPr>
              <w:spacing w:before="40" w:after="40"/>
            </w:pPr>
            <w:r>
              <w:rPr>
                <w:rFonts w:ascii="Nirmala UI" w:hAnsi="Nirmala UI" w:eastAsia="Nirmala UI"/>
                <w:color w:val="E67100"/>
                <w:sz w:val="16"/>
              </w:rPr>
              <w:t>SECONDARY ⚠</w:t>
            </w:r>
          </w:p>
        </w:tc>
      </w:tr>
      <w:tr>
        <w:tc>
          <w:tcPr>
            <w:tcW w:type="dxa" w:w="737"/>
            <w:shd w:val="clear" w:color="auto" w:fill="F5F7FF"/>
            <w:vAlign w:val="top"/>
          </w:tcPr>
          <w:p>
            <w:pPr>
              <w:spacing w:before="40" w:after="40"/>
            </w:pPr>
            <w:r>
              <w:rPr>
                <w:rFonts w:ascii="Nirmala UI" w:hAnsi="Nirmala UI" w:eastAsia="Nirmala UI"/>
                <w:sz w:val="16"/>
              </w:rPr>
              <w:t>—</w:t>
            </w:r>
          </w:p>
        </w:tc>
        <w:tc>
          <w:tcPr>
            <w:tcW w:type="dxa" w:w="1417"/>
            <w:shd w:val="clear" w:color="auto" w:fill="F5F7FF"/>
            <w:vAlign w:val="top"/>
          </w:tcPr>
          <w:p>
            <w:pPr>
              <w:spacing w:before="40" w:after="40"/>
            </w:pPr>
            <w:r>
              <w:rPr>
                <w:rFonts w:ascii="Times New Roman" w:hAnsi="Times New Roman"/>
                <w:sz w:val="16"/>
              </w:rPr>
              <w:t>ASTM C780</w:t>
            </w:r>
          </w:p>
        </w:tc>
        <w:tc>
          <w:tcPr>
            <w:tcW w:type="dxa" w:w="1417"/>
            <w:shd w:val="clear" w:color="auto" w:fill="F5F7FF"/>
            <w:vAlign w:val="top"/>
          </w:tcPr>
          <w:p>
            <w:pPr>
              <w:spacing w:before="40" w:after="40"/>
            </w:pPr>
            <w:r>
              <w:rPr>
                <w:rFonts w:ascii="Times New Roman" w:hAnsi="Times New Roman"/>
                <w:sz w:val="16"/>
              </w:rPr>
              <w:t>Field Mortar §5</w:t>
            </w:r>
          </w:p>
        </w:tc>
        <w:tc>
          <w:tcPr>
            <w:tcW w:type="dxa" w:w="3118"/>
            <w:shd w:val="clear" w:color="auto" w:fill="F5F7FF"/>
            <w:vAlign w:val="top"/>
          </w:tcPr>
          <w:p>
            <w:pPr>
              <w:spacing w:before="40" w:after="40"/>
            </w:pPr>
            <w:r>
              <w:rPr>
                <w:rFonts w:ascii="Nirmala UI" w:hAnsi="Nirmala UI" w:eastAsia="Nirmala UI"/>
                <w:sz w:val="16"/>
              </w:rPr>
              <w:t>Field weather distorts mortar test reliability</w:t>
            </w:r>
          </w:p>
        </w:tc>
        <w:tc>
          <w:tcPr>
            <w:tcW w:type="dxa" w:w="1531"/>
            <w:shd w:val="clear" w:color="auto" w:fill="F5F7FF"/>
            <w:vAlign w:val="top"/>
          </w:tcPr>
          <w:p>
            <w:pPr>
              <w:spacing w:before="40" w:after="40"/>
            </w:pPr>
            <w:r>
              <w:rPr>
                <w:rFonts w:ascii="Nirmala UI" w:hAnsi="Nirmala UI" w:eastAsia="Nirmala UI"/>
                <w:color w:val="E67100"/>
                <w:sz w:val="16"/>
              </w:rPr>
              <w:t>SECONDARY ⚠</w:t>
            </w:r>
          </w:p>
        </w:tc>
      </w:tr>
    </w:tbl>
    <w:p/>
    <w:p>
      <w:pPr>
        <w:spacing w:before="280" w:after="80"/>
      </w:pPr>
      <w:r>
        <w:rPr>
          <w:rFonts w:ascii="Nirmala UI" w:hAnsi="Nirmala UI" w:eastAsia="Nirmala UI"/>
          <w:b/>
          <w:i w:val="0"/>
          <w:color w:val="1A234E"/>
          <w:sz w:val="28"/>
        </w:rPr>
        <w:t>अनुलग्नक सूची (Annexure A – X)</w:t>
      </w:r>
    </w:p>
    <w:tbl>
      <w:tblPr>
        <w:tblStyle w:val="TableGrid"/>
        <w:tblW w:type="auto" w:w="0"/>
        <w:jc w:val="left"/>
        <w:tblLook w:firstColumn="1" w:firstRow="1" w:lastColumn="0" w:lastRow="0" w:noHBand="0" w:noVBand="1" w:val="04A0"/>
      </w:tblPr>
      <w:tblGrid>
        <w:gridCol w:w="3041"/>
        <w:gridCol w:w="3041"/>
        <w:gridCol w:w="3041"/>
      </w:tblGrid>
      <w:tr>
        <w:tc>
          <w:tcPr>
            <w:tcW w:type="dxa" w:w="737"/>
            <w:shd w:val="clear" w:color="auto" w:fill="1A234E"/>
          </w:tcPr>
          <w:p>
            <w:pPr>
              <w:jc w:val="center"/>
            </w:pPr>
            <w:r>
              <w:rPr>
                <w:rFonts w:ascii="Nirmala UI" w:hAnsi="Nirmala UI" w:eastAsia="Nirmala UI"/>
                <w:b/>
                <w:color w:val="FFFFFF"/>
                <w:sz w:val="18"/>
              </w:rPr>
              <w:t>अनुलग्नक</w:t>
            </w:r>
          </w:p>
        </w:tc>
        <w:tc>
          <w:tcPr>
            <w:tcW w:type="dxa" w:w="4082"/>
            <w:shd w:val="clear" w:color="auto" w:fill="1A234E"/>
          </w:tcPr>
          <w:p>
            <w:pPr>
              <w:jc w:val="center"/>
            </w:pPr>
            <w:r>
              <w:rPr>
                <w:rFonts w:ascii="Nirmala UI" w:hAnsi="Nirmala UI" w:eastAsia="Nirmala UI"/>
                <w:b/>
                <w:color w:val="FFFFFF"/>
                <w:sz w:val="18"/>
              </w:rPr>
              <w:t>फाइल नाम (PDF)</w:t>
            </w:r>
          </w:p>
        </w:tc>
        <w:tc>
          <w:tcPr>
            <w:tcW w:type="dxa" w:w="3969"/>
            <w:shd w:val="clear" w:color="auto" w:fill="1A234E"/>
          </w:tcPr>
          <w:p>
            <w:pPr>
              <w:jc w:val="center"/>
            </w:pPr>
            <w:r>
              <w:rPr>
                <w:rFonts w:ascii="Nirmala UI" w:hAnsi="Nirmala UI" w:eastAsia="Nirmala UI"/>
                <w:b/>
                <w:color w:val="FFFFFF"/>
                <w:sz w:val="18"/>
              </w:rPr>
              <w:t>हिन्दी विवरण</w:t>
            </w:r>
          </w:p>
        </w:tc>
      </w:tr>
      <w:tr>
        <w:tc>
          <w:tcPr>
            <w:tcW w:type="dxa" w:w="737"/>
            <w:shd w:val="clear" w:color="auto" w:fill="F5F7FF"/>
            <w:vAlign w:val="top"/>
          </w:tcPr>
          <w:p>
            <w:pPr>
              <w:spacing w:before="40" w:after="40"/>
            </w:pPr>
            <w:r>
              <w:rPr>
                <w:rFonts w:ascii="Nirmala UI" w:hAnsi="Nirmala UI" w:eastAsia="Nirmala UI"/>
                <w:sz w:val="16"/>
              </w:rPr>
              <w:t>A</w:t>
            </w:r>
          </w:p>
        </w:tc>
        <w:tc>
          <w:tcPr>
            <w:tcW w:type="dxa" w:w="4082"/>
            <w:shd w:val="clear" w:color="auto" w:fill="F5F7FF"/>
            <w:vAlign w:val="top"/>
          </w:tcPr>
          <w:p>
            <w:pPr>
              <w:spacing w:before="40" w:after="40"/>
            </w:pPr>
            <w:r>
              <w:rPr>
                <w:rFonts w:ascii="Times New Roman" w:hAnsi="Times New Roman"/>
                <w:sz w:val="16"/>
              </w:rPr>
              <w:t>IS_1199_2018_Scope_Cl1_Fresh_Concrete_Only.pdf</w:t>
            </w:r>
          </w:p>
        </w:tc>
        <w:tc>
          <w:tcPr>
            <w:tcW w:type="dxa" w:w="3969"/>
            <w:shd w:val="clear" w:color="auto" w:fill="F5F7FF"/>
            <w:vAlign w:val="top"/>
          </w:tcPr>
          <w:p>
            <w:pPr>
              <w:spacing w:before="40" w:after="40"/>
            </w:pPr>
            <w:r>
              <w:rPr>
                <w:rFonts w:ascii="Nirmala UI" w:hAnsi="Nirmala UI" w:eastAsia="Nirmala UI"/>
                <w:sz w:val="16"/>
              </w:rPr>
              <w:t>IS 1199:2018 Scope Cl.1 — केवल ताजा कंक्रीट</w:t>
            </w:r>
          </w:p>
        </w:tc>
      </w:tr>
      <w:tr>
        <w:tc>
          <w:tcPr>
            <w:tcW w:type="dxa" w:w="737"/>
            <w:shd w:val="clear" w:color="auto" w:fill="FFFFFF"/>
            <w:vAlign w:val="top"/>
          </w:tcPr>
          <w:p>
            <w:pPr>
              <w:spacing w:before="40" w:after="40"/>
            </w:pPr>
            <w:r>
              <w:rPr>
                <w:rFonts w:ascii="Nirmala UI" w:hAnsi="Nirmala UI" w:eastAsia="Nirmala UI"/>
                <w:sz w:val="16"/>
              </w:rPr>
              <w:t>B</w:t>
            </w:r>
          </w:p>
        </w:tc>
        <w:tc>
          <w:tcPr>
            <w:tcW w:type="dxa" w:w="4082"/>
            <w:shd w:val="clear" w:color="auto" w:fill="FFFFFF"/>
            <w:vAlign w:val="top"/>
          </w:tcPr>
          <w:p>
            <w:pPr>
              <w:spacing w:before="40" w:after="40"/>
            </w:pPr>
            <w:r>
              <w:rPr>
                <w:rFonts w:ascii="Times New Roman" w:hAnsi="Times New Roman"/>
                <w:sz w:val="16"/>
              </w:rPr>
              <w:t>IS_2250_1981_Masonry_Mortar_Correct_Standard.pdf</w:t>
            </w:r>
          </w:p>
        </w:tc>
        <w:tc>
          <w:tcPr>
            <w:tcW w:type="dxa" w:w="3969"/>
            <w:shd w:val="clear" w:color="auto" w:fill="FFFFFF"/>
            <w:vAlign w:val="top"/>
          </w:tcPr>
          <w:p>
            <w:pPr>
              <w:spacing w:before="40" w:after="40"/>
            </w:pPr>
            <w:r>
              <w:rPr>
                <w:rFonts w:ascii="Nirmala UI" w:hAnsi="Nirmala UI" w:eastAsia="Nirmala UI"/>
                <w:sz w:val="16"/>
              </w:rPr>
              <w:t>IS 2250:1981 — चिनाई मोर्टार का सही मानक</w:t>
            </w:r>
          </w:p>
        </w:tc>
      </w:tr>
      <w:tr>
        <w:tc>
          <w:tcPr>
            <w:tcW w:type="dxa" w:w="737"/>
            <w:shd w:val="clear" w:color="auto" w:fill="F5F7FF"/>
            <w:vAlign w:val="top"/>
          </w:tcPr>
          <w:p>
            <w:pPr>
              <w:spacing w:before="40" w:after="40"/>
            </w:pPr>
            <w:r>
              <w:rPr>
                <w:rFonts w:ascii="Nirmala UI" w:hAnsi="Nirmala UI" w:eastAsia="Nirmala UI"/>
                <w:sz w:val="16"/>
              </w:rPr>
              <w:t>C</w:t>
            </w:r>
          </w:p>
        </w:tc>
        <w:tc>
          <w:tcPr>
            <w:tcW w:type="dxa" w:w="4082"/>
            <w:shd w:val="clear" w:color="auto" w:fill="F5F7FF"/>
            <w:vAlign w:val="top"/>
          </w:tcPr>
          <w:p>
            <w:pPr>
              <w:spacing w:before="40" w:after="40"/>
            </w:pPr>
            <w:r>
              <w:rPr>
                <w:rFonts w:ascii="Times New Roman" w:hAnsi="Times New Roman"/>
                <w:sz w:val="16"/>
              </w:rPr>
              <w:t>ASTM_C1324_Sec7_8_Carbonated_Layer_Removal.pdf</w:t>
            </w:r>
          </w:p>
        </w:tc>
        <w:tc>
          <w:tcPr>
            <w:tcW w:type="dxa" w:w="3969"/>
            <w:shd w:val="clear" w:color="auto" w:fill="F5F7FF"/>
            <w:vAlign w:val="top"/>
          </w:tcPr>
          <w:p>
            <w:pPr>
              <w:spacing w:before="40" w:after="40"/>
            </w:pPr>
            <w:r>
              <w:rPr>
                <w:rFonts w:ascii="Nirmala UI" w:hAnsi="Nirmala UI" w:eastAsia="Nirmala UI"/>
                <w:sz w:val="16"/>
              </w:rPr>
              <w:t>ASTM C1324 §§7-8 — Carbonated layer हटाना</w:t>
            </w:r>
          </w:p>
        </w:tc>
      </w:tr>
      <w:tr>
        <w:tc>
          <w:tcPr>
            <w:tcW w:type="dxa" w:w="737"/>
            <w:shd w:val="clear" w:color="auto" w:fill="FFFFFF"/>
            <w:vAlign w:val="top"/>
          </w:tcPr>
          <w:p>
            <w:pPr>
              <w:spacing w:before="40" w:after="40"/>
            </w:pPr>
            <w:r>
              <w:rPr>
                <w:rFonts w:ascii="Nirmala UI" w:hAnsi="Nirmala UI" w:eastAsia="Nirmala UI"/>
                <w:sz w:val="16"/>
              </w:rPr>
              <w:t>D</w:t>
            </w:r>
          </w:p>
        </w:tc>
        <w:tc>
          <w:tcPr>
            <w:tcW w:type="dxa" w:w="4082"/>
            <w:shd w:val="clear" w:color="auto" w:fill="FFFFFF"/>
            <w:vAlign w:val="top"/>
          </w:tcPr>
          <w:p>
            <w:pPr>
              <w:spacing w:before="40" w:after="40"/>
            </w:pPr>
            <w:r>
              <w:rPr>
                <w:rFonts w:ascii="Times New Roman" w:hAnsi="Times New Roman"/>
                <w:sz w:val="16"/>
              </w:rPr>
              <w:t>Tomaso_Bruno_2015_7_SCC_178_Para25_30_42_Expert_Evidence.pdf</w:t>
            </w:r>
          </w:p>
        </w:tc>
        <w:tc>
          <w:tcPr>
            <w:tcW w:type="dxa" w:w="3969"/>
            <w:shd w:val="clear" w:color="auto" w:fill="FFFFFF"/>
            <w:vAlign w:val="top"/>
          </w:tcPr>
          <w:p>
            <w:pPr>
              <w:spacing w:before="40" w:after="40"/>
            </w:pPr>
            <w:r>
              <w:rPr>
                <w:rFonts w:ascii="Nirmala UI" w:hAnsi="Nirmala UI" w:eastAsia="Nirmala UI"/>
                <w:sz w:val="16"/>
              </w:rPr>
              <w:t>Tomaso Bruno (2015) 7 SCC 178 — Paras 25–30 &amp; Para 42 cite करें — certified copy अनिवार्य</w:t>
            </w:r>
          </w:p>
        </w:tc>
      </w:tr>
      <w:tr>
        <w:tc>
          <w:tcPr>
            <w:tcW w:type="dxa" w:w="737"/>
            <w:shd w:val="clear" w:color="auto" w:fill="F5F7FF"/>
            <w:vAlign w:val="top"/>
          </w:tcPr>
          <w:p>
            <w:pPr>
              <w:spacing w:before="40" w:after="40"/>
            </w:pPr>
            <w:r>
              <w:rPr>
                <w:rFonts w:ascii="Nirmala UI" w:hAnsi="Nirmala UI" w:eastAsia="Nirmala UI"/>
                <w:sz w:val="16"/>
              </w:rPr>
              <w:t>E</w:t>
            </w:r>
          </w:p>
        </w:tc>
        <w:tc>
          <w:tcPr>
            <w:tcW w:type="dxa" w:w="4082"/>
            <w:shd w:val="clear" w:color="auto" w:fill="F5F7FF"/>
            <w:vAlign w:val="top"/>
          </w:tcPr>
          <w:p>
            <w:pPr>
              <w:spacing w:before="40" w:after="40"/>
            </w:pPr>
            <w:r>
              <w:rPr>
                <w:rFonts w:ascii="Times New Roman" w:hAnsi="Times New Roman"/>
                <w:sz w:val="16"/>
              </w:rPr>
              <w:t>Kattavellai_Devakar_2025_INSC_845_Chain_Custody.pdf</w:t>
            </w:r>
          </w:p>
        </w:tc>
        <w:tc>
          <w:tcPr>
            <w:tcW w:type="dxa" w:w="3969"/>
            <w:shd w:val="clear" w:color="auto" w:fill="F5F7FF"/>
            <w:vAlign w:val="top"/>
          </w:tcPr>
          <w:p>
            <w:pPr>
              <w:spacing w:before="40" w:after="40"/>
            </w:pPr>
            <w:r>
              <w:rPr>
                <w:rFonts w:ascii="Nirmala UI" w:hAnsi="Nirmala UI" w:eastAsia="Nirmala UI"/>
                <w:sz w:val="16"/>
              </w:rPr>
              <w:t>Kattavellai @ Devakar 2025 INSC 845</w:t>
            </w:r>
          </w:p>
        </w:tc>
      </w:tr>
      <w:tr>
        <w:tc>
          <w:tcPr>
            <w:tcW w:type="dxa" w:w="737"/>
            <w:shd w:val="clear" w:color="auto" w:fill="FFFFFF"/>
            <w:vAlign w:val="top"/>
          </w:tcPr>
          <w:p>
            <w:pPr>
              <w:spacing w:before="40" w:after="40"/>
            </w:pPr>
            <w:r>
              <w:rPr>
                <w:rFonts w:ascii="Nirmala UI" w:hAnsi="Nirmala UI" w:eastAsia="Nirmala UI"/>
                <w:sz w:val="16"/>
              </w:rPr>
              <w:t>F</w:t>
            </w:r>
          </w:p>
        </w:tc>
        <w:tc>
          <w:tcPr>
            <w:tcW w:type="dxa" w:w="4082"/>
            <w:shd w:val="clear" w:color="auto" w:fill="FFFFFF"/>
            <w:vAlign w:val="top"/>
          </w:tcPr>
          <w:p>
            <w:pPr>
              <w:spacing w:before="40" w:after="40"/>
            </w:pPr>
            <w:r>
              <w:rPr>
                <w:rFonts w:ascii="Times New Roman" w:hAnsi="Times New Roman"/>
                <w:sz w:val="16"/>
              </w:rPr>
              <w:t>State_Maharashtra_v_Damu_2000_6_SCC_269.pdf</w:t>
            </w:r>
          </w:p>
        </w:tc>
        <w:tc>
          <w:tcPr>
            <w:tcW w:type="dxa" w:w="3969"/>
            <w:shd w:val="clear" w:color="auto" w:fill="FFFFFF"/>
            <w:vAlign w:val="top"/>
          </w:tcPr>
          <w:p>
            <w:pPr>
              <w:spacing w:before="40" w:after="40"/>
            </w:pPr>
            <w:r>
              <w:rPr>
                <w:rFonts w:ascii="Nirmala UI" w:hAnsi="Nirmala UI" w:eastAsia="Nirmala UI"/>
                <w:sz w:val="16"/>
              </w:rPr>
              <w:t>State of Maharashtra v. Damu (2000) 6 SCC 269</w:t>
            </w:r>
          </w:p>
        </w:tc>
      </w:tr>
      <w:tr>
        <w:tc>
          <w:tcPr>
            <w:tcW w:type="dxa" w:w="737"/>
            <w:shd w:val="clear" w:color="auto" w:fill="F5F7FF"/>
            <w:vAlign w:val="top"/>
          </w:tcPr>
          <w:p>
            <w:pPr>
              <w:spacing w:before="40" w:after="40"/>
            </w:pPr>
            <w:r>
              <w:rPr>
                <w:rFonts w:ascii="Nirmala UI" w:hAnsi="Nirmala UI" w:eastAsia="Nirmala UI"/>
                <w:sz w:val="16"/>
              </w:rPr>
              <w:t>G</w:t>
            </w:r>
          </w:p>
        </w:tc>
        <w:tc>
          <w:tcPr>
            <w:tcW w:type="dxa" w:w="4082"/>
            <w:shd w:val="clear" w:color="auto" w:fill="F5F7FF"/>
            <w:vAlign w:val="top"/>
          </w:tcPr>
          <w:p>
            <w:pPr>
              <w:spacing w:before="40" w:after="40"/>
            </w:pPr>
            <w:r>
              <w:rPr>
                <w:rFonts w:ascii="Times New Roman" w:hAnsi="Times New Roman"/>
                <w:sz w:val="16"/>
              </w:rPr>
              <w:t>Surendra_Koli_v_State_UP_SC_Nov2025.pdf</w:t>
            </w:r>
          </w:p>
        </w:tc>
        <w:tc>
          <w:tcPr>
            <w:tcW w:type="dxa" w:w="3969"/>
            <w:shd w:val="clear" w:color="auto" w:fill="F5F7FF"/>
            <w:vAlign w:val="top"/>
          </w:tcPr>
          <w:p>
            <w:pPr>
              <w:spacing w:before="40" w:after="40"/>
            </w:pPr>
            <w:r>
              <w:rPr>
                <w:rFonts w:ascii="Nirmala UI" w:hAnsi="Nirmala UI" w:eastAsia="Nirmala UI"/>
                <w:sz w:val="16"/>
              </w:rPr>
              <w:t>Surendra Koli v. State of UP — SC Nov 2025</w:t>
            </w:r>
          </w:p>
        </w:tc>
      </w:tr>
      <w:tr>
        <w:tc>
          <w:tcPr>
            <w:tcW w:type="dxa" w:w="737"/>
            <w:shd w:val="clear" w:color="auto" w:fill="FFFFFF"/>
            <w:vAlign w:val="top"/>
          </w:tcPr>
          <w:p>
            <w:pPr>
              <w:spacing w:before="40" w:after="40"/>
            </w:pPr>
            <w:r>
              <w:rPr>
                <w:rFonts w:ascii="Nirmala UI" w:hAnsi="Nirmala UI" w:eastAsia="Nirmala UI"/>
                <w:sz w:val="16"/>
              </w:rPr>
              <w:t>H</w:t>
            </w:r>
          </w:p>
        </w:tc>
        <w:tc>
          <w:tcPr>
            <w:tcW w:type="dxa" w:w="4082"/>
            <w:shd w:val="clear" w:color="auto" w:fill="FFFFFF"/>
            <w:vAlign w:val="top"/>
          </w:tcPr>
          <w:p>
            <w:pPr>
              <w:spacing w:before="40" w:after="40"/>
            </w:pPr>
            <w:r>
              <w:rPr>
                <w:rFonts w:ascii="Times New Roman" w:hAnsi="Times New Roman"/>
                <w:sz w:val="16"/>
              </w:rPr>
              <w:t>Uttarakhand_HC_March2026_Chain_Custody.pdf</w:t>
            </w:r>
          </w:p>
        </w:tc>
        <w:tc>
          <w:tcPr>
            <w:tcW w:type="dxa" w:w="3969"/>
            <w:shd w:val="clear" w:color="auto" w:fill="FFFFFF"/>
            <w:vAlign w:val="top"/>
          </w:tcPr>
          <w:p>
            <w:pPr>
              <w:spacing w:before="40" w:after="40"/>
            </w:pPr>
            <w:r>
              <w:rPr>
                <w:rFonts w:ascii="Nirmala UI" w:hAnsi="Nirmala UI" w:eastAsia="Nirmala UI"/>
                <w:sz w:val="16"/>
              </w:rPr>
              <w:t>Uttarakhand HC March 2026 — Chain of Custody</w:t>
            </w:r>
          </w:p>
        </w:tc>
      </w:tr>
      <w:tr>
        <w:tc>
          <w:tcPr>
            <w:tcW w:type="dxa" w:w="737"/>
            <w:shd w:val="clear" w:color="auto" w:fill="F5F7FF"/>
            <w:vAlign w:val="top"/>
          </w:tcPr>
          <w:p>
            <w:pPr>
              <w:spacing w:before="40" w:after="40"/>
            </w:pPr>
            <w:r>
              <w:rPr>
                <w:rFonts w:ascii="Nirmala UI" w:hAnsi="Nirmala UI" w:eastAsia="Nirmala UI"/>
                <w:sz w:val="16"/>
              </w:rPr>
              <w:t>I</w:t>
            </w:r>
          </w:p>
        </w:tc>
        <w:tc>
          <w:tcPr>
            <w:tcW w:type="dxa" w:w="4082"/>
            <w:shd w:val="clear" w:color="auto" w:fill="F5F7FF"/>
            <w:vAlign w:val="top"/>
          </w:tcPr>
          <w:p>
            <w:pPr>
              <w:spacing w:before="40" w:after="40"/>
            </w:pPr>
            <w:r>
              <w:rPr>
                <w:rFonts w:ascii="Times New Roman" w:hAnsi="Times New Roman"/>
                <w:sz w:val="16"/>
              </w:rPr>
              <w:t>IS_3535_1986_Cl4_1_Contractor_Representative.pdf</w:t>
            </w:r>
          </w:p>
        </w:tc>
        <w:tc>
          <w:tcPr>
            <w:tcW w:type="dxa" w:w="3969"/>
            <w:shd w:val="clear" w:color="auto" w:fill="F5F7FF"/>
            <w:vAlign w:val="top"/>
          </w:tcPr>
          <w:p>
            <w:pPr>
              <w:spacing w:before="40" w:after="40"/>
            </w:pPr>
            <w:r>
              <w:rPr>
                <w:rFonts w:ascii="Nirmala UI" w:hAnsi="Nirmala UI" w:eastAsia="Nirmala UI"/>
                <w:sz w:val="16"/>
              </w:rPr>
              <w:t>IS 3535:1986 Cl. 4.1 — ठेकेदार प्रतिनिधि</w:t>
            </w:r>
          </w:p>
        </w:tc>
      </w:tr>
      <w:tr>
        <w:tc>
          <w:tcPr>
            <w:tcW w:type="dxa" w:w="737"/>
            <w:shd w:val="clear" w:color="auto" w:fill="FFFFFF"/>
            <w:vAlign w:val="top"/>
          </w:tcPr>
          <w:p>
            <w:pPr>
              <w:spacing w:before="40" w:after="40"/>
            </w:pPr>
            <w:r>
              <w:rPr>
                <w:rFonts w:ascii="Nirmala UI" w:hAnsi="Nirmala UI" w:eastAsia="Nirmala UI"/>
                <w:sz w:val="16"/>
              </w:rPr>
              <w:t>J</w:t>
            </w:r>
          </w:p>
        </w:tc>
        <w:tc>
          <w:tcPr>
            <w:tcW w:type="dxa" w:w="4082"/>
            <w:shd w:val="clear" w:color="auto" w:fill="FFFFFF"/>
            <w:vAlign w:val="top"/>
          </w:tcPr>
          <w:p>
            <w:pPr>
              <w:spacing w:before="40" w:after="40"/>
            </w:pPr>
            <w:r>
              <w:rPr>
                <w:rFonts w:ascii="Times New Roman" w:hAnsi="Times New Roman"/>
                <w:sz w:val="16"/>
              </w:rPr>
              <w:t>IS_3535_1986_Cl5_7_5_Three_Way_Split.pdf</w:t>
            </w:r>
          </w:p>
        </w:tc>
        <w:tc>
          <w:tcPr>
            <w:tcW w:type="dxa" w:w="3969"/>
            <w:shd w:val="clear" w:color="auto" w:fill="FFFFFF"/>
            <w:vAlign w:val="top"/>
          </w:tcPr>
          <w:p>
            <w:pPr>
              <w:spacing w:before="40" w:after="40"/>
            </w:pPr>
            <w:r>
              <w:rPr>
                <w:rFonts w:ascii="Nirmala UI" w:hAnsi="Nirmala UI" w:eastAsia="Nirmala UI"/>
                <w:sz w:val="16"/>
              </w:rPr>
              <w:t>IS 3535:1986 Cl. 5.7.5 — Three-Way Split</w:t>
            </w:r>
          </w:p>
        </w:tc>
      </w:tr>
      <w:tr>
        <w:tc>
          <w:tcPr>
            <w:tcW w:type="dxa" w:w="737"/>
            <w:shd w:val="clear" w:color="auto" w:fill="F5F7FF"/>
            <w:vAlign w:val="top"/>
          </w:tcPr>
          <w:p>
            <w:pPr>
              <w:spacing w:before="40" w:after="40"/>
            </w:pPr>
            <w:r>
              <w:rPr>
                <w:rFonts w:ascii="Nirmala UI" w:hAnsi="Nirmala UI" w:eastAsia="Nirmala UI"/>
                <w:sz w:val="16"/>
              </w:rPr>
              <w:t>K</w:t>
            </w:r>
          </w:p>
        </w:tc>
        <w:tc>
          <w:tcPr>
            <w:tcW w:type="dxa" w:w="4082"/>
            <w:shd w:val="clear" w:color="auto" w:fill="F5F7FF"/>
            <w:vAlign w:val="top"/>
          </w:tcPr>
          <w:p>
            <w:pPr>
              <w:spacing w:before="40" w:after="40"/>
            </w:pPr>
            <w:r>
              <w:rPr>
                <w:rFonts w:ascii="Times New Roman" w:hAnsi="Times New Roman"/>
                <w:sz w:val="16"/>
              </w:rPr>
              <w:t>State_Punjab_v_Baldev_Singh_1999_6_SCC_172.pdf</w:t>
            </w:r>
          </w:p>
        </w:tc>
        <w:tc>
          <w:tcPr>
            <w:tcW w:type="dxa" w:w="3969"/>
            <w:shd w:val="clear" w:color="auto" w:fill="F5F7FF"/>
            <w:vAlign w:val="top"/>
          </w:tcPr>
          <w:p>
            <w:pPr>
              <w:spacing w:before="40" w:after="40"/>
            </w:pPr>
            <w:r>
              <w:rPr>
                <w:rFonts w:ascii="Nirmala UI" w:hAnsi="Nirmala UI" w:eastAsia="Nirmala UI"/>
                <w:sz w:val="16"/>
              </w:rPr>
              <w:t>State of Punjab v. Baldev Singh (1999) 6 SCC 172</w:t>
            </w:r>
          </w:p>
        </w:tc>
      </w:tr>
      <w:tr>
        <w:tc>
          <w:tcPr>
            <w:tcW w:type="dxa" w:w="737"/>
            <w:shd w:val="clear" w:color="auto" w:fill="FFFFFF"/>
            <w:vAlign w:val="top"/>
          </w:tcPr>
          <w:p>
            <w:pPr>
              <w:spacing w:before="40" w:after="40"/>
            </w:pPr>
            <w:r>
              <w:rPr>
                <w:rFonts w:ascii="Nirmala UI" w:hAnsi="Nirmala UI" w:eastAsia="Nirmala UI"/>
                <w:sz w:val="16"/>
              </w:rPr>
              <w:t>L</w:t>
            </w:r>
          </w:p>
        </w:tc>
        <w:tc>
          <w:tcPr>
            <w:tcW w:type="dxa" w:w="4082"/>
            <w:shd w:val="clear" w:color="auto" w:fill="FFFFFF"/>
            <w:vAlign w:val="top"/>
          </w:tcPr>
          <w:p>
            <w:pPr>
              <w:spacing w:before="40" w:after="40"/>
            </w:pPr>
            <w:r>
              <w:rPr>
                <w:rFonts w:ascii="Times New Roman" w:hAnsi="Times New Roman"/>
                <w:sz w:val="16"/>
              </w:rPr>
              <w:t>CPWD_Manual_Sec3_7_4_12_2_1_Contractor_Presence.pdf</w:t>
            </w:r>
          </w:p>
        </w:tc>
        <w:tc>
          <w:tcPr>
            <w:tcW w:type="dxa" w:w="3969"/>
            <w:shd w:val="clear" w:color="auto" w:fill="FFFFFF"/>
            <w:vAlign w:val="top"/>
          </w:tcPr>
          <w:p>
            <w:pPr>
              <w:spacing w:before="40" w:after="40"/>
            </w:pPr>
            <w:r>
              <w:rPr>
                <w:rFonts w:ascii="Nirmala UI" w:hAnsi="Nirmala UI" w:eastAsia="Nirmala UI"/>
                <w:sz w:val="16"/>
              </w:rPr>
              <w:t>CPWD Manual §§3.7.4, 12.2.1</w:t>
            </w:r>
          </w:p>
        </w:tc>
      </w:tr>
      <w:tr>
        <w:tc>
          <w:tcPr>
            <w:tcW w:type="dxa" w:w="737"/>
            <w:shd w:val="clear" w:color="auto" w:fill="F5F7FF"/>
            <w:vAlign w:val="top"/>
          </w:tcPr>
          <w:p>
            <w:pPr>
              <w:spacing w:before="40" w:after="40"/>
            </w:pPr>
            <w:r>
              <w:rPr>
                <w:rFonts w:ascii="Nirmala UI" w:hAnsi="Nirmala UI" w:eastAsia="Nirmala UI"/>
                <w:sz w:val="16"/>
              </w:rPr>
              <w:t>M</w:t>
            </w:r>
          </w:p>
        </w:tc>
        <w:tc>
          <w:tcPr>
            <w:tcW w:type="dxa" w:w="4082"/>
            <w:shd w:val="clear" w:color="auto" w:fill="F5F7FF"/>
            <w:vAlign w:val="top"/>
          </w:tcPr>
          <w:p>
            <w:pPr>
              <w:spacing w:before="40" w:after="40"/>
            </w:pPr>
            <w:r>
              <w:rPr>
                <w:rFonts w:ascii="Times New Roman" w:hAnsi="Times New Roman"/>
                <w:sz w:val="16"/>
              </w:rPr>
              <w:t>IS_4031_Part6_Cl5_1_Temp_27C_Mandatory.pdf</w:t>
            </w:r>
          </w:p>
        </w:tc>
        <w:tc>
          <w:tcPr>
            <w:tcW w:type="dxa" w:w="3969"/>
            <w:shd w:val="clear" w:color="auto" w:fill="F5F7FF"/>
            <w:vAlign w:val="top"/>
          </w:tcPr>
          <w:p>
            <w:pPr>
              <w:spacing w:before="40" w:after="40"/>
            </w:pPr>
            <w:r>
              <w:rPr>
                <w:rFonts w:ascii="Nirmala UI" w:hAnsi="Nirmala UI" w:eastAsia="Nirmala UI"/>
                <w:sz w:val="16"/>
              </w:rPr>
              <w:t>IS 4031 Part 6 Cl. 5.1 — 27±2°C</w:t>
            </w:r>
          </w:p>
        </w:tc>
      </w:tr>
      <w:tr>
        <w:tc>
          <w:tcPr>
            <w:tcW w:type="dxa" w:w="737"/>
            <w:shd w:val="clear" w:color="auto" w:fill="FFFFFF"/>
            <w:vAlign w:val="top"/>
          </w:tcPr>
          <w:p>
            <w:pPr>
              <w:spacing w:before="40" w:after="40"/>
            </w:pPr>
            <w:r>
              <w:rPr>
                <w:rFonts w:ascii="Nirmala UI" w:hAnsi="Nirmala UI" w:eastAsia="Nirmala UI"/>
                <w:sz w:val="16"/>
              </w:rPr>
              <w:t>N</w:t>
            </w:r>
          </w:p>
        </w:tc>
        <w:tc>
          <w:tcPr>
            <w:tcW w:type="dxa" w:w="4082"/>
            <w:shd w:val="clear" w:color="auto" w:fill="FFFFFF"/>
            <w:vAlign w:val="top"/>
          </w:tcPr>
          <w:p>
            <w:pPr>
              <w:spacing w:before="40" w:after="40"/>
            </w:pPr>
            <w:r>
              <w:rPr>
                <w:rFonts w:ascii="Times New Roman" w:hAnsi="Times New Roman"/>
                <w:sz w:val="16"/>
              </w:rPr>
              <w:t>ASTM_C1324_Full_Hardened_Masonry_Mortar.pdf</w:t>
            </w:r>
          </w:p>
        </w:tc>
        <w:tc>
          <w:tcPr>
            <w:tcW w:type="dxa" w:w="3969"/>
            <w:shd w:val="clear" w:color="auto" w:fill="FFFFFF"/>
            <w:vAlign w:val="top"/>
          </w:tcPr>
          <w:p>
            <w:pPr>
              <w:spacing w:before="40" w:after="40"/>
            </w:pPr>
            <w:r>
              <w:rPr>
                <w:rFonts w:ascii="Nirmala UI" w:hAnsi="Nirmala UI" w:eastAsia="Nirmala UI"/>
                <w:sz w:val="16"/>
              </w:rPr>
              <w:t>ASTM C1324 — पूर्ण मानक</w:t>
            </w:r>
          </w:p>
        </w:tc>
      </w:tr>
      <w:tr>
        <w:tc>
          <w:tcPr>
            <w:tcW w:type="dxa" w:w="737"/>
            <w:shd w:val="clear" w:color="auto" w:fill="F5F7FF"/>
            <w:vAlign w:val="top"/>
          </w:tcPr>
          <w:p>
            <w:pPr>
              <w:spacing w:before="40" w:after="40"/>
            </w:pPr>
            <w:r>
              <w:rPr>
                <w:rFonts w:ascii="Nirmala UI" w:hAnsi="Nirmala UI" w:eastAsia="Nirmala UI"/>
                <w:sz w:val="16"/>
              </w:rPr>
              <w:t>O</w:t>
            </w:r>
          </w:p>
        </w:tc>
        <w:tc>
          <w:tcPr>
            <w:tcW w:type="dxa" w:w="4082"/>
            <w:shd w:val="clear" w:color="auto" w:fill="F5F7FF"/>
            <w:vAlign w:val="top"/>
          </w:tcPr>
          <w:p>
            <w:pPr>
              <w:spacing w:before="40" w:after="40"/>
            </w:pPr>
            <w:r>
              <w:rPr>
                <w:rFonts w:ascii="Times New Roman" w:hAnsi="Times New Roman"/>
                <w:sz w:val="16"/>
              </w:rPr>
              <w:t>IS_2250_1981_Cl5_2_Weather_Protection.pdf</w:t>
            </w:r>
          </w:p>
        </w:tc>
        <w:tc>
          <w:tcPr>
            <w:tcW w:type="dxa" w:w="3969"/>
            <w:shd w:val="clear" w:color="auto" w:fill="F5F7FF"/>
            <w:vAlign w:val="top"/>
          </w:tcPr>
          <w:p>
            <w:pPr>
              <w:spacing w:before="40" w:after="40"/>
            </w:pPr>
            <w:r>
              <w:rPr>
                <w:rFonts w:ascii="Nirmala UI" w:hAnsi="Nirmala UI" w:eastAsia="Nirmala UI"/>
                <w:sz w:val="16"/>
              </w:rPr>
              <w:t>IS 2250:1981 Cl. 5.2 — मौसम सुरक्षा</w:t>
            </w:r>
          </w:p>
        </w:tc>
      </w:tr>
      <w:tr>
        <w:tc>
          <w:tcPr>
            <w:tcW w:type="dxa" w:w="737"/>
            <w:shd w:val="clear" w:color="auto" w:fill="FFFFFF"/>
            <w:vAlign w:val="top"/>
          </w:tcPr>
          <w:p>
            <w:pPr>
              <w:spacing w:before="40" w:after="40"/>
            </w:pPr>
            <w:r>
              <w:rPr>
                <w:rFonts w:ascii="Nirmala UI" w:hAnsi="Nirmala UI" w:eastAsia="Nirmala UI"/>
                <w:sz w:val="16"/>
              </w:rPr>
              <w:t>S</w:t>
            </w:r>
          </w:p>
        </w:tc>
        <w:tc>
          <w:tcPr>
            <w:tcW w:type="dxa" w:w="4082"/>
            <w:shd w:val="clear" w:color="auto" w:fill="FFFFFF"/>
            <w:vAlign w:val="top"/>
          </w:tcPr>
          <w:p>
            <w:pPr>
              <w:spacing w:before="40" w:after="40"/>
            </w:pPr>
            <w:r>
              <w:rPr>
                <w:rFonts w:ascii="Times New Roman" w:hAnsi="Times New Roman"/>
                <w:sz w:val="16"/>
              </w:rPr>
              <w:t>Rajasthan_HC_Suo_Motu_PIL_29Jul_23Aug2025.pdf</w:t>
            </w:r>
          </w:p>
        </w:tc>
        <w:tc>
          <w:tcPr>
            <w:tcW w:type="dxa" w:w="3969"/>
            <w:shd w:val="clear" w:color="auto" w:fill="FFFFFF"/>
            <w:vAlign w:val="top"/>
          </w:tcPr>
          <w:p>
            <w:pPr>
              <w:spacing w:before="40" w:after="40"/>
            </w:pPr>
            <w:r>
              <w:rPr>
                <w:rFonts w:ascii="Nirmala UI" w:hAnsi="Nirmala UI" w:eastAsia="Nirmala UI"/>
                <w:sz w:val="16"/>
              </w:rPr>
              <w:t>Rajasthan HC Suo Motu PIL — 29.07.2025 + 23.08.2025</w:t>
            </w:r>
          </w:p>
        </w:tc>
      </w:tr>
      <w:tr>
        <w:tc>
          <w:tcPr>
            <w:tcW w:type="dxa" w:w="737"/>
            <w:shd w:val="clear" w:color="auto" w:fill="F5F7FF"/>
            <w:vAlign w:val="top"/>
          </w:tcPr>
          <w:p>
            <w:pPr>
              <w:spacing w:before="40" w:after="40"/>
            </w:pPr>
            <w:r>
              <w:rPr>
                <w:rFonts w:ascii="Nirmala UI" w:hAnsi="Nirmala UI" w:eastAsia="Nirmala UI"/>
                <w:sz w:val="16"/>
              </w:rPr>
              <w:t>T</w:t>
            </w:r>
          </w:p>
        </w:tc>
        <w:tc>
          <w:tcPr>
            <w:tcW w:type="dxa" w:w="4082"/>
            <w:shd w:val="clear" w:color="auto" w:fill="F5F7FF"/>
            <w:vAlign w:val="top"/>
          </w:tcPr>
          <w:p>
            <w:pPr>
              <w:spacing w:before="40" w:after="40"/>
            </w:pPr>
            <w:r>
              <w:rPr>
                <w:rFonts w:ascii="Times New Roman" w:hAnsi="Times New Roman"/>
                <w:sz w:val="16"/>
              </w:rPr>
              <w:t>RSMML_v_Contractor_RajHC_DivBench_30Mar2026.pdf</w:t>
            </w:r>
          </w:p>
        </w:tc>
        <w:tc>
          <w:tcPr>
            <w:tcW w:type="dxa" w:w="3969"/>
            <w:shd w:val="clear" w:color="auto" w:fill="F5F7FF"/>
            <w:vAlign w:val="top"/>
          </w:tcPr>
          <w:p>
            <w:pPr>
              <w:spacing w:before="40" w:after="40"/>
            </w:pPr>
            <w:r>
              <w:rPr>
                <w:rFonts w:ascii="Nirmala UI" w:hAnsi="Nirmala UI" w:eastAsia="Nirmala UI"/>
                <w:sz w:val="16"/>
              </w:rPr>
              <w:t>RSMML v. Contractor, Raj. HC Div. Bench 30.03.2026</w:t>
            </w:r>
          </w:p>
        </w:tc>
      </w:tr>
      <w:tr>
        <w:tc>
          <w:tcPr>
            <w:tcW w:type="dxa" w:w="737"/>
            <w:shd w:val="clear" w:color="auto" w:fill="FFFFFF"/>
            <w:vAlign w:val="top"/>
          </w:tcPr>
          <w:p>
            <w:pPr>
              <w:spacing w:before="40" w:after="40"/>
            </w:pPr>
            <w:r>
              <w:rPr>
                <w:rFonts w:ascii="Nirmala UI" w:hAnsi="Nirmala UI" w:eastAsia="Nirmala UI"/>
                <w:sz w:val="16"/>
              </w:rPr>
              <w:t>U</w:t>
            </w:r>
          </w:p>
        </w:tc>
        <w:tc>
          <w:tcPr>
            <w:tcW w:type="dxa" w:w="4082"/>
            <w:shd w:val="clear" w:color="auto" w:fill="FFFFFF"/>
            <w:vAlign w:val="top"/>
          </w:tcPr>
          <w:p>
            <w:pPr>
              <w:spacing w:before="40" w:after="40"/>
            </w:pPr>
            <w:r>
              <w:rPr>
                <w:rFonts w:ascii="Times New Roman" w:hAnsi="Times New Roman"/>
                <w:sz w:val="16"/>
              </w:rPr>
              <w:t>Jacob_Mathew_v_State_Punjab_2005_6_SCC_1_Para48.pdf</w:t>
            </w:r>
          </w:p>
        </w:tc>
        <w:tc>
          <w:tcPr>
            <w:tcW w:type="dxa" w:w="3969"/>
            <w:shd w:val="clear" w:color="auto" w:fill="FFFFFF"/>
            <w:vAlign w:val="top"/>
          </w:tcPr>
          <w:p>
            <w:pPr>
              <w:spacing w:before="40" w:after="40"/>
            </w:pPr>
            <w:r>
              <w:rPr>
                <w:rFonts w:ascii="Nirmala UI" w:hAnsi="Nirmala UI" w:eastAsia="Nirmala UI"/>
                <w:sz w:val="16"/>
              </w:rPr>
              <w:t>Jacob Mathew v. State of Punjab (2005) 6 SCC 1, Para 48</w:t>
            </w:r>
          </w:p>
        </w:tc>
      </w:tr>
      <w:tr>
        <w:tc>
          <w:tcPr>
            <w:tcW w:type="dxa" w:w="737"/>
            <w:shd w:val="clear" w:color="auto" w:fill="F5F7FF"/>
            <w:vAlign w:val="top"/>
          </w:tcPr>
          <w:p>
            <w:pPr>
              <w:spacing w:before="40" w:after="40"/>
            </w:pPr>
            <w:r>
              <w:rPr>
                <w:rFonts w:ascii="Nirmala UI" w:hAnsi="Nirmala UI" w:eastAsia="Nirmala UI"/>
                <w:sz w:val="16"/>
              </w:rPr>
              <w:t>V</w:t>
            </w:r>
          </w:p>
        </w:tc>
        <w:tc>
          <w:tcPr>
            <w:tcW w:type="dxa" w:w="4082"/>
            <w:shd w:val="clear" w:color="auto" w:fill="F5F7FF"/>
            <w:vAlign w:val="top"/>
          </w:tcPr>
          <w:p>
            <w:pPr>
              <w:spacing w:before="40" w:after="40"/>
            </w:pPr>
            <w:r>
              <w:rPr>
                <w:rFonts w:ascii="Times New Roman" w:hAnsi="Times New Roman"/>
                <w:sz w:val="16"/>
              </w:rPr>
              <w:t>IS_13311_Parts1_2_NDT_UPV_Rebound.pdf</w:t>
            </w:r>
          </w:p>
        </w:tc>
        <w:tc>
          <w:tcPr>
            <w:tcW w:type="dxa" w:w="3969"/>
            <w:shd w:val="clear" w:color="auto" w:fill="F5F7FF"/>
            <w:vAlign w:val="top"/>
          </w:tcPr>
          <w:p>
            <w:pPr>
              <w:spacing w:before="40" w:after="40"/>
            </w:pPr>
            <w:r>
              <w:rPr>
                <w:rFonts w:ascii="Nirmala UI" w:hAnsi="Nirmala UI" w:eastAsia="Nirmala UI"/>
                <w:sz w:val="16"/>
              </w:rPr>
              <w:t>IS 13311 (Parts 1-2) — NDT परीक्षण विधि</w:t>
            </w:r>
          </w:p>
        </w:tc>
      </w:tr>
      <w:tr>
        <w:tc>
          <w:tcPr>
            <w:tcW w:type="dxa" w:w="737"/>
            <w:shd w:val="clear" w:color="auto" w:fill="FFFFFF"/>
            <w:vAlign w:val="top"/>
          </w:tcPr>
          <w:p>
            <w:pPr>
              <w:spacing w:before="40" w:after="40"/>
            </w:pPr>
            <w:r>
              <w:rPr>
                <w:rFonts w:ascii="Nirmala UI" w:hAnsi="Nirmala UI" w:eastAsia="Nirmala UI"/>
                <w:sz w:val="16"/>
              </w:rPr>
              <w:t>W</w:t>
            </w:r>
          </w:p>
        </w:tc>
        <w:tc>
          <w:tcPr>
            <w:tcW w:type="dxa" w:w="4082"/>
            <w:shd w:val="clear" w:color="auto" w:fill="FFFFFF"/>
            <w:vAlign w:val="top"/>
          </w:tcPr>
          <w:p>
            <w:pPr>
              <w:spacing w:before="40" w:after="40"/>
            </w:pPr>
            <w:r>
              <w:rPr>
                <w:rFonts w:ascii="Times New Roman" w:hAnsi="Times New Roman"/>
                <w:sz w:val="16"/>
              </w:rPr>
              <w:t>Union_India_v_Prafulla_Kumar_Samal_1979_3_SCC_4.pdf</w:t>
            </w:r>
          </w:p>
        </w:tc>
        <w:tc>
          <w:tcPr>
            <w:tcW w:type="dxa" w:w="3969"/>
            <w:shd w:val="clear" w:color="auto" w:fill="FFFFFF"/>
            <w:vAlign w:val="top"/>
          </w:tcPr>
          <w:p>
            <w:pPr>
              <w:spacing w:before="40" w:after="40"/>
            </w:pPr>
            <w:r>
              <w:rPr>
                <w:rFonts w:ascii="Nirmala UI" w:hAnsi="Nirmala UI" w:eastAsia="Nirmala UI"/>
                <w:sz w:val="16"/>
              </w:rPr>
              <w:t>Union of India v. Prafulla Kumar Samal (1979) 3 SCC 4</w:t>
            </w:r>
          </w:p>
        </w:tc>
      </w:tr>
      <w:tr>
        <w:tc>
          <w:tcPr>
            <w:tcW w:type="dxa" w:w="737"/>
            <w:shd w:val="clear" w:color="auto" w:fill="F5F7FF"/>
            <w:vAlign w:val="top"/>
          </w:tcPr>
          <w:p>
            <w:pPr>
              <w:spacing w:before="40" w:after="40"/>
            </w:pPr>
            <w:r>
              <w:rPr>
                <w:rFonts w:ascii="Nirmala UI" w:hAnsi="Nirmala UI" w:eastAsia="Nirmala UI"/>
                <w:sz w:val="16"/>
              </w:rPr>
              <w:t>X</w:t>
            </w:r>
          </w:p>
        </w:tc>
        <w:tc>
          <w:tcPr>
            <w:tcW w:type="dxa" w:w="4082"/>
            <w:shd w:val="clear" w:color="auto" w:fill="F5F7FF"/>
            <w:vAlign w:val="top"/>
          </w:tcPr>
          <w:p>
            <w:pPr>
              <w:spacing w:before="40" w:after="40"/>
            </w:pPr>
            <w:r>
              <w:rPr>
                <w:rFonts w:ascii="Times New Roman" w:hAnsi="Times New Roman"/>
                <w:sz w:val="16"/>
              </w:rPr>
              <w:t>State_Bihar_v_Ramesh_Singh_1977_4_SCC_39.pdf</w:t>
            </w:r>
          </w:p>
        </w:tc>
        <w:tc>
          <w:tcPr>
            <w:tcW w:type="dxa" w:w="3969"/>
            <w:shd w:val="clear" w:color="auto" w:fill="F5F7FF"/>
            <w:vAlign w:val="top"/>
          </w:tcPr>
          <w:p>
            <w:pPr>
              <w:spacing w:before="40" w:after="40"/>
            </w:pPr>
            <w:r>
              <w:rPr>
                <w:rFonts w:ascii="Nirmala UI" w:hAnsi="Nirmala UI" w:eastAsia="Nirmala UI"/>
                <w:sz w:val="16"/>
              </w:rPr>
              <w:t>State of Bihar v. Ramesh Singh (1977) 4 SCC 39</w:t>
            </w:r>
          </w:p>
        </w:tc>
      </w:tr>
    </w:tbl>
    <w:p/>
    <w:p>
      <w:pPr>
        <w:spacing w:before="280" w:after="80"/>
      </w:pPr>
      <w:r>
        <w:rPr>
          <w:rFonts w:ascii="Nirmala UI" w:hAnsi="Nirmala UI" w:eastAsia="Nirmala UI"/>
          <w:b/>
          <w:i w:val="0"/>
          <w:color w:val="1A234E"/>
          <w:sz w:val="28"/>
        </w:rPr>
        <w:t>दाखिल करने से पूर्व चेकलिस्ट</w:t>
      </w:r>
    </w:p>
    <w:p>
      <w:pPr>
        <w:spacing w:before="180" w:after="80"/>
      </w:pPr>
      <w:r>
        <w:rPr>
          <w:rFonts w:ascii="Nirmala UI" w:hAnsi="Nirmala UI" w:eastAsia="Nirmala UI"/>
          <w:b/>
          <w:i w:val="0"/>
          <w:color w:val="263670"/>
          <w:sz w:val="24"/>
        </w:rPr>
        <w:t>VERIFIED निर्णय — तुरंत दाखिल करने योग्य:</w:t>
      </w:r>
    </w:p>
    <w:p>
      <w:pPr>
        <w:spacing w:before="40" w:after="60"/>
        <w:ind w:left="432" w:hanging="288"/>
      </w:pPr>
      <w:r>
        <w:rPr>
          <w:rFonts w:ascii="Nirmala UI" w:hAnsi="Nirmala UI" w:eastAsia="Nirmala UI"/>
          <w:b w:val="0"/>
          <w:i w:val="0"/>
          <w:color w:val="188038"/>
          <w:sz w:val="22"/>
        </w:rPr>
        <w:t>☑  Kattavellai @ Devakar (2025 INSC 845) — प्रमाणित प्रति + पैरा संख्या</w:t>
      </w:r>
    </w:p>
    <w:p>
      <w:pPr>
        <w:spacing w:before="40" w:after="60"/>
        <w:ind w:left="432" w:hanging="288"/>
      </w:pPr>
      <w:r>
        <w:rPr>
          <w:rFonts w:ascii="Nirmala UI" w:hAnsi="Nirmala UI" w:eastAsia="Nirmala UI"/>
          <w:b w:val="0"/>
          <w:i w:val="0"/>
          <w:color w:val="188038"/>
          <w:sz w:val="22"/>
        </w:rPr>
        <w:t>☑  State of Maharashtra v. Damu (2000) 6 SCC 269</w:t>
      </w:r>
    </w:p>
    <w:p>
      <w:pPr>
        <w:spacing w:before="40" w:after="60"/>
        <w:ind w:left="432" w:hanging="288"/>
      </w:pPr>
      <w:r>
        <w:rPr>
          <w:rFonts w:ascii="Nirmala UI" w:hAnsi="Nirmala UI" w:eastAsia="Nirmala UI"/>
          <w:b w:val="0"/>
          <w:i w:val="0"/>
          <w:color w:val="188038"/>
          <w:sz w:val="22"/>
        </w:rPr>
        <w:t>☑  State of Punjab v. Baldev Singh (1999) 6 SCC 172</w:t>
      </w:r>
    </w:p>
    <w:p>
      <w:pPr>
        <w:spacing w:before="40" w:after="60"/>
        <w:ind w:left="432" w:hanging="288"/>
      </w:pPr>
      <w:r>
        <w:rPr>
          <w:rFonts w:ascii="Nirmala UI" w:hAnsi="Nirmala UI" w:eastAsia="Nirmala UI"/>
          <w:b w:val="0"/>
          <w:i w:val="0"/>
          <w:color w:val="188038"/>
          <w:sz w:val="22"/>
        </w:rPr>
        <w:t>☑  Union of India v. Prafulla Kumar Samal (1979) 3 SCC 4, Para 10</w:t>
      </w:r>
    </w:p>
    <w:p>
      <w:pPr>
        <w:spacing w:before="40" w:after="60"/>
        <w:ind w:left="432" w:hanging="288"/>
      </w:pPr>
      <w:r>
        <w:rPr>
          <w:rFonts w:ascii="Nirmala UI" w:hAnsi="Nirmala UI" w:eastAsia="Nirmala UI"/>
          <w:b w:val="0"/>
          <w:i w:val="0"/>
          <w:color w:val="188038"/>
          <w:sz w:val="22"/>
        </w:rPr>
        <w:t>☑  State of Bihar v. Ramesh Singh (1977) 4 SCC 39, Para 5</w:t>
      </w:r>
    </w:p>
    <w:p>
      <w:pPr>
        <w:spacing w:before="40" w:after="60"/>
        <w:ind w:left="432" w:hanging="288"/>
      </w:pPr>
      <w:r>
        <w:rPr>
          <w:rFonts w:ascii="Nirmala UI" w:hAnsi="Nirmala UI" w:eastAsia="Nirmala UI"/>
          <w:b w:val="0"/>
          <w:i w:val="0"/>
          <w:color w:val="188038"/>
          <w:sz w:val="22"/>
        </w:rPr>
        <w:t>☑  Jacob Mathew v. State of Punjab (2005) 6 SCC 1, Para 48</w:t>
      </w:r>
    </w:p>
    <w:p>
      <w:pPr>
        <w:spacing w:before="40" w:after="60"/>
        <w:ind w:left="432" w:hanging="288"/>
      </w:pPr>
      <w:r>
        <w:rPr>
          <w:rFonts w:ascii="Nirmala UI" w:hAnsi="Nirmala UI" w:eastAsia="Nirmala UI"/>
          <w:b w:val="0"/>
          <w:i w:val="0"/>
          <w:color w:val="188038"/>
          <w:sz w:val="22"/>
        </w:rPr>
        <w:t>☑  Surendra Koli v. State of UP (SC, November 2025) — प्रमाणित प्रति</w:t>
      </w:r>
    </w:p>
    <w:p>
      <w:pPr>
        <w:spacing w:before="40" w:after="60"/>
        <w:ind w:left="432" w:hanging="288"/>
      </w:pPr>
      <w:r>
        <w:rPr>
          <w:rFonts w:ascii="Nirmala UI" w:hAnsi="Nirmala UI" w:eastAsia="Nirmala UI"/>
          <w:b w:val="0"/>
          <w:i w:val="0"/>
          <w:color w:val="188038"/>
          <w:sz w:val="22"/>
        </w:rPr>
        <w:t>☑  Rajasthan HC Suo Motu PIL (29.07.2025 + 23.08.2025) — प्रमाणित प्रतियाँ</w:t>
      </w:r>
    </w:p>
    <w:p>
      <w:pPr>
        <w:spacing w:before="40" w:after="60"/>
        <w:ind w:left="432" w:hanging="288"/>
      </w:pPr>
      <w:r>
        <w:rPr>
          <w:rFonts w:ascii="Nirmala UI" w:hAnsi="Nirmala UI" w:eastAsia="Nirmala UI"/>
          <w:b w:val="0"/>
          <w:i w:val="0"/>
          <w:color w:val="188038"/>
          <w:sz w:val="22"/>
        </w:rPr>
        <w:t>☑  RSMML v. Contractor (Raj. HC Div. Bench, 30.03.2026) — प्रमाणित प्रति</w:t>
      </w:r>
    </w:p>
    <w:p>
      <w:pPr>
        <w:spacing w:before="180" w:after="80"/>
      </w:pPr>
      <w:r>
        <w:rPr>
          <w:rFonts w:ascii="Nirmala UI" w:hAnsi="Nirmala UI" w:eastAsia="Nirmala UI"/>
          <w:b/>
          <w:i w:val="0"/>
          <w:color w:val="263670"/>
          <w:sz w:val="24"/>
        </w:rPr>
        <w:t>SECONDARY निर्णय — SCC Online से सत्यापन के बाद:</w:t>
      </w:r>
    </w:p>
    <w:p>
      <w:pPr>
        <w:spacing w:before="40" w:after="60"/>
        <w:ind w:left="432" w:hanging="288"/>
      </w:pPr>
      <w:r>
        <w:rPr>
          <w:rFonts w:ascii="Nirmala UI" w:hAnsi="Nirmala UI" w:eastAsia="Nirmala UI"/>
          <w:b w:val="0"/>
          <w:i w:val="0"/>
          <w:color w:val="E67100"/>
          <w:sz w:val="22"/>
        </w:rPr>
        <w:t>⚠  Tomaso Bruno v. State of UP (2015) 7 SCC 178 — Paras 25–30 &amp; 42 certified copy निकालें (ratio verified — verbatim quote absent)</w:t>
      </w:r>
    </w:p>
    <w:p>
      <w:pPr>
        <w:spacing w:before="40" w:after="60"/>
        <w:ind w:left="432" w:hanging="288"/>
      </w:pPr>
      <w:r>
        <w:rPr>
          <w:rFonts w:ascii="Nirmala UI" w:hAnsi="Nirmala UI" w:eastAsia="Nirmala UI"/>
          <w:b w:val="0"/>
          <w:i w:val="0"/>
          <w:color w:val="E67100"/>
          <w:sz w:val="22"/>
        </w:rPr>
        <w:t>⚠  Sushil Sharma v. State NCT Delhi (2014) 4 SCC 317</w:t>
      </w:r>
    </w:p>
    <w:p>
      <w:pPr>
        <w:spacing w:before="40" w:after="60"/>
        <w:ind w:left="432" w:hanging="288"/>
      </w:pPr>
      <w:r>
        <w:rPr>
          <w:rFonts w:ascii="Nirmala UI" w:hAnsi="Nirmala UI" w:eastAsia="Nirmala UI"/>
          <w:b w:val="0"/>
          <w:i w:val="0"/>
          <w:color w:val="E67100"/>
          <w:sz w:val="22"/>
        </w:rPr>
        <w:t>⚠  Uttarakhand HC March 2026 — प्रमाणित प्रति प्राप्त करें</w:t>
      </w:r>
    </w:p>
    <w:p>
      <w:pPr>
        <w:spacing w:before="40" w:after="60"/>
        <w:ind w:left="432" w:hanging="288"/>
      </w:pPr>
      <w:r>
        <w:rPr>
          <w:rFonts w:ascii="Nirmala UI" w:hAnsi="Nirmala UI" w:eastAsia="Nirmala UI"/>
          <w:b w:val="0"/>
          <w:i w:val="0"/>
          <w:color w:val="E67100"/>
          <w:sz w:val="22"/>
        </w:rPr>
        <w:t>⚠  Madras HC 2025 SCC OnLine Mad 3214 — प्रमाणित प्रति</w:t>
      </w:r>
    </w:p>
    <w:p>
      <w:pPr>
        <w:spacing w:before="180" w:after="80"/>
      </w:pPr>
      <w:r>
        <w:rPr>
          <w:rFonts w:ascii="Nirmala UI" w:hAnsi="Nirmala UI" w:eastAsia="Nirmala UI"/>
          <w:b/>
          <w:i w:val="0"/>
          <w:color w:val="263670"/>
          <w:sz w:val="24"/>
        </w:rPr>
        <w:t>तकनीकी मानक — BIS/ASTM प्रमाणित प्रतियाँ:</w:t>
      </w:r>
    </w:p>
    <w:p>
      <w:pPr>
        <w:spacing w:before="40" w:after="60"/>
        <w:ind w:left="432" w:hanging="288"/>
      </w:pPr>
      <w:r>
        <w:rPr>
          <w:rFonts w:ascii="Nirmala UI" w:hAnsi="Nirmala UI" w:eastAsia="Nirmala UI"/>
          <w:b w:val="0"/>
          <w:i w:val="0"/>
          <w:color w:val="188038"/>
          <w:sz w:val="22"/>
        </w:rPr>
        <w:t>☑  IS 1199:2018 Scope Cl. 1 — BIS प्रमाणित प्रति</w:t>
      </w:r>
    </w:p>
    <w:p>
      <w:pPr>
        <w:spacing w:before="40" w:after="60"/>
        <w:ind w:left="432" w:hanging="288"/>
      </w:pPr>
      <w:r>
        <w:rPr>
          <w:rFonts w:ascii="Nirmala UI" w:hAnsi="Nirmala UI" w:eastAsia="Nirmala UI"/>
          <w:b w:val="0"/>
          <w:i w:val="0"/>
          <w:color w:val="188038"/>
          <w:sz w:val="22"/>
        </w:rPr>
        <w:t>☑  IS 2250:1981 — BIS प्रमाणित प्रति</w:t>
      </w:r>
    </w:p>
    <w:p>
      <w:pPr>
        <w:spacing w:before="40" w:after="60"/>
        <w:ind w:left="432" w:hanging="288"/>
      </w:pPr>
      <w:r>
        <w:rPr>
          <w:rFonts w:ascii="Nirmala UI" w:hAnsi="Nirmala UI" w:eastAsia="Nirmala UI"/>
          <w:b w:val="0"/>
          <w:i w:val="0"/>
          <w:color w:val="188038"/>
          <w:sz w:val="22"/>
        </w:rPr>
        <w:t>☑  IS 3535:1986 Cl. 4.1 + Cl. 5.7.5 — BIS प्रति</w:t>
      </w:r>
    </w:p>
    <w:p>
      <w:pPr>
        <w:spacing w:before="40" w:after="60"/>
        <w:ind w:left="432" w:hanging="288"/>
      </w:pPr>
      <w:r>
        <w:rPr>
          <w:rFonts w:ascii="Nirmala UI" w:hAnsi="Nirmala UI" w:eastAsia="Nirmala UI"/>
          <w:b w:val="0"/>
          <w:i w:val="0"/>
          <w:color w:val="188038"/>
          <w:sz w:val="22"/>
        </w:rPr>
        <w:t>☑  IS 4031 (Part 6) Cl. 5.1 — BIS प्रमाणित प्रति</w:t>
      </w:r>
    </w:p>
    <w:p>
      <w:pPr>
        <w:spacing w:before="40" w:after="60"/>
        <w:ind w:left="432" w:hanging="288"/>
      </w:pPr>
      <w:r>
        <w:rPr>
          <w:rFonts w:ascii="Nirmala UI" w:hAnsi="Nirmala UI" w:eastAsia="Nirmala UI"/>
          <w:b w:val="0"/>
          <w:i w:val="0"/>
          <w:color w:val="188038"/>
          <w:sz w:val="22"/>
        </w:rPr>
        <w:t>☑  ASTM C1324 §§7-8 — ASTM प्रमाणित प्रति</w:t>
      </w:r>
    </w:p>
    <w:p>
      <w:pPr>
        <w:spacing w:before="40" w:after="60"/>
        <w:ind w:left="432" w:hanging="288"/>
      </w:pPr>
      <w:r>
        <w:rPr>
          <w:rFonts w:ascii="Nirmala UI" w:hAnsi="Nirmala UI" w:eastAsia="Nirmala UI"/>
          <w:b w:val="0"/>
          <w:i w:val="0"/>
          <w:color w:val="188038"/>
          <w:sz w:val="22"/>
        </w:rPr>
        <w:t>☑  NBC 2016 §3.4 — BIS प्रमाणित प्रति</w:t>
      </w:r>
    </w:p>
    <w:p>
      <w:pPr>
        <w:spacing w:before="40" w:after="60"/>
        <w:ind w:left="432" w:hanging="288"/>
      </w:pPr>
      <w:r>
        <w:rPr>
          <w:rFonts w:ascii="Nirmala UI" w:hAnsi="Nirmala UI" w:eastAsia="Nirmala UI"/>
          <w:b w:val="0"/>
          <w:i w:val="0"/>
          <w:color w:val="188038"/>
          <w:sz w:val="22"/>
        </w:rPr>
        <w:t>☑  IS 13311 (Parts 1-2) — BIS प्रमाणित प्रति</w:t>
      </w:r>
    </w:p>
    <w:p>
      <w:pPr>
        <w:spacing w:before="40" w:after="60"/>
        <w:ind w:left="432" w:hanging="288"/>
      </w:pPr>
      <w:r>
        <w:rPr>
          <w:rFonts w:ascii="Nirmala UI" w:hAnsi="Nirmala UI" w:eastAsia="Nirmala UI"/>
          <w:b w:val="0"/>
          <w:i w:val="0"/>
          <w:color w:val="188038"/>
          <w:sz w:val="22"/>
        </w:rPr>
        <w:t>☑  CPWD Manual §§3.7.4 &amp; 12.2.1 — CPWD प्रकाशन</w:t>
      </w:r>
    </w:p>
    <w:sectPr w:rsidR="00FC693F" w:rsidRPr="0006063C" w:rsidSect="00034616">
      <w:pgSz w:w="12240" w:h="15840"/>
      <w:pgMar w:top="1134" w:right="141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