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जन संवाददाता  |  JAN SAMVADDAATA</w:t>
      </w:r>
    </w:p>
    <w:p>
      <w:pPr>
        <w:jc w:val="center"/>
      </w:pPr>
      <w:r>
        <w:rPr>
          <w:b w:val="0"/>
          <w:color w:val="0D9488"/>
          <w:sz w:val="18"/>
        </w:rPr>
        <w:t>खोजी पत्रकारिता  •  6 August 2026  •  PWD Roads &amp; Infrastructure Bureau, Rajasthan</w:t>
      </w:r>
    </w:p>
    <w:p>
      <w:r>
        <w:t>────────────────────────────────────────────────────────────────────────────</w:t>
      </w:r>
    </w:p>
    <w:p>
      <w:pPr>
        <w:jc w:val="center"/>
      </w:pPr>
      <w:r>
        <w:rPr>
          <w:b/>
          <w:color w:val="1E3A5F"/>
          <w:sz w:val="40"/>
        </w:rPr>
        <w:t>PWD का डिजिटल माप घोटाला</w:t>
      </w:r>
    </w:p>
    <w:p>
      <w:pPr>
        <w:jc w:val="center"/>
      </w:pPr>
      <w:r>
        <w:rPr>
          <w:b/>
          <w:color w:val="1E3A5F"/>
          <w:sz w:val="26"/>
        </w:rPr>
        <w:t>Electronic Measurement Books: The Digital Veil Over Road Corruption</w:t>
      </w:r>
    </w:p>
    <w:p>
      <w:pPr>
        <w:jc w:val="center"/>
      </w:pPr>
      <w:r>
        <w:rPr>
          <w:i/>
          <w:color w:val="6B6355"/>
          <w:sz w:val="19"/>
        </w:rPr>
        <w:t>eMB Abstract · Bitumen CRC Fraud · 5 Fraud Pathways · Missing QC Records · No Contractor Ledger · Dormant EMD/SD/Dep-V · Rescinded Contracts · Recovery Portal नहीं</w:t>
        <w:br/>
        <w:t>A complete investigative expose of PWD road works corruption enabled by absent digital accountability</w:t>
      </w:r>
    </w:p>
    <w:p>
      <w:r>
        <w:t>────────────────────────────────────────────────────────────────────────────</w:t>
      </w:r>
    </w:p>
    <w:p>
      <w:pPr>
        <w:jc w:val="center"/>
      </w:pPr>
      <w:r>
        <w:rPr>
          <w:b/>
          <w:color w:val="0D9488"/>
          <w:sz w:val="20"/>
        </w:rPr>
        <w:t>AT A GLANCE — मुख्य तथ्य</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jc w:val="center"/>
            </w:pPr>
            <w:r/>
            <w:r>
              <w:rPr>
                <w:b/>
                <w:color w:val="FFFFFF"/>
                <w:sz w:val="28"/>
              </w:rPr>
              <w:t>Abstract</w:t>
              <w:br/>
            </w:r>
            <w:r>
              <w:rPr>
                <w:color w:val="CCCCCC"/>
                <w:sz w:val="15"/>
              </w:rPr>
              <w:t>e-MB has no line-by-line data — summary only</w:t>
            </w:r>
          </w:p>
        </w:tc>
        <w:tc>
          <w:tcPr>
            <w:tcW w:type="dxa" w:w="3135"/>
            <w:shd w:val="clear" w:color="auto" w:fill="1E3A5F"/>
          </w:tcPr>
          <w:p>
            <w:pPr>
              <w:jc w:val="center"/>
            </w:pPr>
            <w:r/>
            <w:r>
              <w:rPr>
                <w:b/>
                <w:color w:val="FFFFFF"/>
                <w:sz w:val="28"/>
              </w:rPr>
              <w:t>5</w:t>
              <w:br/>
            </w:r>
            <w:r>
              <w:rPr>
                <w:color w:val="CCCCCC"/>
                <w:sz w:val="15"/>
              </w:rPr>
              <w:t>CRC Fraud pathways — incl. multi-project reuse</w:t>
            </w:r>
          </w:p>
        </w:tc>
        <w:tc>
          <w:tcPr>
            <w:tcW w:type="dxa" w:w="3135"/>
            <w:shd w:val="clear" w:color="auto" w:fill="1E3A5F"/>
          </w:tcPr>
          <w:p>
            <w:pPr>
              <w:jc w:val="center"/>
            </w:pPr>
            <w:r/>
            <w:r>
              <w:rPr>
                <w:b/>
                <w:color w:val="FFFFFF"/>
                <w:sz w:val="28"/>
              </w:rPr>
              <w:t>0</w:t>
              <w:br/>
            </w:r>
            <w:r>
              <w:rPr>
                <w:color w:val="CCCCCC"/>
                <w:sz w:val="15"/>
              </w:rPr>
              <w:t>QC Test Abstracts routinely uploaded</w:t>
            </w:r>
          </w:p>
        </w:tc>
      </w:tr>
      <w:tr>
        <w:tc>
          <w:tcPr>
            <w:tcW w:type="dxa" w:w="3135"/>
            <w:shd w:val="clear" w:color="auto" w:fill="1E3A5F"/>
          </w:tcPr>
          <w:p>
            <w:pPr>
              <w:jc w:val="center"/>
            </w:pPr>
            <w:r/>
            <w:r>
              <w:rPr>
                <w:b/>
                <w:color w:val="FFFFFF"/>
                <w:sz w:val="28"/>
              </w:rPr>
              <w:t>CRC</w:t>
              <w:br/>
            </w:r>
            <w:r>
              <w:rPr>
                <w:color w:val="CCCCCC"/>
                <w:sz w:val="15"/>
              </w:rPr>
              <w:t>Bitumen CRC — Single Mother of Corruption</w:t>
            </w:r>
          </w:p>
        </w:tc>
        <w:tc>
          <w:tcPr>
            <w:tcW w:type="dxa" w:w="3135"/>
            <w:shd w:val="clear" w:color="auto" w:fill="1E3A5F"/>
          </w:tcPr>
          <w:p>
            <w:pPr>
              <w:jc w:val="center"/>
            </w:pPr>
            <w:r/>
            <w:r>
              <w:rPr>
                <w:b/>
                <w:color w:val="FFFFFF"/>
                <w:sz w:val="28"/>
              </w:rPr>
              <w:t>15 Yrs</w:t>
              <w:br/>
            </w:r>
            <w:r>
              <w:rPr>
                <w:color w:val="CCCCCC"/>
                <w:sz w:val="15"/>
              </w:rPr>
              <w:t>Online payments — ZERO Contractor Ledger built</w:t>
            </w:r>
          </w:p>
        </w:tc>
        <w:tc>
          <w:tcPr>
            <w:tcW w:type="dxa" w:w="3135"/>
            <w:shd w:val="clear" w:color="auto" w:fill="1E3A5F"/>
          </w:tcPr>
          <w:p>
            <w:pPr>
              <w:jc w:val="center"/>
            </w:pPr>
            <w:r/>
            <w:r>
              <w:rPr>
                <w:b/>
                <w:color w:val="FFFFFF"/>
                <w:sz w:val="28"/>
              </w:rPr>
              <w:t>EMD+SD</w:t>
              <w:br/>
            </w:r>
            <w:r>
              <w:rPr>
                <w:color w:val="CCCCCC"/>
                <w:sz w:val="15"/>
              </w:rPr>
              <w:t>Dormant deposits — no ledger, no statement, no refund</w:t>
            </w:r>
          </w:p>
        </w:tc>
      </w:tr>
      <w:tr>
        <w:tc>
          <w:tcPr>
            <w:tcW w:type="dxa" w:w="3135"/>
            <w:shd w:val="clear" w:color="auto" w:fill="1E3A5F"/>
          </w:tcPr>
          <w:p>
            <w:pPr>
              <w:jc w:val="center"/>
            </w:pPr>
            <w:r/>
            <w:r>
              <w:rPr>
                <w:b/>
                <w:color w:val="FFFFFF"/>
                <w:sz w:val="28"/>
              </w:rPr>
              <w:t>~200</w:t>
              <w:br/>
            </w:r>
            <w:r>
              <w:rPr>
                <w:color w:val="CCCCCC"/>
                <w:sz w:val="15"/>
              </w:rPr>
              <w:t>Contracts rescinded — ZERO recovery monitoring</w:t>
            </w:r>
          </w:p>
        </w:tc>
        <w:tc>
          <w:tcPr>
            <w:tcW w:type="dxa" w:w="3135"/>
            <w:shd w:val="clear" w:color="auto" w:fill="1E3A5F"/>
          </w:tcPr>
          <w:p>
            <w:pPr>
              <w:jc w:val="center"/>
            </w:pPr>
            <w:r/>
            <w:r>
              <w:rPr>
                <w:b/>
                <w:color w:val="FFFFFF"/>
                <w:sz w:val="28"/>
              </w:rPr>
              <w:t>90 Days</w:t>
              <w:br/>
            </w:r>
            <w:r>
              <w:rPr>
                <w:color w:val="CCCCCC"/>
                <w:sz w:val="15"/>
              </w:rPr>
              <w:t>Time to build Recovery Portal — never done</w:t>
            </w:r>
          </w:p>
        </w:tc>
        <w:tc>
          <w:tcPr>
            <w:tcW w:type="dxa" w:w="3135"/>
          </w:tcPr>
          <w:p/>
        </w:tc>
      </w:tr>
    </w:tbl>
    <w:p/>
    <w:p>
      <w:r>
        <w:rPr>
          <w:b/>
          <w:color w:val="0D9488"/>
          <w:sz w:val="25"/>
        </w:rPr>
        <w:t>────  Ch.1  |  eMB का वादा और ज़मीनी हकीकत</w:t>
      </w:r>
    </w:p>
    <w:p>
      <w:pPr>
        <w:ind w:left="227"/>
      </w:pPr>
      <w:r>
        <w:rPr>
          <w:b/>
          <w:color w:val="1E3A5F"/>
          <w:sz w:val="22"/>
        </w:rPr>
        <w:t>e-MB Promise vs Ground Reality</w:t>
      </w:r>
    </w:p>
    <w:p>
      <w:pPr>
        <w:ind w:left="227"/>
        <w:jc w:val="both"/>
      </w:pPr>
      <w:r>
        <w:rPr>
          <w:sz w:val="21"/>
        </w:rPr>
        <w:t>eMB पारदर्शिता लाने के लिए था। इसकी जगह यह एक sanitised abstract तैयार करता है जो fraud छुपाता है।</w:t>
      </w:r>
    </w:p>
    <w:p>
      <w:pPr>
        <w:ind w:left="227"/>
        <w:jc w:val="both"/>
      </w:pPr>
      <w:r>
        <w:rPr>
          <w:i/>
          <w:color w:val="44403C"/>
          <w:sz w:val="20"/>
        </w:rPr>
        <w:t>The Electronic Measurement Book was designed to bring transparency, accuracy and accountability. Instead it produces a sanitised abstract that conceals exactly what is needed to detect over-measurement, quality shortfalls, and bitumen manipulation.</w:t>
      </w:r>
    </w:p>
    <w:p>
      <w:r>
        <w:t xml:space="preserve">· · · · · · · · · · · · · · · · · · · · · · · · · · · · · · · · · · · · · · </w:t>
      </w:r>
    </w:p>
    <w:p>
      <w:r>
        <w:rPr>
          <w:b/>
          <w:color w:val="0D9488"/>
          <w:sz w:val="25"/>
        </w:rPr>
        <w:t>────  Ch.2  |  Abstract-Only Billing — बिना नींव की डिजिटल इमारत</w:t>
      </w:r>
    </w:p>
    <w:p>
      <w:pPr>
        <w:ind w:left="227"/>
      </w:pPr>
      <w:r>
        <w:rPr>
          <w:b/>
          <w:color w:val="1E3A5F"/>
          <w:sz w:val="22"/>
        </w:rPr>
        <w:t>Abstract-Only Billing — Digital Building Without Foundation</w:t>
      </w:r>
    </w:p>
    <w:p>
      <w:pPr>
        <w:ind w:left="227"/>
        <w:jc w:val="both"/>
      </w:pPr>
      <w:r>
        <w:rPr>
          <w:sz w:val="21"/>
        </w:rPr>
        <w:t>eMB में missing: Chainage-wise quantities, Layer-wise thickness, Cross-sections, Progressive totals। दो अनिवार्य actions: Original bill upload + Physical MB PDF।</w:t>
      </w:r>
    </w:p>
    <w:p>
      <w:pPr>
        <w:ind w:left="227"/>
        <w:jc w:val="both"/>
      </w:pPr>
      <w:r>
        <w:rPr>
          <w:i/>
          <w:color w:val="44403C"/>
          <w:sz w:val="20"/>
        </w:rPr>
        <w:t>Missing from e-MB: chainage-wise quantities, layer-wise thicknesses, cross-sectional measurements, progressive totals. Two non-negotiable actions when full digital entry is impractical: (1) Upload contractor's original bill in full. (2) Upload complete physical MB as PDF.</w:t>
      </w:r>
    </w:p>
    <w:p>
      <w:r>
        <w:t xml:space="preserve">· · · · · · · · · · · · · · · · · · · · · · · · · · · · · · · · · · · · · · </w:t>
      </w:r>
    </w:p>
    <w:p>
      <w:r>
        <w:rPr>
          <w:b/>
          <w:color w:val="0D9488"/>
          <w:sz w:val="25"/>
        </w:rPr>
        <w:t>────  Ch.3  |  Missing QC Records — गुणवत्ता कागज़ पर, ज़मीन पर नहीं</w:t>
      </w:r>
    </w:p>
    <w:p>
      <w:pPr>
        <w:ind w:left="227"/>
      </w:pPr>
      <w:r>
        <w:rPr>
          <w:b/>
          <w:color w:val="1E3A5F"/>
          <w:sz w:val="22"/>
        </w:rPr>
        <w:t>Missing QC Test Records — Quality Only on Paper</w:t>
      </w:r>
    </w:p>
    <w:p>
      <w:pPr>
        <w:ind w:left="227"/>
        <w:jc w:val="both"/>
      </w:pPr>
      <w:r>
        <w:rPr>
          <w:sz w:val="21"/>
        </w:rPr>
        <w:t>Grade, density, Marshall stability, binder content — test results absent। Quality केवल कागज़ पर।</w:t>
      </w:r>
    </w:p>
    <w:p>
      <w:pPr>
        <w:ind w:left="227"/>
        <w:jc w:val="both"/>
      </w:pPr>
      <w:r>
        <w:rPr>
          <w:i/>
          <w:color w:val="44403C"/>
          <w:sz w:val="20"/>
        </w:rPr>
        <w:t>Laboratory test results for bitumen grade, density, Marshall stability, and binder content are routinely absent. No accessible record of whether materials met specified standards. QC exists only on paper.</w:t>
      </w:r>
    </w:p>
    <w:p>
      <w:r>
        <w:t xml:space="preserve">· · · · · · · · · · · · · · · · · · · · · · · · · · · · · · · · · · · · · · </w:t>
      </w:r>
    </w:p>
    <w:p>
      <w:r>
        <w:rPr>
          <w:b/>
          <w:color w:val="0D9488"/>
          <w:sz w:val="25"/>
        </w:rPr>
        <w:t>────  Ch.4  |  Bitumen CRC — भ्रष्टाचार की जननी</w:t>
      </w:r>
    </w:p>
    <w:p>
      <w:pPr>
        <w:ind w:left="227"/>
      </w:pPr>
      <w:r>
        <w:rPr>
          <w:b/>
          <w:color w:val="1E3A5F"/>
          <w:sz w:val="22"/>
        </w:rPr>
        <w:t>Bitumen CRC — The Single Mother of Corruption</w:t>
      </w:r>
    </w:p>
    <w:p>
      <w:pPr>
        <w:ind w:left="227"/>
        <w:jc w:val="both"/>
      </w:pPr>
      <w:r>
        <w:rPr>
          <w:sz w:val="21"/>
        </w:rPr>
        <w:t>Bitumen CRC और Consumption Statement — documentary chain। Absent होने पर auditor के पास केवल abstract figure। Verification impossible।</w:t>
      </w:r>
    </w:p>
    <w:p>
      <w:pPr>
        <w:ind w:left="227"/>
        <w:jc w:val="both"/>
      </w:pPr>
      <w:r>
        <w:rPr>
          <w:i/>
          <w:color w:val="44403C"/>
          <w:sz w:val="20"/>
        </w:rPr>
        <w:t>Bitumen CRC (Consignment Receipt Certificate) and Consumption Statement form the documentary chain proving genuine purchase, delivery, and use. When absent, auditor has only an abstract figure — 'X MT bitumen used' — with no way to prove or disprove it.</w:t>
      </w:r>
    </w:p>
    <w:p>
      <w:r>
        <w:t xml:space="preserve">· · · · · · · · · · · · · · · · · · · · · · · · · · · · · · · · · · · · · · </w:t>
      </w:r>
    </w:p>
    <w:p>
      <w:r>
        <w:rPr>
          <w:b/>
          <w:color w:val="0D9488"/>
          <w:sz w:val="25"/>
        </w:rPr>
        <w:t>────  Ch.5  |  Fraud के पाँच रास्ते — Pathway 5: एक CRC, कई Projects</w:t>
      </w:r>
    </w:p>
    <w:p>
      <w:pPr>
        <w:ind w:left="227"/>
      </w:pPr>
      <w:r>
        <w:rPr>
          <w:b/>
          <w:color w:val="1E3A5F"/>
          <w:sz w:val="22"/>
        </w:rPr>
        <w:t>Five Fraud Pathways — incl. Multi-Project CRC Reuse</w:t>
      </w:r>
    </w:p>
    <w:p>
      <w:pPr>
        <w:ind w:left="227"/>
        <w:jc w:val="both"/>
      </w:pPr>
      <w:r>
        <w:rPr>
          <w:sz w:val="21"/>
        </w:rPr>
        <w:t>P1: CRC alter। P2: Fake CRC। P3: Verification compromised। P4: 80 MT use, 120 MT claim। P5 (नई — सबसे खतरनाक): एक CRC तीन projects में — 100 MT delivery, 300 MT payment। Centralised CRC Registry के बिना invisible।</w:t>
      </w:r>
    </w:p>
    <w:p>
      <w:pPr>
        <w:ind w:left="227"/>
        <w:jc w:val="both"/>
      </w:pPr>
      <w:r>
        <w:rPr>
          <w:i/>
          <w:color w:val="44403C"/>
          <w:sz w:val="20"/>
        </w:rPr>
        <w:t>P1: CRC quantity altered. P2: Fake/recycled CRC. P3: Verification officer compromised. P4: Inflated consumption (80 MT used, 120 MT claimed). P5 NEW (most dangerous): Same contractor submits same CRC across multiple projects simultaneously — one 100 MT delivery claimed at 3 projects = 300 MT payment. Invisible without a centralised statewide CRC registry.</w:t>
      </w:r>
    </w:p>
    <w:p>
      <w:r>
        <w:t xml:space="preserve">· · · · · · · · · · · · · · · · · · · · · · · · · · · · · · · · · · · · · · </w:t>
      </w:r>
    </w:p>
    <w:p>
      <w:r>
        <w:rPr>
          <w:b/>
          <w:color w:val="0D9488"/>
          <w:sz w:val="25"/>
        </w:rPr>
        <w:t>────  Ch.6  |  सड़कें क्यों टूटती हैं — जनता का असली नुकसान</w:t>
      </w:r>
    </w:p>
    <w:p>
      <w:pPr>
        <w:ind w:left="227"/>
      </w:pPr>
      <w:r>
        <w:rPr>
          <w:b/>
          <w:color w:val="1E3A5F"/>
          <w:sz w:val="22"/>
        </w:rPr>
        <w:t>Why Roads Fail — The Real Public Cost</w:t>
      </w:r>
    </w:p>
    <w:p>
      <w:pPr>
        <w:ind w:left="227"/>
        <w:jc w:val="both"/>
      </w:pPr>
      <w:r>
        <w:rPr>
          <w:sz w:val="21"/>
        </w:rPr>
        <w:t>Sub-standard bitumen: 10 साल की सड़क 2-3 साल में टूटती है। Double maintenance cost। Public safety risk। Taxpayer दो बार tax देता है।</w:t>
      </w:r>
    </w:p>
    <w:p>
      <w:pPr>
        <w:ind w:left="227"/>
        <w:jc w:val="both"/>
      </w:pPr>
      <w:r>
        <w:rPr>
          <w:i/>
          <w:color w:val="44403C"/>
          <w:sz w:val="20"/>
        </w:rPr>
        <w:t>Sub-standard bitumen: roads fail years before design life. A 10-year road lasts 2-3 years. Higher maintenance costs on state. Public safety endangered. Taxpayer funds the same road twice. When digital system designed to prevent this becomes a vehicle for concealment, the reform loses all credibility.</w:t>
      </w:r>
    </w:p>
    <w:p>
      <w:r>
        <w:t xml:space="preserve">· · · · · · · · · · · · · · · · · · · · · · · · · · · · · · · · · · · · · · </w:t>
      </w:r>
    </w:p>
    <w:p>
      <w:r>
        <w:rPr>
          <w:b/>
          <w:color w:val="0D9488"/>
          <w:sz w:val="25"/>
        </w:rPr>
        <w:t>────  Ch.6B  |  15 साल, कोई Ledger नहीं — EMD, SD, Dep-V मूक जमा</w:t>
      </w:r>
    </w:p>
    <w:p>
      <w:pPr>
        <w:ind w:left="227"/>
      </w:pPr>
      <w:r>
        <w:rPr>
          <w:b/>
          <w:color w:val="1E3A5F"/>
          <w:sz w:val="22"/>
        </w:rPr>
        <w:t>15 Years — Zero Contractor Ledger, Dormant EMD/SD/Dep-V</w:t>
      </w:r>
    </w:p>
    <w:p>
      <w:pPr>
        <w:ind w:left="227"/>
        <w:jc w:val="both"/>
      </w:pPr>
      <w:r>
        <w:rPr>
          <w:sz w:val="21"/>
        </w:rPr>
        <w:t>15 वर्ष online payment — Contractor Ledger नहीं। EMD+SD+Dep-V वर्षों तक dormant। e-Procurement EMD online collect — refund manual। समाधान: Digital Ledger, 31 March auto-email, e-EMD Refund integration, DLP auto-alerts।</w:t>
      </w:r>
    </w:p>
    <w:p>
      <w:pPr>
        <w:ind w:left="227"/>
        <w:jc w:val="both"/>
      </w:pPr>
      <w:r>
        <w:rPr>
          <w:i/>
          <w:color w:val="44403C"/>
          <w:sz w:val="20"/>
        </w:rPr>
        <w:t>15 years of online payments — no Contractor Ledger ever built. EMD, Security Deposit, Dep-V lie dormant when contractor dies, records lost, or track breaks. Department never volunteers to return them. e-Procurement collects EMD online but has no e-EMD Refund system. Fix: Digital Ledger per contractor; mandatory 31-March annual balance email; e-EMD Refund integrated in e-Procurement; DLP auto-alerts.</w:t>
      </w:r>
    </w:p>
    <w:p>
      <w:r>
        <w:t xml:space="preserve">· · · · · · · · · · · · · · · · · · · · · · · · · · · · · · · · · · · · · · </w:t>
      </w:r>
    </w:p>
    <w:p>
      <w:r>
        <w:rPr>
          <w:b/>
          <w:color w:val="0D9488"/>
          <w:sz w:val="25"/>
        </w:rPr>
        <w:t>────  Ch.6C  |  रद्द अनुबंध — भैरवजी Bridge, Kotada Road, Gannon Dunkerlay</w:t>
      </w:r>
    </w:p>
    <w:p>
      <w:pPr>
        <w:ind w:left="227"/>
      </w:pPr>
      <w:r>
        <w:rPr>
          <w:b/>
          <w:color w:val="1E3A5F"/>
          <w:sz w:val="22"/>
        </w:rPr>
        <w:t>Rescinded Contracts — Bhairavji Bridge, Kotada Road, Gannon Dunkerlay</w:t>
      </w:r>
    </w:p>
    <w:p>
      <w:pPr>
        <w:ind w:left="227"/>
        <w:jc w:val="both"/>
      </w:pPr>
      <w:r>
        <w:rPr>
          <w:sz w:val="21"/>
        </w:rPr>
        <w:t>भैरवजी Bridge, Kotada Road, Gannon Dunkerlay — तीनों में वसूली शून्य। ~200 rescissions — कोई systematic monitoring नहीं। Blacklist enforce नहीं।</w:t>
      </w:r>
    </w:p>
    <w:p>
      <w:pPr>
        <w:ind w:left="227"/>
        <w:jc w:val="both"/>
      </w:pPr>
      <w:r>
        <w:rPr>
          <w:i/>
          <w:color w:val="44403C"/>
          <w:sz w:val="20"/>
        </w:rPr>
        <w:t>Three named cases: Bhairavji Bridge Banswara (rescinded, nil recovery), Kotada Road Udaipur (rescinded, nil recovery), Gannon Dunkerlay &amp; Co — established firm, contract rescinded, substantial dues unexercised, company walked free. ~200 rescissions statewide, zero monitoring. Rescission is a paper threat, not a financial liability.</w:t>
      </w:r>
    </w:p>
    <w:p>
      <w:r>
        <w:t xml:space="preserve">· · · · · · · · · · · · · · · · · · · · · · · · · · · · · · · · · · · · · · </w:t>
      </w:r>
    </w:p>
    <w:p>
      <w:r>
        <w:rPr>
          <w:b/>
          <w:color w:val="0D9488"/>
          <w:sz w:val="25"/>
        </w:rPr>
        <w:t>────  Ch.6D  |  Recovery Portal नहीं, Legal Pursuit नहीं — Impunity का Architecture</w:t>
      </w:r>
    </w:p>
    <w:p>
      <w:pPr>
        <w:ind w:left="227"/>
      </w:pPr>
      <w:r>
        <w:rPr>
          <w:b/>
          <w:color w:val="1E3A5F"/>
          <w:sz w:val="22"/>
        </w:rPr>
        <w:t>Why No Recovery Portal? Why No Legal Pursuit? — Architecture of Impunity</w:t>
      </w:r>
    </w:p>
    <w:p>
      <w:pPr>
        <w:ind w:left="227"/>
        <w:jc w:val="both"/>
      </w:pPr>
      <w:r>
        <w:rPr>
          <w:sz w:val="21"/>
        </w:rPr>
        <w:t>Recovery Portal 15 वर्षों में नहीं — visibility = accountability से बचाव। Legal pursuit नहीं — Negligence या Complicity। Limitation expire हो रहे हैं। Framework: Portal 90 days, Notice 30 days, Register, Alerts, ACB referral।</w:t>
      </w:r>
    </w:p>
    <w:p>
      <w:pPr>
        <w:ind w:left="227"/>
        <w:jc w:val="both"/>
      </w:pPr>
      <w:r>
        <w:rPr>
          <w:i/>
          <w:color w:val="44403C"/>
          <w:sz w:val="20"/>
        </w:rPr>
        <w:t>Q1: Recovery Portal not built in 15 years — because it would make every non-recovery visible and attributable to a named officer. Q2: No legal pursuit because of either Gross Negligence or Complicity — the same officer who processed payments is the officer who refuses to collect. Limitation periods expiring unnoticed. Five-point framework: Portal in 90 days; legal notice in 30 days; litigation register; limitation alerts; same-officer overlap = ACB referral.</w:t>
      </w:r>
    </w:p>
    <w:p>
      <w:r>
        <w:t xml:space="preserve">· · · · · · · · · · · · · · · · · · · · · · · · · · · · · · · · · · · · · · </w:t>
      </w:r>
    </w:p>
    <w:p>
      <w:r>
        <w:rPr>
          <w:b/>
          <w:color w:val="0D9488"/>
          <w:sz w:val="25"/>
        </w:rPr>
        <w:t>────  Ch.7  |  सात Minimum Corrective Actions — तत्काल</w:t>
      </w:r>
    </w:p>
    <w:p>
      <w:pPr>
        <w:ind w:left="227"/>
      </w:pPr>
      <w:r>
        <w:rPr>
          <w:b/>
          <w:color w:val="1E3A5F"/>
          <w:sz w:val="22"/>
        </w:rPr>
        <w:t>Seven Minimum Corrective Actions — Immediate</w:t>
      </w:r>
    </w:p>
    <w:p>
      <w:pPr>
        <w:ind w:left="227"/>
        <w:jc w:val="both"/>
      </w:pPr>
      <w:r>
        <w:rPr>
          <w:sz w:val="21"/>
        </w:rPr>
        <w:t>1.Original bill upload। 2.Physical MB PDF। 3.QC abstract। 4.Bitumen CRC copies। 5.Consumption Statement cross-link। 6.Centralised CRC Registry। 7.Documents absent = payment withheld।</w:t>
      </w:r>
    </w:p>
    <w:p>
      <w:pPr>
        <w:ind w:left="227"/>
        <w:jc w:val="both"/>
      </w:pPr>
      <w:r>
        <w:rPr>
          <w:i/>
          <w:color w:val="44403C"/>
          <w:sz w:val="20"/>
        </w:rPr>
        <w:t>1.Mandate upload of contractor's original bill. 2.Upload complete physical MB PDF. 3.Upload QC test abstract. 4.Upload Bitumen CRC copies. 5.Cross-link Consumption Statement with CRC — mismatch auto-flags. 6.Centralised CRC Registry — one CRC, one bill only. 7.Missing documents = payment withheld + scrutiny initiated.</w:t>
      </w:r>
    </w:p>
    <w:p>
      <w:r>
        <w:t xml:space="preserve">· · · · · · · · · · · · · · · · · · · · · · · · · · · · · · · · · · · · · · </w:t>
      </w:r>
    </w:p>
    <w:p>
      <w:r>
        <w:rPr>
          <w:b/>
          <w:color w:val="0D9488"/>
          <w:sz w:val="25"/>
        </w:rPr>
        <w:t>────  Ch.8  |  तेरह मीडिया और जन माँगें</w:t>
      </w:r>
    </w:p>
    <w:p>
      <w:pPr>
        <w:ind w:left="227"/>
      </w:pPr>
      <w:r>
        <w:rPr>
          <w:b/>
          <w:color w:val="1E3A5F"/>
          <w:sz w:val="22"/>
        </w:rPr>
        <w:t>Thirteen Media &amp; Public Demands</w:t>
      </w:r>
    </w:p>
    <w:p>
      <w:pPr>
        <w:ind w:left="227"/>
        <w:jc w:val="both"/>
      </w:pPr>
      <w:r>
        <w:rPr>
          <w:sz w:val="21"/>
        </w:rPr>
        <w:t>1.RTI CRC upload। 2.CAG bitumen audit। 3.CRC sting। 4.Core cutting test। 5.Department circular। 6.Supplier public list। 7.Public portal। 8.CRC duplication ACB। 9.Dormant deposits RTI। 10.e-EMD expose। 11.Ledger sting। 12.Recovery RTI। 13.Blacklist register।</w:t>
      </w:r>
    </w:p>
    <w:p>
      <w:pPr>
        <w:ind w:left="227"/>
        <w:jc w:val="both"/>
      </w:pPr>
      <w:r>
        <w:rPr>
          <w:i/>
          <w:color w:val="44403C"/>
          <w:sz w:val="20"/>
        </w:rPr>
        <w:t>1.RTI on CRC upload status. 2.CAG audit bitumen claimed vs received. 3.CRC verification sting. 4.Core cutting test on recent roads. 5.Department circular mandating uploads. 6.Public bitumen supplier list. 7.Public bill tracking portal. 8.CRC duplication ACB audit. 9.RTI on dormant EMD/SD deposits. 10.e-EMD Refund expose. 11.Contractor Ledger sting. 12.Rescinded contracts recovery RTI. 13.Blacklisting register demand.</w:t>
      </w:r>
    </w:p>
    <w:p>
      <w:r>
        <w:t xml:space="preserve">· · · · · · · · · · · · · · · · · · · · · · · · · · · · · · · · · · · · · · </w:t>
      </w:r>
    </w:p>
    <w:p>
      <w:pPr>
        <w:jc w:val="center"/>
      </w:pPr>
      <w:r>
        <w:rPr>
          <w:color w:val="0D9488"/>
          <w:sz w:val="15"/>
        </w:rPr>
        <w:t>जन संवाददाता  |  6 August 2026  |  All rights reserved  |  Public Interest Investigation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