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272" w:rsidRPr="00C55272" w:rsidRDefault="00C55272" w:rsidP="00C55272">
      <w:pPr>
        <w:rPr>
          <w:b/>
          <w:bCs/>
        </w:rPr>
      </w:pPr>
      <w:r w:rsidRPr="00C55272">
        <w:rPr>
          <w:b/>
          <w:bCs/>
        </w:rPr>
        <w:t>1. Additional Claims That Might Have Been Left Out</w:t>
      </w:r>
    </w:p>
    <w:p w:rsidR="00C55272" w:rsidRPr="00C55272" w:rsidRDefault="00C55272" w:rsidP="00C55272">
      <w:r w:rsidRPr="00C55272">
        <w:t xml:space="preserve">Prolongation claims typically cover time-related costs from delays, but infrastructure projects often involve interconnected issues. The drafts cover core heads (plant/equipment, labor, materials, overheads, financing, </w:t>
      </w:r>
      <w:proofErr w:type="gramStart"/>
      <w:r w:rsidRPr="00C55272">
        <w:t>profit</w:t>
      </w:r>
      <w:proofErr w:type="gramEnd"/>
      <w:r w:rsidRPr="00C55272">
        <w:t xml:space="preserve"> loss), but omit or underplay others that could strengthen the claim if applicable. These should be assessed based on project facts (e.g., via delay analysis or records). If evidence exists, add them as separate heads or sub-heads to avoid under-claiming—arbitrators reward comprehensive, evidenced submissions.</w:t>
      </w:r>
    </w:p>
    <w:p w:rsidR="00C55272" w:rsidRPr="00C55272" w:rsidRDefault="00C55272" w:rsidP="00C55272">
      <w:pPr>
        <w:numPr>
          <w:ilvl w:val="0"/>
          <w:numId w:val="1"/>
        </w:numPr>
      </w:pPr>
      <w:r w:rsidRPr="00C55272">
        <w:rPr>
          <w:b/>
          <w:bCs/>
        </w:rPr>
        <w:t>Disruption Costs (Separate from Pure Prolongation)</w:t>
      </w:r>
      <w:r w:rsidRPr="00C55272">
        <w:t xml:space="preserve">: </w:t>
      </w:r>
    </w:p>
    <w:p w:rsidR="00C55272" w:rsidRPr="00C55272" w:rsidRDefault="00C55272" w:rsidP="00C55272">
      <w:pPr>
        <w:numPr>
          <w:ilvl w:val="1"/>
          <w:numId w:val="1"/>
        </w:numPr>
      </w:pPr>
      <w:r w:rsidRPr="00C55272">
        <w:t>Prolongation assumes steady (but extended) work; disruption covers inefficiencies (e.g., stop-start work due to piecemeal site handover or utility delays causing idle time/low productivity). The drafts mention "disruptions" in the cover letter but don't quantify separately. Add a head for loss of productivity (e.g., 20-30% reduced efficiency on available fronts), calculated via measured mile analysis or expert reports. Potential value: 10-20% of labor/equipment costs (e.g., INR 20-40 crores). Link to critical path impacts (build on proposed Appendix H).</w:t>
      </w:r>
    </w:p>
    <w:p w:rsidR="00C55272" w:rsidRPr="00C55272" w:rsidRDefault="00C55272" w:rsidP="00C55272">
      <w:pPr>
        <w:numPr>
          <w:ilvl w:val="0"/>
          <w:numId w:val="1"/>
        </w:numPr>
      </w:pPr>
      <w:r w:rsidRPr="00C55272">
        <w:rPr>
          <w:b/>
          <w:bCs/>
        </w:rPr>
        <w:t>Acceleration Costs</w:t>
      </w:r>
      <w:r w:rsidRPr="00C55272">
        <w:t xml:space="preserve">: </w:t>
      </w:r>
    </w:p>
    <w:p w:rsidR="00C55272" w:rsidRPr="00C55272" w:rsidRDefault="00C55272" w:rsidP="00C55272">
      <w:pPr>
        <w:numPr>
          <w:ilvl w:val="1"/>
          <w:numId w:val="1"/>
        </w:numPr>
      </w:pPr>
      <w:r w:rsidRPr="00C55272">
        <w:t>If the Contractor accelerated (e.g., by deploying excess resources as noted in para 7 of the claim note) to mitigate Employer delays, claim these as constructive acceleration. The drafts hint at "excess" deployment but don't claim it explicitly. Include costs for overtime, additional shifts, or expedited procurement. Evidence: Compare planned vs. actual resource histograms. Potential value: INR 10-30 crores, under Clause [e.g., 8.6 for acceleration].</w:t>
      </w:r>
    </w:p>
    <w:p w:rsidR="00C55272" w:rsidRPr="00C55272" w:rsidRDefault="00C55272" w:rsidP="00C55272">
      <w:pPr>
        <w:numPr>
          <w:ilvl w:val="0"/>
          <w:numId w:val="1"/>
        </w:numPr>
      </w:pPr>
      <w:r w:rsidRPr="00C55272">
        <w:rPr>
          <w:b/>
          <w:bCs/>
        </w:rPr>
        <w:t>Extended Bond/Insurance/Guarantee Costs</w:t>
      </w:r>
      <w:r w:rsidRPr="00C55272">
        <w:t xml:space="preserve">: </w:t>
      </w:r>
    </w:p>
    <w:p w:rsidR="00C55272" w:rsidRPr="00C55272" w:rsidRDefault="00C55272" w:rsidP="00C55272">
      <w:pPr>
        <w:numPr>
          <w:ilvl w:val="1"/>
          <w:numId w:val="1"/>
        </w:numPr>
      </w:pPr>
      <w:r w:rsidRPr="00C55272">
        <w:t>Prolongation often extends performance bonds, advance payment guarantees, or insurances. The drafts cover insurance in plant/equipment but not standalone extensions. Add a sub-head under "Other Costs" for premium renewals or increased coverage due to delays. Potential value: INR 5-10 crores, supported by policy documents.</w:t>
      </w:r>
    </w:p>
    <w:p w:rsidR="00C55272" w:rsidRPr="00C55272" w:rsidRDefault="00C55272" w:rsidP="00C55272">
      <w:pPr>
        <w:numPr>
          <w:ilvl w:val="0"/>
          <w:numId w:val="1"/>
        </w:numPr>
      </w:pPr>
      <w:r w:rsidRPr="00C55272">
        <w:rPr>
          <w:b/>
          <w:bCs/>
        </w:rPr>
        <w:t>Escalation Beyond Contract Provisions</w:t>
      </w:r>
      <w:r w:rsidRPr="00C55272">
        <w:t xml:space="preserve">: </w:t>
      </w:r>
    </w:p>
    <w:p w:rsidR="00C55272" w:rsidRPr="00C55272" w:rsidRDefault="00C55272" w:rsidP="00C55272">
      <w:pPr>
        <w:numPr>
          <w:ilvl w:val="1"/>
          <w:numId w:val="1"/>
        </w:numPr>
      </w:pPr>
      <w:r w:rsidRPr="00C55272">
        <w:t xml:space="preserve">The materials head covers some escalation, but if the contract has a price adjustment clause (e.g., for fuel/labor indices), claim any unrecovered escalation due to delays. If no clause, argue for it as a prolongation consequence (e.g., via quantum </w:t>
      </w:r>
      <w:proofErr w:type="spellStart"/>
      <w:r w:rsidRPr="00C55272">
        <w:t>meruit</w:t>
      </w:r>
      <w:proofErr w:type="spellEnd"/>
      <w:r w:rsidRPr="00C55272">
        <w:t>). Also, consider currency fluctuations if imports are involved (e.g., equipment parts). Potential value: INR 10-20 crores, using indices from RBI or CPWD.</w:t>
      </w:r>
    </w:p>
    <w:p w:rsidR="00C55272" w:rsidRPr="00C55272" w:rsidRDefault="00C55272" w:rsidP="00C55272">
      <w:pPr>
        <w:numPr>
          <w:ilvl w:val="0"/>
          <w:numId w:val="1"/>
        </w:numPr>
      </w:pPr>
      <w:r w:rsidRPr="00C55272">
        <w:rPr>
          <w:b/>
          <w:bCs/>
        </w:rPr>
        <w:t>Environmental/Regulatory Compliance Costs</w:t>
      </w:r>
      <w:r w:rsidRPr="00C55272">
        <w:t xml:space="preserve">: </w:t>
      </w:r>
    </w:p>
    <w:p w:rsidR="00C55272" w:rsidRPr="00C55272" w:rsidRDefault="00C55272" w:rsidP="00C55272">
      <w:pPr>
        <w:numPr>
          <w:ilvl w:val="1"/>
          <w:numId w:val="1"/>
        </w:numPr>
      </w:pPr>
      <w:r w:rsidRPr="00C55272">
        <w:t xml:space="preserve">In highway projects, delays can lead to extended environmental monitoring, pollution control, or compliance with changing regulations (e.g., post-2023 Indian environmental norms). If applicable (e.g., due to borrow area issues noted in materials head), add costs </w:t>
      </w:r>
      <w:r w:rsidRPr="00C55272">
        <w:lastRenderedPageBreak/>
        <w:t>for permits, monitoring, or fines. Potential value: INR 5-15 crores, evidenced by authority correspondence.</w:t>
      </w:r>
    </w:p>
    <w:p w:rsidR="00C55272" w:rsidRPr="00C55272" w:rsidRDefault="00C55272" w:rsidP="00C55272">
      <w:pPr>
        <w:numPr>
          <w:ilvl w:val="0"/>
          <w:numId w:val="1"/>
        </w:numPr>
      </w:pPr>
      <w:r w:rsidRPr="00C55272">
        <w:rPr>
          <w:b/>
          <w:bCs/>
        </w:rPr>
        <w:t>Idle Time or Standby Costs for Subcontractors</w:t>
      </w:r>
      <w:r w:rsidRPr="00C55272">
        <w:t xml:space="preserve">: </w:t>
      </w:r>
    </w:p>
    <w:p w:rsidR="00C55272" w:rsidRPr="00C55272" w:rsidRDefault="00C55272" w:rsidP="00C55272">
      <w:pPr>
        <w:numPr>
          <w:ilvl w:val="1"/>
          <w:numId w:val="1"/>
        </w:numPr>
      </w:pPr>
      <w:r w:rsidRPr="00C55272">
        <w:t>If subcontractors were retained/idled, claim pass-through costs (with back-to-back clauses). The drafts focus on direct labor/equipment; expand to subs if they form part of the "resources." Potential value: INR 10-20 crores.</w:t>
      </w:r>
    </w:p>
    <w:p w:rsidR="00C55272" w:rsidRPr="00C55272" w:rsidRDefault="00C55272" w:rsidP="00C55272">
      <w:pPr>
        <w:numPr>
          <w:ilvl w:val="0"/>
          <w:numId w:val="1"/>
        </w:numPr>
      </w:pPr>
      <w:r w:rsidRPr="00C55272">
        <w:rPr>
          <w:b/>
          <w:bCs/>
        </w:rPr>
        <w:t>Claims for Variations/Change of Scope as Prolongation Drivers</w:t>
      </w:r>
      <w:r w:rsidRPr="00C55272">
        <w:t xml:space="preserve">: </w:t>
      </w:r>
    </w:p>
    <w:p w:rsidR="00C55272" w:rsidRPr="00C55272" w:rsidRDefault="00C55272" w:rsidP="00C55272">
      <w:pPr>
        <w:numPr>
          <w:ilvl w:val="1"/>
          <w:numId w:val="1"/>
        </w:numPr>
      </w:pPr>
      <w:r w:rsidRPr="00C55272">
        <w:t>The drafts reference scope changes but don't quantify their time/cost impact separately. If changes caused prolongation (e.g., major structures), integrate a Variation Claim under Clause [e.g., 13.1], including design delay costs. This could add INR 20-50 crores if not already in EOT.</w:t>
      </w:r>
    </w:p>
    <w:p w:rsidR="00C55272" w:rsidRPr="00C55272" w:rsidRDefault="00C55272" w:rsidP="00C55272">
      <w:pPr>
        <w:numPr>
          <w:ilvl w:val="0"/>
          <w:numId w:val="1"/>
        </w:numPr>
      </w:pPr>
      <w:r w:rsidRPr="00C55272">
        <w:rPr>
          <w:b/>
          <w:bCs/>
        </w:rPr>
        <w:t>Interest on Delayed Payments (Beyond Financing Costs)</w:t>
      </w:r>
      <w:r w:rsidRPr="00C55272">
        <w:t xml:space="preserve">: </w:t>
      </w:r>
    </w:p>
    <w:p w:rsidR="00C55272" w:rsidRPr="00C55272" w:rsidRDefault="00C55272" w:rsidP="00C55272">
      <w:pPr>
        <w:numPr>
          <w:ilvl w:val="1"/>
          <w:numId w:val="1"/>
        </w:numPr>
      </w:pPr>
      <w:r w:rsidRPr="00C55272">
        <w:t>The financing head covers interest on tied-up capital, but add compound interest on overdue certifications (e.g., at contract rate or SBI PLR +2%). The drafts have a vague "Additional Interest on Delayed Recovery of Advances" – expand if advances were delayed. Potential value: INR 10-15 crores.</w:t>
      </w:r>
    </w:p>
    <w:p w:rsidR="00C55272" w:rsidRPr="00C55272" w:rsidRDefault="00C55272" w:rsidP="00C55272">
      <w:pPr>
        <w:numPr>
          <w:ilvl w:val="0"/>
          <w:numId w:val="1"/>
        </w:numPr>
      </w:pPr>
      <w:r w:rsidRPr="00C55272">
        <w:rPr>
          <w:b/>
          <w:bCs/>
        </w:rPr>
        <w:t>Consequential Losses (if Contract Allows)</w:t>
      </w:r>
      <w:r w:rsidRPr="00C55272">
        <w:t xml:space="preserve">: </w:t>
      </w:r>
    </w:p>
    <w:p w:rsidR="00C55272" w:rsidRPr="00C55272" w:rsidRDefault="00C55272" w:rsidP="00C55272">
      <w:pPr>
        <w:numPr>
          <w:ilvl w:val="1"/>
          <w:numId w:val="1"/>
        </w:numPr>
      </w:pPr>
      <w:r w:rsidRPr="00C55272">
        <w:t>Rarely recoverable, but if the contract permits (or via breach arguments), include reputational damage or lost future bids due to tied resources. The profit loss head touches this, but substantiate with tender evidence.</w:t>
      </w:r>
    </w:p>
    <w:p w:rsidR="00A63BF7" w:rsidRDefault="00C55272">
      <w:r w:rsidRPr="00C55272">
        <w:rPr>
          <w:highlight w:val="yellow"/>
        </w:rPr>
        <w:t>ABSTRACT OF FINDINGS</w:t>
      </w:r>
      <w:bookmarkStart w:id="0" w:name="_GoBack"/>
      <w:bookmarkEnd w:id="0"/>
    </w:p>
    <w:p w:rsidR="00C55272" w:rsidRPr="00C55272" w:rsidRDefault="00C55272" w:rsidP="00C55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b/>
          <w:bCs/>
          <w:sz w:val="24"/>
          <w:szCs w:val="24"/>
        </w:rPr>
        <w:t>Not Included</w:t>
      </w:r>
      <w:r w:rsidRPr="00C55272">
        <w:rPr>
          <w:rFonts w:ascii="Times New Roman" w:eastAsia="Times New Roman" w:hAnsi="Times New Roman" w:cs="Times New Roman"/>
          <w:sz w:val="24"/>
          <w:szCs w:val="24"/>
        </w:rPr>
        <w:t xml:space="preserve">: </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Disruption Costs</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Acceleration Costs</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Environmental/Regulatory Compliance Costs</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Idle Time/Standby Costs for Subcontractors</w:t>
      </w:r>
    </w:p>
    <w:p w:rsidR="00C55272" w:rsidRPr="00C55272" w:rsidRDefault="00C55272" w:rsidP="00C55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b/>
          <w:bCs/>
          <w:sz w:val="24"/>
          <w:szCs w:val="24"/>
        </w:rPr>
        <w:t>Partially Included</w:t>
      </w:r>
      <w:r w:rsidRPr="00C55272">
        <w:rPr>
          <w:rFonts w:ascii="Times New Roman" w:eastAsia="Times New Roman" w:hAnsi="Times New Roman" w:cs="Times New Roman"/>
          <w:sz w:val="24"/>
          <w:szCs w:val="24"/>
        </w:rPr>
        <w:t xml:space="preserve">: </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Extended Bond/Insurance/Guarantee Costs (only equipment insurance covered)</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Escalation Beyond Contract Provisions (materials escalation included, but incomplete; fuel/labor/currency absent)</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Claims for Variations/Change of Scope (cited as delay cause, not quantified)</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Interest on Delayed Payments (financing costs included, but overdue payments/advances not clear)</w:t>
      </w:r>
    </w:p>
    <w:p w:rsidR="00C55272" w:rsidRPr="00C55272" w:rsidRDefault="00C55272" w:rsidP="00C55272">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sz w:val="24"/>
          <w:szCs w:val="24"/>
        </w:rPr>
        <w:t>Consequential Losses (profit loss included, but broader impacts absent)</w:t>
      </w:r>
    </w:p>
    <w:p w:rsidR="00C55272" w:rsidRPr="00C55272" w:rsidRDefault="00C55272" w:rsidP="00C5527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5272">
        <w:rPr>
          <w:rFonts w:ascii="Times New Roman" w:eastAsia="Times New Roman" w:hAnsi="Times New Roman" w:cs="Times New Roman"/>
          <w:b/>
          <w:bCs/>
          <w:sz w:val="24"/>
          <w:szCs w:val="24"/>
        </w:rPr>
        <w:t>Total Potential Additional Quantum</w:t>
      </w:r>
      <w:r w:rsidRPr="00C55272">
        <w:rPr>
          <w:rFonts w:ascii="Times New Roman" w:eastAsia="Times New Roman" w:hAnsi="Times New Roman" w:cs="Times New Roman"/>
          <w:sz w:val="24"/>
          <w:szCs w:val="24"/>
        </w:rPr>
        <w:t>: INR 50-150 crores, depending on evidence and contract terms.</w:t>
      </w:r>
    </w:p>
    <w:p w:rsidR="00C55272" w:rsidRDefault="00C55272"/>
    <w:sectPr w:rsidR="00C55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auto"/>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C58DE"/>
    <w:multiLevelType w:val="multilevel"/>
    <w:tmpl w:val="163E8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042BB0"/>
    <w:multiLevelType w:val="multilevel"/>
    <w:tmpl w:val="50844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5272"/>
    <w:rsid w:val="00A63BF7"/>
    <w:rsid w:val="00C5527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D16070-59B0-4501-8A9A-91BD5B270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C5527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55272"/>
    <w:rPr>
      <w:rFonts w:ascii="Times New Roman" w:eastAsia="Times New Roman" w:hAnsi="Times New Roman" w:cs="Times New Roman"/>
      <w:b/>
      <w:bCs/>
      <w:sz w:val="27"/>
      <w:szCs w:val="27"/>
    </w:rPr>
  </w:style>
  <w:style w:type="character" w:styleId="Strong">
    <w:name w:val="Strong"/>
    <w:basedOn w:val="DefaultParagraphFont"/>
    <w:uiPriority w:val="22"/>
    <w:qFormat/>
    <w:rsid w:val="00C552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45986">
      <w:bodyDiv w:val="1"/>
      <w:marLeft w:val="0"/>
      <w:marRight w:val="0"/>
      <w:marTop w:val="0"/>
      <w:marBottom w:val="0"/>
      <w:divBdr>
        <w:top w:val="none" w:sz="0" w:space="0" w:color="auto"/>
        <w:left w:val="none" w:sz="0" w:space="0" w:color="auto"/>
        <w:bottom w:val="none" w:sz="0" w:space="0" w:color="auto"/>
        <w:right w:val="none" w:sz="0" w:space="0" w:color="auto"/>
      </w:divBdr>
    </w:div>
    <w:div w:id="130901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2025-09-09T14:20:00Z</dcterms:created>
  <dcterms:modified xsi:type="dcterms:W3CDTF">2025-09-09T14:21:00Z</dcterms:modified>
</cp:coreProperties>
</file>