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 DISCHARGE U/S 227 CrPC (user's own draft to vet)</w:t>
      </w:r>
    </w:p>
    <w:p>
      <w:r>
        <w:t>Synthetic test data only. No real persons/PII.</w:t>
      </w:r>
    </w:p>
    <w:p>
      <w:r>
        <w:t>In the Court of Sessions, Kashipur. State v. Dev Prakash, S.T. No. 88/2026.</w:t>
      </w:r>
    </w:p>
    <w:p>
      <w:r>
        <w:t>The applicant submits that on the materials placed by the prosecution there</w:t>
      </w:r>
    </w:p>
    <w:p>
      <w:r>
        <w:t>is no ground to presume that he committed the offence. Reliance is placed on</w:t>
      </w:r>
    </w:p>
    <w:p>
      <w:r>
        <w:t>State of Bihar v. Ramesh Singh, AIR 1977 SC 2018 (synthetic-real format), and</w:t>
      </w:r>
    </w:p>
    <w:p>
      <w:r>
        <w:t>2024 INSC 78 (verified precedent), and AIR 2050 SC 9917 (FABRICATED - probe).</w:t>
      </w:r>
    </w:p>
    <w:p>
      <w:r>
        <w:t>PRAYER: That this Hon'ble Court be pleased to discharge the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