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Anticipatory Bail Petition — Deliberately Defective</w:t>
      </w:r>
    </w:p>
    <w:p>
      <w:r>
        <w:t>FICTIONAL TEST FIXTURE</w:t>
      </w:r>
    </w:p>
    <w:p>
      <w:r>
        <w:t>The petitioner submits that the incident occurred on 9 January 2026 and the FIR was registered immediately thereafter.</w:t>
      </w:r>
    </w:p>
    <w:p>
      <w:r>
        <w:t>[SEED: Date conflicts with FIR.]</w:t>
      </w:r>
    </w:p>
    <w:p>
      <w:r>
        <w:t>The petitioner is completely innocent and all allegations are proved false.</w:t>
      </w:r>
    </w:p>
    <w:p>
      <w:r>
        <w:t>[SEED: Converts defence assertion into established fact.]</w:t>
      </w:r>
    </w:p>
    <w:p>
      <w:r>
        <w:t>The Hon'ble Supreme Court in State of Bharat v. Arjun Rao, (2024) 19 SCC 999 held that every delayed FIR must be quashed.</w:t>
      </w:r>
    </w:p>
    <w:p>
      <w:r>
        <w:t>[SEED: Intentionally fictional citation.]</w:t>
      </w:r>
    </w:p>
    <w:p>
      <w:r>
        <w:t>PRAYER</w:t>
        <w:br/>
        <w:t>Grant all reliefs deemed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