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2931E" w14:textId="77777777" w:rsidR="0081504D" w:rsidRDefault="0081504D" w:rsidP="0081504D">
      <w:pPr>
        <w:pStyle w:val="Subtitle"/>
        <w:spacing w:after="0"/>
        <w:jc w:val="center"/>
        <w:rPr>
          <w:rFonts w:ascii="Times New Roman" w:eastAsia="Times New Roman" w:hAnsi="Times New Roman" w:cs="Times New Roman"/>
          <w:color w:val="000000"/>
          <w:sz w:val="24"/>
          <w:szCs w:val="24"/>
        </w:rPr>
      </w:pPr>
      <w:bookmarkStart w:id="0" w:name="_4zewyuta864t" w:colFirst="0" w:colLast="0"/>
      <w:bookmarkEnd w:id="0"/>
    </w:p>
    <w:p w14:paraId="52028CC9" w14:textId="77777777" w:rsidR="0081504D" w:rsidRDefault="0081504D" w:rsidP="0081504D">
      <w:pPr>
        <w:pStyle w:val="Subtitle"/>
        <w:spacing w:after="0"/>
        <w:jc w:val="center"/>
        <w:rPr>
          <w:rFonts w:ascii="Times New Roman" w:eastAsia="Times New Roman" w:hAnsi="Times New Roman" w:cs="Times New Roman"/>
          <w:color w:val="000000"/>
          <w:sz w:val="24"/>
          <w:szCs w:val="24"/>
        </w:rPr>
      </w:pPr>
    </w:p>
    <w:p w14:paraId="46DFDF47" w14:textId="77777777" w:rsidR="0081504D" w:rsidRDefault="0081504D" w:rsidP="0081504D">
      <w:pPr>
        <w:pStyle w:val="Subtitle"/>
        <w:spacing w:after="0"/>
        <w:jc w:val="center"/>
        <w:rPr>
          <w:rFonts w:ascii="Times New Roman" w:eastAsia="Times New Roman" w:hAnsi="Times New Roman" w:cs="Times New Roman"/>
          <w:color w:val="000000"/>
          <w:sz w:val="24"/>
          <w:szCs w:val="24"/>
        </w:rPr>
      </w:pPr>
    </w:p>
    <w:p w14:paraId="158572A0" w14:textId="77777777" w:rsidR="0081504D" w:rsidRDefault="0081504D" w:rsidP="0081504D">
      <w:pPr>
        <w:pStyle w:val="Subtitle"/>
        <w:spacing w:after="0"/>
        <w:jc w:val="center"/>
        <w:rPr>
          <w:rFonts w:ascii="Times New Roman" w:eastAsia="Times New Roman" w:hAnsi="Times New Roman" w:cs="Times New Roman"/>
          <w:color w:val="000000"/>
          <w:sz w:val="24"/>
          <w:szCs w:val="24"/>
        </w:rPr>
      </w:pPr>
    </w:p>
    <w:p w14:paraId="3B8B10B5" w14:textId="77777777" w:rsidR="0081504D" w:rsidRDefault="0081504D" w:rsidP="0081504D">
      <w:pPr>
        <w:pStyle w:val="Subtitle"/>
        <w:spacing w:after="0"/>
        <w:jc w:val="center"/>
        <w:rPr>
          <w:rFonts w:ascii="Times New Roman" w:eastAsia="Times New Roman" w:hAnsi="Times New Roman" w:cs="Times New Roman"/>
          <w:color w:val="000000"/>
          <w:sz w:val="24"/>
          <w:szCs w:val="24"/>
        </w:rPr>
      </w:pPr>
    </w:p>
    <w:p w14:paraId="610CCC83" w14:textId="77777777" w:rsidR="0081504D" w:rsidRDefault="0081504D" w:rsidP="0081504D">
      <w:pPr>
        <w:pStyle w:val="Subtitle"/>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Registered Replication Report: A Large </w:t>
      </w:r>
      <w:proofErr w:type="spellStart"/>
      <w:r>
        <w:rPr>
          <w:rFonts w:ascii="Times New Roman" w:eastAsia="Times New Roman" w:hAnsi="Times New Roman" w:cs="Times New Roman"/>
          <w:b/>
          <w:color w:val="000000"/>
          <w:sz w:val="24"/>
          <w:szCs w:val="24"/>
        </w:rPr>
        <w:t>Multilab</w:t>
      </w:r>
      <w:proofErr w:type="spellEnd"/>
      <w:r>
        <w:rPr>
          <w:rFonts w:ascii="Times New Roman" w:eastAsia="Times New Roman" w:hAnsi="Times New Roman" w:cs="Times New Roman"/>
          <w:b/>
          <w:color w:val="000000"/>
          <w:sz w:val="24"/>
          <w:szCs w:val="24"/>
        </w:rPr>
        <w:t xml:space="preserve"> Cross-Cultural Conceptual Replication of </w:t>
      </w:r>
      <w:proofErr w:type="spellStart"/>
      <w:r>
        <w:rPr>
          <w:rFonts w:ascii="Times New Roman" w:eastAsia="Times New Roman" w:hAnsi="Times New Roman" w:cs="Times New Roman"/>
          <w:b/>
          <w:color w:val="000000"/>
          <w:sz w:val="24"/>
          <w:szCs w:val="24"/>
        </w:rPr>
        <w:t>Turri</w:t>
      </w:r>
      <w:proofErr w:type="spellEnd"/>
      <w:r>
        <w:rPr>
          <w:rFonts w:ascii="Times New Roman" w:eastAsia="Times New Roman" w:hAnsi="Times New Roman" w:cs="Times New Roman"/>
          <w:b/>
          <w:color w:val="000000"/>
          <w:sz w:val="24"/>
          <w:szCs w:val="24"/>
        </w:rPr>
        <w:t xml:space="preserve">, Buckwalter, &amp; </w:t>
      </w:r>
      <w:proofErr w:type="spellStart"/>
      <w:r>
        <w:rPr>
          <w:rFonts w:ascii="Times New Roman" w:eastAsia="Times New Roman" w:hAnsi="Times New Roman" w:cs="Times New Roman"/>
          <w:b/>
          <w:color w:val="000000"/>
          <w:sz w:val="24"/>
          <w:szCs w:val="24"/>
        </w:rPr>
        <w:t>Blouw</w:t>
      </w:r>
      <w:proofErr w:type="spellEnd"/>
      <w:r>
        <w:rPr>
          <w:rFonts w:ascii="Times New Roman" w:eastAsia="Times New Roman" w:hAnsi="Times New Roman" w:cs="Times New Roman"/>
          <w:b/>
          <w:color w:val="000000"/>
          <w:sz w:val="24"/>
          <w:szCs w:val="24"/>
        </w:rPr>
        <w:t xml:space="preserve"> (2015)</w:t>
      </w:r>
      <w:r>
        <w:rPr>
          <w:rFonts w:ascii="Times New Roman" w:eastAsia="Times New Roman" w:hAnsi="Times New Roman" w:cs="Times New Roman"/>
          <w:color w:val="000000"/>
          <w:sz w:val="24"/>
          <w:szCs w:val="24"/>
        </w:rPr>
        <w:t xml:space="preserve"> </w:t>
      </w:r>
    </w:p>
    <w:p w14:paraId="430EB8D9" w14:textId="77777777" w:rsidR="0081504D" w:rsidRDefault="0081504D" w:rsidP="0081504D"/>
    <w:p w14:paraId="26D62EF5" w14:textId="77777777" w:rsidR="0081504D" w:rsidRDefault="0081504D" w:rsidP="0081504D">
      <w:pPr>
        <w:jc w:val="center"/>
      </w:pPr>
      <w:r>
        <w:t>[</w:t>
      </w:r>
      <w:hyperlink r:id="rId7">
        <w:r>
          <w:rPr>
            <w:color w:val="1155CC"/>
            <w:u w:val="single"/>
          </w:rPr>
          <w:t xml:space="preserve">Authorship </w:t>
        </w:r>
      </w:hyperlink>
      <w:hyperlink r:id="rId8">
        <w:r>
          <w:rPr>
            <w:color w:val="1155CC"/>
            <w:u w:val="single"/>
          </w:rPr>
          <w:t>Link</w:t>
        </w:r>
      </w:hyperlink>
      <w:r>
        <w:t>]</w:t>
      </w:r>
    </w:p>
    <w:p w14:paraId="01D4237B" w14:textId="77777777" w:rsidR="0081504D" w:rsidRDefault="0081504D" w:rsidP="0081504D">
      <w:pPr>
        <w:jc w:val="center"/>
        <w:rPr>
          <w:b/>
        </w:rPr>
      </w:pPr>
    </w:p>
    <w:p w14:paraId="34602601" w14:textId="35A59EC6" w:rsidR="00653524" w:rsidRDefault="00653524" w:rsidP="00CE50FA">
      <w:pPr>
        <w:pStyle w:val="Heading1"/>
        <w:jc w:val="left"/>
      </w:pPr>
      <w:bookmarkStart w:id="1" w:name="_7olsglr13a1j" w:colFirst="0" w:colLast="0"/>
      <w:bookmarkEnd w:id="1"/>
      <w:r>
        <w:br w:type="page"/>
      </w:r>
    </w:p>
    <w:p w14:paraId="679ED5B1" w14:textId="77777777" w:rsidR="00653524" w:rsidRDefault="00653524" w:rsidP="00653524">
      <w:pPr>
        <w:pStyle w:val="Heading1"/>
      </w:pPr>
      <w:bookmarkStart w:id="2" w:name="_271qn7vpbnxg" w:colFirst="0" w:colLast="0"/>
      <w:bookmarkEnd w:id="2"/>
      <w:r>
        <w:lastRenderedPageBreak/>
        <w:t>Abstract</w:t>
      </w:r>
    </w:p>
    <w:p w14:paraId="5378E5A1" w14:textId="51E9285A" w:rsidR="00653524" w:rsidRDefault="00653524" w:rsidP="00653524">
      <w:pPr>
        <w:rPr>
          <w:i/>
        </w:rPr>
      </w:pPr>
      <w:r>
        <w:t xml:space="preserve">According to the Justified True Belief account of knowledge (JTB), a person can only truly know something if they have a belief that is both justified and true (i.e., knowledge is justified true belief). This account was challenged by Gettier (1963), who argued that JTB does not explain knowledge attributions in certain situations, later called Gettier-type cases, wherein a protagonist is justified in believing something to be true but their belief was only correct due to luck. Lay people may not attribute knowledge to protagonists with justified but only luckily true beliefs. While some research has found evidence for these so-called Gettier intuitions (e.g., </w:t>
      </w:r>
      <w:proofErr w:type="spellStart"/>
      <w:r>
        <w:t>Machery</w:t>
      </w:r>
      <w:proofErr w:type="spellEnd"/>
      <w:r>
        <w:t xml:space="preserve"> et al., 201</w:t>
      </w:r>
      <w:r w:rsidR="008D41E2">
        <w:t>7a</w:t>
      </w:r>
      <w:r>
        <w:t xml:space="preserve">), </w:t>
      </w:r>
      <w:proofErr w:type="spellStart"/>
      <w:r>
        <w:t>Turri</w:t>
      </w:r>
      <w:proofErr w:type="spellEnd"/>
      <w:r>
        <w:t xml:space="preserve"> et al. (2015) found that participants attributed knowledge in Gettier-type cases at rates similar to cases of justified true belief. In a large-scale, cross-cultural conceptual replication of </w:t>
      </w:r>
      <w:proofErr w:type="spellStart"/>
      <w:r>
        <w:t>Turri</w:t>
      </w:r>
      <w:proofErr w:type="spellEnd"/>
      <w:r>
        <w:t xml:space="preserve"> and colleagues’ (2015) Experiment 1 (</w:t>
      </w:r>
      <w:r>
        <w:rPr>
          <w:i/>
        </w:rPr>
        <w:t xml:space="preserve">N </w:t>
      </w:r>
      <w:r>
        <w:t xml:space="preserve">= 4724), we failed to replicate this null result using a within-subjects design and three vignettes across 19 geopolitical regions. Instead, participants demonstrated Gettier intuitions; they were 1.86 times more likely to attribute knowledge to protagonists in standard cases of justified true belief than to protagonists in Gettier-type cases. These results suggest that Gettier intuitions may be common across different scenarios and cultural contexts. When assessing the knowledge of others, lay people may rely on a shared set of epistemic intuitions (i.e., a core folk epistemology) that requires more than simply justification, belief, and truth. However, the size of the Gettier intuition effect did vary by vignette, and the </w:t>
      </w:r>
      <w:proofErr w:type="spellStart"/>
      <w:r>
        <w:t>Turri</w:t>
      </w:r>
      <w:proofErr w:type="spellEnd"/>
      <w:r>
        <w:t xml:space="preserve"> et al. (2015) vignette produced the smallest effect. Thus, epistemic intuitions may also depend on contextual factors unrelated to the criteria of knowledge, such as the characteristics of the protagonist being evaluated. </w:t>
      </w:r>
    </w:p>
    <w:p w14:paraId="600E34C4" w14:textId="77777777" w:rsidR="00653524" w:rsidRDefault="00653524" w:rsidP="00653524">
      <w:r>
        <w:rPr>
          <w:i/>
        </w:rPr>
        <w:t>Keywords:</w:t>
      </w:r>
      <w:r>
        <w:t xml:space="preserve"> Folk epistemology, Beliefs, Social cognition, Epistemic intuitions, Justified True Belief, Multilevel modeling, </w:t>
      </w:r>
      <w:proofErr w:type="spellStart"/>
      <w:r>
        <w:t>Multilab</w:t>
      </w:r>
      <w:proofErr w:type="spellEnd"/>
      <w:r>
        <w:t>, Replication</w:t>
      </w:r>
      <w:r>
        <w:br w:type="page"/>
      </w:r>
    </w:p>
    <w:p w14:paraId="1C0B36E5" w14:textId="77777777" w:rsidR="00653524" w:rsidRDefault="00653524" w:rsidP="00653524">
      <w:pPr>
        <w:jc w:val="center"/>
        <w:rPr>
          <w:b/>
        </w:rPr>
      </w:pPr>
      <w:r>
        <w:rPr>
          <w:b/>
        </w:rPr>
        <w:lastRenderedPageBreak/>
        <w:t xml:space="preserve">Registered Replication Report: </w:t>
      </w:r>
      <w:proofErr w:type="spellStart"/>
      <w:r>
        <w:rPr>
          <w:b/>
        </w:rPr>
        <w:t>Turri</w:t>
      </w:r>
      <w:proofErr w:type="spellEnd"/>
      <w:r>
        <w:rPr>
          <w:b/>
        </w:rPr>
        <w:t xml:space="preserve">, Buckwalter, &amp; </w:t>
      </w:r>
      <w:proofErr w:type="spellStart"/>
      <w:r>
        <w:rPr>
          <w:b/>
        </w:rPr>
        <w:t>Blouw</w:t>
      </w:r>
      <w:proofErr w:type="spellEnd"/>
      <w:r>
        <w:rPr>
          <w:b/>
        </w:rPr>
        <w:t xml:space="preserve"> (2015)</w:t>
      </w:r>
    </w:p>
    <w:p w14:paraId="7545B40C" w14:textId="7F2EA324" w:rsidR="00653524" w:rsidRDefault="00653524" w:rsidP="00653524">
      <w:pPr>
        <w:ind w:firstLine="720"/>
      </w:pPr>
      <w:r>
        <w:t xml:space="preserve">The Justified True Belief (JTB) account of knowledge (or alternative versions of it) has been an important explanation of propositional knowledge in Western thinking for the past two millennia (e.g., </w:t>
      </w:r>
      <w:proofErr w:type="spellStart"/>
      <w:r>
        <w:t>Jacquette</w:t>
      </w:r>
      <w:proofErr w:type="spellEnd"/>
      <w:r>
        <w:t>, 1996; Moser, 2002), although many have challenged how widely accepted it has truly been (</w:t>
      </w:r>
      <w:proofErr w:type="spellStart"/>
      <w:r>
        <w:t>Dutant</w:t>
      </w:r>
      <w:proofErr w:type="spellEnd"/>
      <w:r>
        <w:t xml:space="preserve">, 2015; </w:t>
      </w:r>
      <w:proofErr w:type="spellStart"/>
      <w:r>
        <w:t>Turri</w:t>
      </w:r>
      <w:proofErr w:type="spellEnd"/>
      <w:r>
        <w:t>, 2016). The JTB analysis states that a claim, or proposition, is considered knowledge if it meets three conditions (Gettier, 1963). Specifically, a person (</w:t>
      </w:r>
      <w:r>
        <w:rPr>
          <w:i/>
        </w:rPr>
        <w:t>S</w:t>
      </w:r>
      <w:r>
        <w:t>) knows a proposition (</w:t>
      </w:r>
      <w:r>
        <w:rPr>
          <w:i/>
        </w:rPr>
        <w:t>p</w:t>
      </w:r>
      <w:r>
        <w:t>), if and only if:</w:t>
      </w:r>
    </w:p>
    <w:p w14:paraId="0E192DCB" w14:textId="77777777" w:rsidR="00653524" w:rsidRDefault="00653524" w:rsidP="00653524">
      <w:pPr>
        <w:ind w:left="720"/>
      </w:pPr>
      <w:r>
        <w:t>(</w:t>
      </w:r>
      <w:proofErr w:type="spellStart"/>
      <w:r>
        <w:t>i</w:t>
      </w:r>
      <w:proofErr w:type="spellEnd"/>
      <w:r>
        <w:t xml:space="preserve">) </w:t>
      </w:r>
      <w:r>
        <w:rPr>
          <w:i/>
        </w:rPr>
        <w:t xml:space="preserve">S </w:t>
      </w:r>
      <w:r>
        <w:t xml:space="preserve">believes that </w:t>
      </w:r>
      <w:r>
        <w:rPr>
          <w:i/>
        </w:rPr>
        <w:t>p</w:t>
      </w:r>
      <w:r>
        <w:t xml:space="preserve"> is true,</w:t>
      </w:r>
    </w:p>
    <w:p w14:paraId="76FE7AEB" w14:textId="77777777" w:rsidR="00653524" w:rsidRDefault="00653524" w:rsidP="00653524">
      <w:pPr>
        <w:ind w:firstLine="720"/>
      </w:pPr>
      <w:r>
        <w:t>(ii)</w:t>
      </w:r>
      <w:r>
        <w:rPr>
          <w:i/>
        </w:rPr>
        <w:t xml:space="preserve"> p</w:t>
      </w:r>
      <w:r>
        <w:t xml:space="preserve"> is in fact true, and </w:t>
      </w:r>
    </w:p>
    <w:p w14:paraId="1BBE6FBA" w14:textId="77777777" w:rsidR="00653524" w:rsidRDefault="00653524" w:rsidP="00653524">
      <w:pPr>
        <w:spacing w:after="200"/>
        <w:ind w:firstLine="720"/>
        <w:rPr>
          <w:i/>
        </w:rPr>
      </w:pPr>
      <w:r>
        <w:t>(iii)</w:t>
      </w:r>
      <w:r>
        <w:rPr>
          <w:i/>
        </w:rPr>
        <w:t xml:space="preserve"> S</w:t>
      </w:r>
      <w:r>
        <w:t xml:space="preserve"> is justified in believing </w:t>
      </w:r>
      <w:r>
        <w:rPr>
          <w:i/>
        </w:rPr>
        <w:t xml:space="preserve">p </w:t>
      </w:r>
      <w:r>
        <w:t>is true</w:t>
      </w:r>
      <w:r>
        <w:rPr>
          <w:i/>
        </w:rPr>
        <w:t>.</w:t>
      </w:r>
    </w:p>
    <w:p w14:paraId="73D0EAD7" w14:textId="77777777" w:rsidR="00653524" w:rsidRDefault="00653524" w:rsidP="00653524">
      <w:r>
        <w:t xml:space="preserve">In other words, to know something, people not only must believe a claim that is indeed true; they also must have sufficient reason for believing the claim to be true. Specifically, to know something, people must believe a true claim that was reasonably inferred from an observation or </w:t>
      </w:r>
      <w:r>
        <w:rPr>
          <w:i/>
        </w:rPr>
        <w:t>entailed proposition</w:t>
      </w:r>
      <w:r>
        <w:t xml:space="preserve"> (i.e., a truth claim that is used to infer the truth of a subsequent claim). Thus, a lucky guess that happens to reflect the truth should not be considered knowledge. However, many philosophers have argued that people’s </w:t>
      </w:r>
      <w:r>
        <w:rPr>
          <w:i/>
        </w:rPr>
        <w:t>epistemic intuitions</w:t>
      </w:r>
      <w:r>
        <w:t xml:space="preserve"> (i.e., intuitions about knowledge) rely on more than just the presence of justified true belief. Accordingly, they have investigated the extent to which other factors, such as luck, may play a crucial role in lay epistemology. </w:t>
      </w:r>
    </w:p>
    <w:p w14:paraId="30CE23C1" w14:textId="06EF75E8" w:rsidR="00653524" w:rsidRDefault="00653524" w:rsidP="00653524">
      <w:pPr>
        <w:ind w:firstLine="720"/>
      </w:pPr>
      <w:r>
        <w:t xml:space="preserve">Prior work suggests that people generally exhibit Gettier intuitions, possibly across different cultures and languages, for at least some Gettier-type cases. Such findings indicate that people's conception of knowledge requires more than justification, truth, and belief (e.g., </w:t>
      </w:r>
      <w:proofErr w:type="spellStart"/>
      <w:r>
        <w:t>Machery</w:t>
      </w:r>
      <w:proofErr w:type="spellEnd"/>
      <w:r>
        <w:t xml:space="preserve"> et al., 201</w:t>
      </w:r>
      <w:r w:rsidR="008D41E2">
        <w:t>7a</w:t>
      </w:r>
      <w:r>
        <w:t>, 2017</w:t>
      </w:r>
      <w:r w:rsidR="008D41E2">
        <w:t>b</w:t>
      </w:r>
      <w:r>
        <w:t xml:space="preserve">; Nagel, San Juan, et al., 2013; </w:t>
      </w:r>
      <w:proofErr w:type="spellStart"/>
      <w:r>
        <w:t>Starmans</w:t>
      </w:r>
      <w:proofErr w:type="spellEnd"/>
      <w:r>
        <w:t xml:space="preserve"> &amp; Friedman, 2012). </w:t>
      </w:r>
      <w:r>
        <w:lastRenderedPageBreak/>
        <w:t>However, past results have been mixed (e.g., Powell</w:t>
      </w:r>
      <w:r w:rsidR="00054587">
        <w:t xml:space="preserve"> et al.</w:t>
      </w:r>
      <w:r>
        <w:t xml:space="preserve">, 2015). In a study by </w:t>
      </w:r>
      <w:proofErr w:type="spellStart"/>
      <w:r>
        <w:t>Machery</w:t>
      </w:r>
      <w:proofErr w:type="spellEnd"/>
      <w:r>
        <w:t xml:space="preserve"> et al. (201</w:t>
      </w:r>
      <w:r w:rsidR="008D41E2">
        <w:t>7a</w:t>
      </w:r>
      <w:r>
        <w:t xml:space="preserve">), participants attributed knowledge to protagonists in cases of luckily true justified belief (i.e., Gettier-type cases) significantly less than in clear cases of true justified belief. </w:t>
      </w:r>
      <w:proofErr w:type="spellStart"/>
      <w:r>
        <w:t>Colaço</w:t>
      </w:r>
      <w:proofErr w:type="spellEnd"/>
      <w:r>
        <w:t xml:space="preserve"> et al. (2014) also found that participants were significantly less likely to attribute knowledge in a Gettier-type case than in a similarly matched knowledge control case. </w:t>
      </w:r>
    </w:p>
    <w:p w14:paraId="6F3E8172" w14:textId="77777777" w:rsidR="00653524" w:rsidRDefault="00653524" w:rsidP="00653524">
      <w:pPr>
        <w:rPr>
          <w:b/>
        </w:rPr>
      </w:pPr>
      <w:r>
        <w:rPr>
          <w:b/>
        </w:rPr>
        <w:t>Figure 1</w:t>
      </w:r>
    </w:p>
    <w:p w14:paraId="4BF8E68D" w14:textId="77777777" w:rsidR="00653524" w:rsidRDefault="00653524" w:rsidP="00653524">
      <w:pPr>
        <w:rPr>
          <w:i/>
        </w:rPr>
      </w:pPr>
      <w:r>
        <w:rPr>
          <w:i/>
        </w:rPr>
        <w:t xml:space="preserve">Results of </w:t>
      </w:r>
      <w:proofErr w:type="spellStart"/>
      <w:r>
        <w:rPr>
          <w:i/>
        </w:rPr>
        <w:t>Turri</w:t>
      </w:r>
      <w:proofErr w:type="spellEnd"/>
      <w:r>
        <w:rPr>
          <w:i/>
        </w:rPr>
        <w:t xml:space="preserve"> et al. (2015), Experiment 1</w:t>
      </w:r>
    </w:p>
    <w:p w14:paraId="26B19E0B" w14:textId="7BBC49DD" w:rsidR="00653524" w:rsidRDefault="00CE50FA" w:rsidP="00653524">
      <w:pPr>
        <w:pStyle w:val="Heading3"/>
        <w:rPr>
          <w:color w:val="000000"/>
        </w:rPr>
      </w:pPr>
      <w:r>
        <w:rPr>
          <w:noProof/>
        </w:rPr>
        <w:drawing>
          <wp:inline distT="114300" distB="114300" distL="114300" distR="114300" wp14:anchorId="016A8E83" wp14:editId="37974AE5">
            <wp:extent cx="5943600" cy="3606800"/>
            <wp:effectExtent l="0" t="0" r="0" b="0"/>
            <wp:docPr id="8" name="image2.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2.png" descr="Shape, rectangle&#10;&#10;Description automatically generated"/>
                    <pic:cNvPicPr preferRelativeResize="0"/>
                  </pic:nvPicPr>
                  <pic:blipFill>
                    <a:blip r:embed="rId9"/>
                    <a:srcRect/>
                    <a:stretch>
                      <a:fillRect/>
                    </a:stretch>
                  </pic:blipFill>
                  <pic:spPr>
                    <a:xfrm>
                      <a:off x="0" y="0"/>
                      <a:ext cx="5943600" cy="3606800"/>
                    </a:xfrm>
                    <a:prstGeom prst="rect">
                      <a:avLst/>
                    </a:prstGeom>
                    <a:ln/>
                  </pic:spPr>
                </pic:pic>
              </a:graphicData>
            </a:graphic>
          </wp:inline>
        </w:drawing>
      </w:r>
    </w:p>
    <w:p w14:paraId="0708D847" w14:textId="77777777" w:rsidR="00653524" w:rsidRDefault="00653524" w:rsidP="00653524">
      <w:pPr>
        <w:pStyle w:val="Heading3"/>
        <w:rPr>
          <w:color w:val="000000"/>
        </w:rPr>
      </w:pPr>
      <w:bookmarkStart w:id="3" w:name="_9tdniatrj4i" w:colFirst="0" w:colLast="0"/>
      <w:bookmarkEnd w:id="3"/>
      <w:r>
        <w:rPr>
          <w:color w:val="000000"/>
        </w:rPr>
        <w:t xml:space="preserve">Differences from </w:t>
      </w:r>
      <w:proofErr w:type="spellStart"/>
      <w:r>
        <w:rPr>
          <w:color w:val="000000"/>
        </w:rPr>
        <w:t>Turri</w:t>
      </w:r>
      <w:proofErr w:type="spellEnd"/>
      <w:r>
        <w:rPr>
          <w:color w:val="000000"/>
        </w:rPr>
        <w:t xml:space="preserve"> et al. (2015)</w:t>
      </w:r>
    </w:p>
    <w:p w14:paraId="795DCBD2" w14:textId="77777777" w:rsidR="00653524" w:rsidRDefault="00653524" w:rsidP="00653524">
      <w:pPr>
        <w:ind w:firstLine="720"/>
      </w:pPr>
      <w:r>
        <w:t xml:space="preserve">Past experimental philosophy research provides several methodological explanations for inconsistencies in Gettier intuition research, such as design, measurement, and culture. We modified the original </w:t>
      </w:r>
      <w:proofErr w:type="spellStart"/>
      <w:r>
        <w:t>Turri</w:t>
      </w:r>
      <w:proofErr w:type="spellEnd"/>
      <w:r>
        <w:t xml:space="preserve"> et al. (2015) study to address these concerns.</w:t>
      </w:r>
    </w:p>
    <w:p w14:paraId="1E6121B1" w14:textId="3B359397" w:rsidR="00653524" w:rsidRDefault="00653524" w:rsidP="00653524">
      <w:pPr>
        <w:ind w:firstLine="720"/>
      </w:pPr>
      <w:r>
        <w:rPr>
          <w:b/>
        </w:rPr>
        <w:lastRenderedPageBreak/>
        <w:t xml:space="preserve">Design considerations. </w:t>
      </w:r>
      <w:r>
        <w:t>The current consensus for explaining inconsistencies in Gettier intuition research is that the structure of Gettier-type cases varies depending on the tested vignette (</w:t>
      </w:r>
      <w:proofErr w:type="spellStart"/>
      <w:r>
        <w:t>Turri</w:t>
      </w:r>
      <w:proofErr w:type="spellEnd"/>
      <w:r>
        <w:t xml:space="preserve">, 2016). The two original counterexamples Gettier used in his 1963 paper each describe a protagonist who forms an initial justified but false belief from which a true claim is then inferred, much like the following scenario: Person </w:t>
      </w:r>
      <w:r>
        <w:rPr>
          <w:i/>
        </w:rPr>
        <w:t>S</w:t>
      </w:r>
      <w:r>
        <w:t xml:space="preserve"> reasonably believes that a shop sells only real diamonds. Person </w:t>
      </w:r>
      <w:r>
        <w:rPr>
          <w:i/>
        </w:rPr>
        <w:t>S</w:t>
      </w:r>
      <w:r>
        <w:t xml:space="preserve"> then makes an inference from this justified false belief that the gem they want to buy is a real diamond because it is being sold in the shop they believe only sells real diamonds (Nagel, San Juan, et al., 2013). However, the shop in question actually mostly only sells cubic zirconia stones, dishonestly designed to look just like diamonds. Therefore, Person </w:t>
      </w:r>
      <w:r>
        <w:rPr>
          <w:i/>
        </w:rPr>
        <w:t>S</w:t>
      </w:r>
      <w:r>
        <w:t>’s original justified belief that “This shop sells only real diamonds”' is false. Despite this false premise though, Person</w:t>
      </w:r>
      <w:r>
        <w:rPr>
          <w:i/>
        </w:rPr>
        <w:t xml:space="preserve"> S</w:t>
      </w:r>
      <w:r>
        <w:t xml:space="preserve"> unwittingly chooses to buy the one and only real diamond in the store. So, while the initial justified belief (“This shop sells only real diamonds”) turned out to be false, the resulting inferred belief (“This diamond is a real diamond”) still turned out to be a true claim (Nagel, San Juan, et al., 2013). </w:t>
      </w:r>
    </w:p>
    <w:p w14:paraId="0F563415" w14:textId="6EED753D" w:rsidR="00653524" w:rsidRDefault="00653524" w:rsidP="00653524">
      <w:pPr>
        <w:ind w:firstLine="720"/>
      </w:pPr>
      <w:r>
        <w:rPr>
          <w:b/>
        </w:rPr>
        <w:t xml:space="preserve">Measurement considerations. </w:t>
      </w:r>
      <w:r>
        <w:t>Subsequent research by one of the original authors of our chosen experiment employed a scaled measure of knowledge attribution (</w:t>
      </w:r>
      <w:proofErr w:type="spellStart"/>
      <w:r>
        <w:t>Turri</w:t>
      </w:r>
      <w:proofErr w:type="spellEnd"/>
      <w:r>
        <w:t>, 2016); this follow-up study found a small difference in participant knowledge attributions between a Gettier experimental condition and an appropriately matched knowledge control condition that was not found in the original experiment. In personal correspondence (</w:t>
      </w:r>
      <w:proofErr w:type="spellStart"/>
      <w:r>
        <w:t>J.Turri</w:t>
      </w:r>
      <w:proofErr w:type="spellEnd"/>
      <w:r>
        <w:t xml:space="preserve">, personal communication, March 10, 2018), </w:t>
      </w:r>
      <w:proofErr w:type="spellStart"/>
      <w:r>
        <w:t>Turri</w:t>
      </w:r>
      <w:proofErr w:type="spellEnd"/>
      <w:r>
        <w:t xml:space="preserve"> stated that the knowledge control and the Gettier-type case condition may not have produced difference in attributed knowledge in the to be replicated study [χ</w:t>
      </w:r>
      <w:r>
        <w:rPr>
          <w:vertAlign w:val="superscript"/>
        </w:rPr>
        <w:t>2</w:t>
      </w:r>
      <w:r>
        <w:t xml:space="preserve">(1, </w:t>
      </w:r>
      <w:r>
        <w:rPr>
          <w:i/>
        </w:rPr>
        <w:t>N</w:t>
      </w:r>
      <w:r>
        <w:t xml:space="preserve"> = 98) = 2.63, Fisher’s exact </w:t>
      </w:r>
      <w:r>
        <w:rPr>
          <w:i/>
        </w:rPr>
        <w:t>p</w:t>
      </w:r>
      <w:r>
        <w:t xml:space="preserve"> = .164, </w:t>
      </w:r>
      <w:proofErr w:type="spellStart"/>
      <w:r>
        <w:t>Cramér’s</w:t>
      </w:r>
      <w:proofErr w:type="spellEnd"/>
      <w:r>
        <w:t xml:space="preserve"> </w:t>
      </w:r>
      <w:r>
        <w:rPr>
          <w:i/>
        </w:rPr>
        <w:t>V</w:t>
      </w:r>
      <w:r>
        <w:t xml:space="preserve"> = .164; Gettier intuition not supported] due to the binary format of the knowledge probe and the study’s underpowered sample size. </w:t>
      </w:r>
      <w:proofErr w:type="spellStart"/>
      <w:r>
        <w:t>Turri</w:t>
      </w:r>
      <w:proofErr w:type="spellEnd"/>
      <w:r>
        <w:t xml:space="preserve"> also </w:t>
      </w:r>
      <w:r>
        <w:lastRenderedPageBreak/>
        <w:t>noted that closely matched knowledge control and Gettier condition comparisons do sometimes reveal a small statistically significant difference but did not provide examples (</w:t>
      </w:r>
      <w:proofErr w:type="spellStart"/>
      <w:r>
        <w:t>J.Turri</w:t>
      </w:r>
      <w:proofErr w:type="spellEnd"/>
      <w:r>
        <w:t xml:space="preserve">, personal communication, March 10, 2018). To address these validity concerns, we employed a visual analogue scale (0-100) in lieu of the original binary (i.e., knows/only believes) response variable. Visual analogue scales (VAS) may be as efficacious as Likert-type response scales and provide more fine-grained data for analysis via parametric statistics than alternatives by allowing for more variability in responding (Bishop &amp; Herron, 2015). Although using a VAS departs from the original study, and from how these kinds of judgments are typically made in everyday life, our pretest using a VAS found that participants responded to the control conditions in the expected way with this measure (knowledge controls and ignorance controls demonstrated paradigmatic rates, see </w:t>
      </w:r>
      <w:hyperlink r:id="rId10">
        <w:r>
          <w:rPr>
            <w:color w:val="1155CC"/>
            <w:u w:val="single"/>
          </w:rPr>
          <w:t>https://osf.io/3ygsk/</w:t>
        </w:r>
      </w:hyperlink>
      <w:r>
        <w:t xml:space="preserve">). </w:t>
      </w:r>
    </w:p>
    <w:p w14:paraId="7918C69E" w14:textId="472C8C03" w:rsidR="00653524" w:rsidRDefault="00653524" w:rsidP="00653524">
      <w:pPr>
        <w:ind w:firstLine="720"/>
      </w:pPr>
      <w:r>
        <w:rPr>
          <w:b/>
        </w:rPr>
        <w:t xml:space="preserve">Cultural considerations. </w:t>
      </w:r>
      <w:r>
        <w:t xml:space="preserve">Researchers have identified potential cultural sources of variation in knowledge attribution (e.g., Buckwalter &amp; Stich, 2010; Kim &amp; Yuan, 2015; </w:t>
      </w:r>
      <w:proofErr w:type="spellStart"/>
      <w:r>
        <w:t>Machery</w:t>
      </w:r>
      <w:proofErr w:type="spellEnd"/>
      <w:r>
        <w:t xml:space="preserve"> et al., 201</w:t>
      </w:r>
      <w:r w:rsidR="008D41E2">
        <w:t>7a</w:t>
      </w:r>
      <w:r>
        <w:t>, 2017</w:t>
      </w:r>
      <w:r w:rsidR="008D41E2">
        <w:t>b</w:t>
      </w:r>
      <w:r>
        <w:t>; Nagel, San Juan, et al., 2013; Nichols et al.</w:t>
      </w:r>
      <w:r w:rsidR="00CA24CF">
        <w:t>,</w:t>
      </w:r>
      <w:r>
        <w:t xml:space="preserve"> 2003; </w:t>
      </w:r>
      <w:proofErr w:type="spellStart"/>
      <w:r>
        <w:t>Seyedsayamdost</w:t>
      </w:r>
      <w:proofErr w:type="spellEnd"/>
      <w:r>
        <w:t xml:space="preserve">, 2015; </w:t>
      </w:r>
      <w:proofErr w:type="spellStart"/>
      <w:r>
        <w:t>Turri</w:t>
      </w:r>
      <w:proofErr w:type="spellEnd"/>
      <w:r>
        <w:t xml:space="preserve">, 2013; </w:t>
      </w:r>
      <w:proofErr w:type="spellStart"/>
      <w:r>
        <w:t>Turri</w:t>
      </w:r>
      <w:proofErr w:type="spellEnd"/>
      <w:r>
        <w:t xml:space="preserve"> et al., 2015; Weinberg et al., 2001). For example, Weinberg et al. (2001) reported evidence that participants with Western cultural backgrounds demonstrate Gettier intuitions more often than participants with Eastern cultural backgrounds. However, this preliminary study was underpowered and lacked control conditions; subsequent cross-cultural studies (that also lacked matched controls) found no such cultural differences (e.g., </w:t>
      </w:r>
      <w:proofErr w:type="spellStart"/>
      <w:r>
        <w:t>Machery</w:t>
      </w:r>
      <w:proofErr w:type="spellEnd"/>
      <w:r>
        <w:t xml:space="preserve"> et al., 201</w:t>
      </w:r>
      <w:r w:rsidR="000C2969">
        <w:t>7a</w:t>
      </w:r>
      <w:r>
        <w:t>, 2017</w:t>
      </w:r>
      <w:r w:rsidR="000C2969">
        <w:t>b</w:t>
      </w:r>
      <w:r>
        <w:t xml:space="preserve">; </w:t>
      </w:r>
      <w:proofErr w:type="spellStart"/>
      <w:r>
        <w:t>Seyedsayamdost</w:t>
      </w:r>
      <w:proofErr w:type="spellEnd"/>
      <w:r>
        <w:t xml:space="preserve">, 2015). In one of the largest of these cross-cultural studies, </w:t>
      </w:r>
      <w:proofErr w:type="spellStart"/>
      <w:r>
        <w:t>Machery</w:t>
      </w:r>
      <w:proofErr w:type="spellEnd"/>
      <w:r>
        <w:t xml:space="preserve"> and colleagues (201</w:t>
      </w:r>
      <w:r w:rsidR="000C2969">
        <w:t>7a</w:t>
      </w:r>
      <w:r>
        <w:t xml:space="preserve">) provided evidence that people exhibit Gettier intuitions across quite different cultures and languages (i.e., USA, Brazil, India, and Japan); they argued that </w:t>
      </w:r>
      <w:r>
        <w:lastRenderedPageBreak/>
        <w:t>humans have a “species-typical core folk epistemology” wherein justification, truth, and belief are insufficient for knowledge attribution (</w:t>
      </w:r>
      <w:proofErr w:type="spellStart"/>
      <w:r>
        <w:t>Machery</w:t>
      </w:r>
      <w:proofErr w:type="spellEnd"/>
      <w:r>
        <w:t xml:space="preserve"> et al., 201</w:t>
      </w:r>
      <w:r w:rsidR="000C2969">
        <w:t>7a</w:t>
      </w:r>
      <w:r>
        <w:t>, pp. 12).</w:t>
      </w:r>
    </w:p>
    <w:p w14:paraId="4688960E" w14:textId="77777777" w:rsidR="00653524" w:rsidRDefault="00653524" w:rsidP="00653524">
      <w:pPr>
        <w:pStyle w:val="Heading3"/>
        <w:rPr>
          <w:color w:val="000000"/>
        </w:rPr>
      </w:pPr>
      <w:r>
        <w:rPr>
          <w:color w:val="000000"/>
        </w:rPr>
        <w:t>Pedagogical Goals</w:t>
      </w:r>
    </w:p>
    <w:p w14:paraId="04FBEB8C" w14:textId="77777777" w:rsidR="00E03554" w:rsidRDefault="00DF0CFA">
      <w:pPr>
        <w:ind w:firstLine="720"/>
      </w:pPr>
      <w:r>
        <w:t>The PSA is an international network of collaborators with a mission to expedite the accumulation of reliable and generalizable evidence in psychological science (</w:t>
      </w:r>
      <w:proofErr w:type="spellStart"/>
      <w:r>
        <w:t>Moshontz</w:t>
      </w:r>
      <w:proofErr w:type="spellEnd"/>
      <w:r>
        <w:t xml:space="preserve"> et al., 2018). The CREP and PSA partnership involved the CREP selecting a study, developing materials, and overseeing the quality of the replications using standard CREP procedures, while utilizing the existing PSA network to increase participation among labs. Additionally, the PSA’s extensive network of experts has supported lab recruitment, translations, data management, and navigating international collaborative research.</w:t>
      </w:r>
    </w:p>
    <w:p w14:paraId="4F881461" w14:textId="77777777" w:rsidR="00E03554" w:rsidRDefault="00DF0CFA">
      <w:pPr>
        <w:ind w:firstLine="720"/>
        <w:rPr>
          <w:b/>
          <w:i/>
        </w:rPr>
      </w:pPr>
      <w:r>
        <w:t>While both CREP and PSA have been successful models of multisite collaboration, this project was neither solely a CREP study nor solely a PSA study. The study differed from the typical CREP project in the following ways: 1) it was not a direct replication; 2) it involved a Registered Report; 3) almost all of the data collection was centralized; and 4) students were encouraged but not required to conduct site-level data analysis in order to earn a CREP completion certificate. The study also differed from the typical PSA project in the following ways: 1) it had significant pedagogical goals; 2) some data was collected independently by labs rather than with a centralized survey; and 3) teams were more autonomous in how they implemented the project. At times, methodological decisions pitted scientific priorities against pedagogical priorities and sometimes pedagogy was prioritized. For example, we allowed students to collect data via Qualtrics surveys that they had created themselves, which allowed for more autonomy and opportunities for students to develop skills, but also resulted in some data loss and processing difficulties (see Methods and Appendix A).</w:t>
      </w:r>
    </w:p>
    <w:p w14:paraId="3282A1C2" w14:textId="77777777" w:rsidR="00E03554" w:rsidRDefault="00DF0CFA">
      <w:pPr>
        <w:pStyle w:val="Heading3"/>
        <w:rPr>
          <w:color w:val="000000"/>
        </w:rPr>
      </w:pPr>
      <w:bookmarkStart w:id="4" w:name="_2h4k0p61jwoi" w:colFirst="0" w:colLast="0"/>
      <w:bookmarkEnd w:id="4"/>
      <w:r>
        <w:rPr>
          <w:color w:val="000000"/>
        </w:rPr>
        <w:lastRenderedPageBreak/>
        <w:t>Summary</w:t>
      </w:r>
    </w:p>
    <w:p w14:paraId="5884651E" w14:textId="77777777" w:rsidR="00E03554" w:rsidRDefault="00DF0CFA">
      <w:pPr>
        <w:ind w:firstLine="720"/>
      </w:pPr>
      <w:r>
        <w:t xml:space="preserve">Previous research has produced mixed evidence regarding the presence and size of Gettier intuition effects. Some of this variation may be explained by differences in the design, measurement, and cultural contexts found across previous investigations. Using the "counterfeit object" Gettier-type case, we sought to estimate the effect size of Gettier intuitions across a variety of geo-political contexts while attempting to address methodological concerns (i.e., measurement sensitivity, lack of matched controls, stimulus variation). Our results provided evidence regarding (1) the prevalence of Gettier intuitions among lay-participants, (2) the extent to which Gettier intuitions are shared across cultures, and (3) the stability of Gettier intuitions across similar scenarios with different protagonists in different contexts. </w:t>
      </w:r>
    </w:p>
    <w:p w14:paraId="6A282156" w14:textId="77777777" w:rsidR="00E03554" w:rsidRDefault="00DF0CFA">
      <w:pPr>
        <w:pStyle w:val="Heading1"/>
        <w:keepNext w:val="0"/>
        <w:keepLines w:val="0"/>
        <w:spacing w:before="300" w:line="264" w:lineRule="auto"/>
      </w:pPr>
      <w:bookmarkStart w:id="5" w:name="_7a073a4qob1x" w:colFirst="0" w:colLast="0"/>
      <w:bookmarkEnd w:id="5"/>
      <w:r>
        <w:t>Disclosures</w:t>
      </w:r>
    </w:p>
    <w:p w14:paraId="2093E099" w14:textId="77777777" w:rsidR="00E03554" w:rsidRDefault="00DF0CFA">
      <w:pPr>
        <w:pStyle w:val="Heading2"/>
        <w:rPr>
          <w:color w:val="000000"/>
        </w:rPr>
      </w:pPr>
      <w:bookmarkStart w:id="6" w:name="_k1svevrqi1ym" w:colFirst="0" w:colLast="0"/>
      <w:bookmarkEnd w:id="6"/>
      <w:r>
        <w:rPr>
          <w:color w:val="000000"/>
        </w:rPr>
        <w:t>Preregistration</w:t>
      </w:r>
    </w:p>
    <w:p w14:paraId="641C06D3" w14:textId="77777777" w:rsidR="00E03554" w:rsidRDefault="00DF0CFA">
      <w:pPr>
        <w:pStyle w:val="Heading2"/>
        <w:ind w:firstLine="720"/>
        <w:rPr>
          <w:b w:val="0"/>
          <w:color w:val="000000"/>
        </w:rPr>
      </w:pPr>
      <w:bookmarkStart w:id="7" w:name="_9uxan0l5mw2c" w:colFirst="0" w:colLast="0"/>
      <w:bookmarkEnd w:id="7"/>
      <w:r>
        <w:rPr>
          <w:b w:val="0"/>
          <w:color w:val="000000"/>
        </w:rPr>
        <w:t xml:space="preserve">This study was provisionally accepted as a Registered Replication Report and subsequently pre-registered on the Open Science Framework: </w:t>
      </w:r>
      <w:hyperlink r:id="rId11">
        <w:r>
          <w:rPr>
            <w:b w:val="0"/>
            <w:color w:val="1155CC"/>
            <w:u w:val="single"/>
          </w:rPr>
          <w:t>https://osf.io/n5b3w/</w:t>
        </w:r>
      </w:hyperlink>
      <w:r>
        <w:rPr>
          <w:b w:val="0"/>
          <w:color w:val="000000"/>
        </w:rPr>
        <w:t>.</w:t>
      </w:r>
    </w:p>
    <w:p w14:paraId="223EC42A" w14:textId="77777777" w:rsidR="00E03554" w:rsidRDefault="00DF0CFA">
      <w:pPr>
        <w:pStyle w:val="Heading2"/>
        <w:rPr>
          <w:color w:val="000000"/>
        </w:rPr>
      </w:pPr>
      <w:bookmarkStart w:id="8" w:name="_ctia7xd2o9a2" w:colFirst="0" w:colLast="0"/>
      <w:bookmarkEnd w:id="8"/>
      <w:r>
        <w:rPr>
          <w:color w:val="000000"/>
        </w:rPr>
        <w:t xml:space="preserve">Data, Materials, and Online Resources </w:t>
      </w:r>
    </w:p>
    <w:p w14:paraId="5CF84E3B" w14:textId="77777777" w:rsidR="00E03554" w:rsidRDefault="00DF0CFA">
      <w:pPr>
        <w:spacing w:after="160"/>
        <w:ind w:firstLine="720"/>
      </w:pPr>
      <w:r>
        <w:t>Study materials, de-identified raw data, de-identified data with exclusions, and analysis code are available on our master OSF page (</w:t>
      </w:r>
      <w:hyperlink r:id="rId12">
        <w:r>
          <w:rPr>
            <w:u w:val="single"/>
          </w:rPr>
          <w:t>https://osf.io/n5b3w/</w:t>
        </w:r>
      </w:hyperlink>
      <w:r>
        <w:t>). Most project teams also posted data on their team’s OSF page linked to our master page</w:t>
      </w:r>
    </w:p>
    <w:p w14:paraId="3CDE1882" w14:textId="77777777" w:rsidR="00E03554" w:rsidRDefault="00DF0CFA">
      <w:pPr>
        <w:pStyle w:val="Heading2"/>
        <w:rPr>
          <w:color w:val="000000"/>
        </w:rPr>
      </w:pPr>
      <w:bookmarkStart w:id="9" w:name="_7dtwp5grcs9" w:colFirst="0" w:colLast="0"/>
      <w:bookmarkEnd w:id="9"/>
      <w:r>
        <w:rPr>
          <w:color w:val="000000"/>
        </w:rPr>
        <w:t>Reporting</w:t>
      </w:r>
    </w:p>
    <w:p w14:paraId="2F5EFC5C" w14:textId="15C354A8" w:rsidR="00E03554" w:rsidRDefault="00DF0CFA">
      <w:pPr>
        <w:spacing w:after="160"/>
        <w:ind w:firstLine="720"/>
      </w:pPr>
      <w:r>
        <w:t>We report how we determined our sample size, all data exclusions, all manipulations, and all measures in the study (see Simmons</w:t>
      </w:r>
      <w:r w:rsidR="00CA24CF">
        <w:t xml:space="preserve"> et al.</w:t>
      </w:r>
      <w:r>
        <w:t>, 2011).</w:t>
      </w:r>
    </w:p>
    <w:p w14:paraId="6A0413AF" w14:textId="77777777" w:rsidR="00E03554" w:rsidRDefault="00DF0CFA">
      <w:pPr>
        <w:pStyle w:val="Heading2"/>
        <w:rPr>
          <w:color w:val="000000"/>
        </w:rPr>
      </w:pPr>
      <w:bookmarkStart w:id="10" w:name="_d8qf0svqzl3n" w:colFirst="0" w:colLast="0"/>
      <w:bookmarkEnd w:id="10"/>
      <w:r>
        <w:rPr>
          <w:color w:val="000000"/>
        </w:rPr>
        <w:lastRenderedPageBreak/>
        <w:t>Ethical Approval</w:t>
      </w:r>
    </w:p>
    <w:p w14:paraId="39741E9B" w14:textId="77777777" w:rsidR="00E03554" w:rsidRDefault="00DF0CFA">
      <w:pPr>
        <w:pStyle w:val="Heading1"/>
        <w:ind w:firstLine="720"/>
        <w:jc w:val="left"/>
        <w:rPr>
          <w:b w:val="0"/>
        </w:rPr>
      </w:pPr>
      <w:bookmarkStart w:id="11" w:name="_shh774rh4sh6" w:colFirst="0" w:colLast="0"/>
      <w:bookmarkEnd w:id="11"/>
      <w:r>
        <w:rPr>
          <w:b w:val="0"/>
        </w:rPr>
        <w:t>All contributing project teams were required to submit their local institutional ethics approval (if applicable) prior to data collection as part of their pre-registration and CREP review process.</w:t>
      </w:r>
    </w:p>
    <w:p w14:paraId="36C6E7B7" w14:textId="77777777" w:rsidR="00E03554" w:rsidRDefault="00DF0CFA">
      <w:pPr>
        <w:pStyle w:val="Heading1"/>
      </w:pPr>
      <w:bookmarkStart w:id="12" w:name="_b8etgqq217in" w:colFirst="0" w:colLast="0"/>
      <w:bookmarkEnd w:id="12"/>
      <w:r>
        <w:t>Method</w:t>
      </w:r>
    </w:p>
    <w:p w14:paraId="07B4354B" w14:textId="77777777" w:rsidR="00E03554" w:rsidRDefault="00DF0CFA">
      <w:pPr>
        <w:pStyle w:val="Heading2"/>
        <w:spacing w:after="0"/>
        <w:rPr>
          <w:color w:val="000000"/>
        </w:rPr>
      </w:pPr>
      <w:bookmarkStart w:id="13" w:name="_89yb14tokpxh" w:colFirst="0" w:colLast="0"/>
      <w:bookmarkEnd w:id="13"/>
      <w:r>
        <w:rPr>
          <w:color w:val="000000"/>
        </w:rPr>
        <w:t>Deviations from Provisionally Accepted Protocol</w:t>
      </w:r>
    </w:p>
    <w:p w14:paraId="276D419C" w14:textId="77777777" w:rsidR="00E03554" w:rsidRDefault="00DF0CFA">
      <w:pPr>
        <w:ind w:firstLine="720"/>
      </w:pPr>
      <w:r>
        <w:t xml:space="preserve">The protocol for this study was accepted as a Stage 1 Registered Replication Report </w:t>
      </w:r>
      <w:r>
        <w:rPr>
          <w:color w:val="333333"/>
        </w:rPr>
        <w:t>(</w:t>
      </w:r>
      <w:hyperlink r:id="rId13">
        <w:r>
          <w:rPr>
            <w:color w:val="337AB7"/>
          </w:rPr>
          <w:t>https://psyarxiv.com/zeux9/</w:t>
        </w:r>
      </w:hyperlink>
      <w:r>
        <w:t>; see also Appendix A). In this section, we describe the method as implemented and deviations from the protocol, including minor adjustments to language, corrections of factual inaccuracies, and methodological alterations. The primary deviations from the approved protocol, albeit minor, consisted of changes to study procedure and the analysis plan, due to error and adaptations required for valid statistical inference. As detailed below, we changed the methodology according to how surveys were programmed and implemented, how we operationalized luck attribution, how we measured race/ethnicity, and how we evaluated statistical analyses conducted by student-led teams. A number of aspects were not sufficiently described in the original protocol; we therefore clarified the analysis plan in terms of exclusion criteria, dropping of covariates that indicated whether the study was conducted individually versus in a group setting and in-person versus online, and data assumption checking procedures.</w:t>
      </w:r>
    </w:p>
    <w:p w14:paraId="257ABC77" w14:textId="77777777" w:rsidR="00E03554" w:rsidRDefault="00DF0CFA">
      <w:pPr>
        <w:pStyle w:val="Heading2"/>
        <w:spacing w:after="0"/>
        <w:rPr>
          <w:color w:val="000000"/>
        </w:rPr>
      </w:pPr>
      <w:bookmarkStart w:id="14" w:name="_2m3s6kqconc6" w:colFirst="0" w:colLast="0"/>
      <w:bookmarkEnd w:id="14"/>
      <w:r>
        <w:rPr>
          <w:color w:val="000000"/>
        </w:rPr>
        <w:t>Project Teams</w:t>
      </w:r>
    </w:p>
    <w:p w14:paraId="709CDCF2" w14:textId="77777777" w:rsidR="00E03554" w:rsidRDefault="00DF0CFA">
      <w:pPr>
        <w:ind w:firstLine="720"/>
      </w:pPr>
      <w:r>
        <w:t xml:space="preserve">Each student-led project team prepared a study protocol for approval by a CREP reviewer to ensure quality control. Teams could not contribute to data collection until their protocol was approved. For more information about this process and detailed descriptions of logistical </w:t>
      </w:r>
      <w:r>
        <w:lastRenderedPageBreak/>
        <w:t>considerations, see Appendix A.</w:t>
      </w:r>
      <w:r>
        <w:rPr>
          <w:vertAlign w:val="superscript"/>
        </w:rPr>
        <w:footnoteReference w:id="1"/>
      </w:r>
      <w:r>
        <w:t xml:space="preserve"> In total, 65 student-led teams (i.e., unique teams with OSF pages) signed up to collect data for this project. At one data collection site, multiple student-led project teams completed the project (see Table 1). 51 student-led project teams were approved to begin data collection using CREP procedure guidelines. Only 47 of these teams contributed to the full dataset, which represented 38 data collection sites. Teams were not included in the full dataset either because they did not collect any data (e.g., due to campus closures during the COVID-19 pandemic) or because the data they collected were unusable for analyses (e.g., vignettes were not properly randomized). After applying the participant level exclusions described below, the final dataset included 45 student-led project teams across 37 data collection sites. Of those 45 teams, 22 received completion certificates for completing all pedagogical tasks (e.g., site level analyses).</w:t>
      </w:r>
    </w:p>
    <w:p w14:paraId="4CD52733" w14:textId="77777777" w:rsidR="00E03554" w:rsidRDefault="00E03554">
      <w:pPr>
        <w:rPr>
          <w:b/>
        </w:rPr>
      </w:pPr>
    </w:p>
    <w:p w14:paraId="72A185E1" w14:textId="77777777" w:rsidR="00F04617" w:rsidRDefault="00F04617">
      <w:pPr>
        <w:rPr>
          <w:b/>
        </w:rPr>
        <w:sectPr w:rsidR="00F04617">
          <w:headerReference w:type="default" r:id="rId14"/>
          <w:pgSz w:w="12240" w:h="15840"/>
          <w:pgMar w:top="1440" w:right="1440" w:bottom="1440" w:left="1440" w:header="720" w:footer="720" w:gutter="0"/>
          <w:pgNumType w:start="1"/>
          <w:cols w:space="720"/>
        </w:sectPr>
      </w:pPr>
    </w:p>
    <w:p w14:paraId="3999EB92" w14:textId="77777777" w:rsidR="00F04617" w:rsidRDefault="00F04617" w:rsidP="00F04617">
      <w:pPr>
        <w:rPr>
          <w:b/>
        </w:rPr>
      </w:pPr>
      <w:r>
        <w:rPr>
          <w:b/>
        </w:rPr>
        <w:lastRenderedPageBreak/>
        <w:t>Table 1</w:t>
      </w:r>
    </w:p>
    <w:p w14:paraId="60EF09FE" w14:textId="77777777" w:rsidR="00F04617" w:rsidRDefault="00F04617" w:rsidP="00F04617">
      <w:pPr>
        <w:rPr>
          <w:i/>
        </w:rPr>
      </w:pPr>
      <w:r>
        <w:rPr>
          <w:i/>
        </w:rPr>
        <w:t>Characteristics of Project Teams</w:t>
      </w:r>
    </w:p>
    <w:tbl>
      <w:tblPr>
        <w:tblW w:w="5000" w:type="pct"/>
        <w:tblBorders>
          <w:top w:val="single" w:sz="8" w:space="0" w:color="333333"/>
          <w:left w:val="single" w:sz="8" w:space="0" w:color="333333"/>
          <w:bottom w:val="single" w:sz="8" w:space="0" w:color="333333"/>
          <w:right w:val="single" w:sz="8" w:space="0" w:color="333333"/>
          <w:insideH w:val="single" w:sz="8" w:space="0" w:color="333333"/>
          <w:insideV w:val="single" w:sz="8" w:space="0" w:color="333333"/>
        </w:tblBorders>
        <w:tblLook w:val="0600" w:firstRow="0" w:lastRow="0" w:firstColumn="0" w:lastColumn="0" w:noHBand="1" w:noVBand="1"/>
      </w:tblPr>
      <w:tblGrid>
        <w:gridCol w:w="1164"/>
        <w:gridCol w:w="1630"/>
        <w:gridCol w:w="787"/>
        <w:gridCol w:w="699"/>
        <w:gridCol w:w="833"/>
        <w:gridCol w:w="1434"/>
        <w:gridCol w:w="963"/>
        <w:gridCol w:w="1134"/>
        <w:gridCol w:w="2241"/>
        <w:gridCol w:w="2055"/>
      </w:tblGrid>
      <w:tr w:rsidR="00F04617" w14:paraId="12EDB3FB" w14:textId="77777777" w:rsidTr="00EA09C7">
        <w:trPr>
          <w:trHeight w:val="144"/>
          <w:tblHeader/>
        </w:trPr>
        <w:tc>
          <w:tcPr>
            <w:tcW w:w="450" w:type="pct"/>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4D5F39D4" w14:textId="77777777" w:rsidR="00F04617" w:rsidRPr="004142BD" w:rsidRDefault="00F04617" w:rsidP="00EA09C7">
            <w:pPr>
              <w:widowControl w:val="0"/>
              <w:pBdr>
                <w:top w:val="nil"/>
                <w:left w:val="nil"/>
                <w:bottom w:val="nil"/>
                <w:right w:val="nil"/>
                <w:between w:val="nil"/>
              </w:pBdr>
              <w:shd w:val="clear" w:color="auto" w:fill="auto"/>
              <w:spacing w:line="240" w:lineRule="auto"/>
              <w:jc w:val="center"/>
              <w:rPr>
                <w:sz w:val="22"/>
                <w:szCs w:val="22"/>
              </w:rPr>
            </w:pPr>
            <w:r w:rsidRPr="004142BD">
              <w:rPr>
                <w:sz w:val="22"/>
                <w:szCs w:val="22"/>
              </w:rPr>
              <w:t>Language</w:t>
            </w:r>
          </w:p>
        </w:tc>
        <w:tc>
          <w:tcPr>
            <w:tcW w:w="630" w:type="pct"/>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593A4AB6" w14:textId="77777777" w:rsidR="00F04617" w:rsidRPr="004142BD" w:rsidRDefault="00F04617" w:rsidP="00EA09C7">
            <w:pPr>
              <w:widowControl w:val="0"/>
              <w:pBdr>
                <w:top w:val="nil"/>
                <w:left w:val="nil"/>
                <w:bottom w:val="nil"/>
                <w:right w:val="nil"/>
                <w:between w:val="nil"/>
              </w:pBdr>
              <w:shd w:val="clear" w:color="auto" w:fill="auto"/>
              <w:spacing w:line="240" w:lineRule="auto"/>
              <w:jc w:val="center"/>
              <w:rPr>
                <w:sz w:val="22"/>
                <w:szCs w:val="22"/>
              </w:rPr>
            </w:pPr>
            <w:r w:rsidRPr="004142BD">
              <w:rPr>
                <w:sz w:val="22"/>
                <w:szCs w:val="22"/>
              </w:rPr>
              <w:t>Geopolitical Region</w:t>
            </w:r>
          </w:p>
        </w:tc>
        <w:tc>
          <w:tcPr>
            <w:tcW w:w="304" w:type="pct"/>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2C511A02" w14:textId="77777777" w:rsidR="00F04617" w:rsidRPr="004142BD" w:rsidRDefault="00F04617" w:rsidP="00EA09C7">
            <w:pPr>
              <w:widowControl w:val="0"/>
              <w:pBdr>
                <w:top w:val="nil"/>
                <w:left w:val="nil"/>
                <w:bottom w:val="nil"/>
                <w:right w:val="nil"/>
                <w:between w:val="nil"/>
              </w:pBdr>
              <w:shd w:val="clear" w:color="auto" w:fill="auto"/>
              <w:spacing w:line="240" w:lineRule="auto"/>
              <w:jc w:val="center"/>
              <w:rPr>
                <w:sz w:val="22"/>
                <w:szCs w:val="22"/>
              </w:rPr>
            </w:pPr>
            <w:r w:rsidRPr="004142BD">
              <w:rPr>
                <w:sz w:val="22"/>
                <w:szCs w:val="22"/>
              </w:rPr>
              <w:t># Teams</w:t>
            </w:r>
          </w:p>
        </w:tc>
        <w:tc>
          <w:tcPr>
            <w:tcW w:w="270" w:type="pct"/>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3E5F9C2A" w14:textId="77777777" w:rsidR="00F04617" w:rsidRPr="004142BD" w:rsidRDefault="00F04617" w:rsidP="00EA09C7">
            <w:pPr>
              <w:widowControl w:val="0"/>
              <w:pBdr>
                <w:top w:val="nil"/>
                <w:left w:val="nil"/>
                <w:bottom w:val="nil"/>
                <w:right w:val="nil"/>
                <w:between w:val="nil"/>
              </w:pBdr>
              <w:shd w:val="clear" w:color="auto" w:fill="auto"/>
              <w:spacing w:line="240" w:lineRule="auto"/>
              <w:jc w:val="center"/>
              <w:rPr>
                <w:i/>
                <w:sz w:val="22"/>
                <w:szCs w:val="22"/>
              </w:rPr>
            </w:pPr>
            <w:r w:rsidRPr="004142BD">
              <w:rPr>
                <w:sz w:val="22"/>
                <w:szCs w:val="22"/>
              </w:rPr>
              <w:t xml:space="preserve">Full </w:t>
            </w:r>
            <w:r w:rsidRPr="004142BD">
              <w:rPr>
                <w:i/>
                <w:sz w:val="22"/>
                <w:szCs w:val="22"/>
              </w:rPr>
              <w:t>N</w:t>
            </w:r>
          </w:p>
        </w:tc>
        <w:tc>
          <w:tcPr>
            <w:tcW w:w="322" w:type="pct"/>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74F6BE23" w14:textId="77777777" w:rsidR="00F04617" w:rsidRPr="004142BD" w:rsidRDefault="00F04617" w:rsidP="00EA09C7">
            <w:pPr>
              <w:widowControl w:val="0"/>
              <w:pBdr>
                <w:top w:val="nil"/>
                <w:left w:val="nil"/>
                <w:bottom w:val="nil"/>
                <w:right w:val="nil"/>
                <w:between w:val="nil"/>
              </w:pBdr>
              <w:shd w:val="clear" w:color="auto" w:fill="auto"/>
              <w:spacing w:line="240" w:lineRule="auto"/>
              <w:jc w:val="center"/>
              <w:rPr>
                <w:i/>
                <w:sz w:val="22"/>
                <w:szCs w:val="22"/>
              </w:rPr>
            </w:pPr>
            <w:r w:rsidRPr="004142BD">
              <w:rPr>
                <w:sz w:val="22"/>
                <w:szCs w:val="22"/>
              </w:rPr>
              <w:t xml:space="preserve">Final </w:t>
            </w:r>
            <w:r w:rsidRPr="004142BD">
              <w:rPr>
                <w:i/>
                <w:sz w:val="22"/>
                <w:szCs w:val="22"/>
              </w:rPr>
              <w:t>N</w:t>
            </w:r>
          </w:p>
        </w:tc>
        <w:tc>
          <w:tcPr>
            <w:tcW w:w="554" w:type="pct"/>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38E93E79" w14:textId="77777777" w:rsidR="00F04617" w:rsidRPr="004142BD" w:rsidRDefault="00F04617" w:rsidP="00EA09C7">
            <w:pPr>
              <w:widowControl w:val="0"/>
              <w:pBdr>
                <w:top w:val="nil"/>
                <w:left w:val="nil"/>
                <w:bottom w:val="nil"/>
                <w:right w:val="nil"/>
                <w:between w:val="nil"/>
              </w:pBdr>
              <w:shd w:val="clear" w:color="auto" w:fill="auto"/>
              <w:spacing w:line="240" w:lineRule="auto"/>
              <w:jc w:val="center"/>
              <w:rPr>
                <w:sz w:val="22"/>
                <w:szCs w:val="22"/>
              </w:rPr>
            </w:pPr>
            <w:r w:rsidRPr="004142BD">
              <w:rPr>
                <w:sz w:val="22"/>
                <w:szCs w:val="22"/>
              </w:rPr>
              <w:t>Sample</w:t>
            </w:r>
          </w:p>
        </w:tc>
        <w:tc>
          <w:tcPr>
            <w:tcW w:w="372" w:type="pct"/>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670E883D" w14:textId="77777777" w:rsidR="00F04617" w:rsidRPr="004142BD" w:rsidRDefault="00F04617" w:rsidP="00EA09C7">
            <w:pPr>
              <w:widowControl w:val="0"/>
              <w:pBdr>
                <w:top w:val="nil"/>
                <w:left w:val="nil"/>
                <w:bottom w:val="nil"/>
                <w:right w:val="nil"/>
                <w:between w:val="nil"/>
              </w:pBdr>
              <w:shd w:val="clear" w:color="auto" w:fill="auto"/>
              <w:spacing w:line="240" w:lineRule="auto"/>
              <w:jc w:val="center"/>
              <w:rPr>
                <w:sz w:val="22"/>
                <w:szCs w:val="22"/>
              </w:rPr>
            </w:pPr>
            <w:r w:rsidRPr="004142BD">
              <w:rPr>
                <w:sz w:val="22"/>
                <w:szCs w:val="22"/>
              </w:rPr>
              <w:t>In person?</w:t>
            </w:r>
          </w:p>
        </w:tc>
        <w:tc>
          <w:tcPr>
            <w:tcW w:w="438" w:type="pct"/>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338D75A9" w14:textId="77777777" w:rsidR="00F04617" w:rsidRPr="004142BD" w:rsidRDefault="00F04617" w:rsidP="00EA09C7">
            <w:pPr>
              <w:widowControl w:val="0"/>
              <w:pBdr>
                <w:top w:val="nil"/>
                <w:left w:val="nil"/>
                <w:bottom w:val="nil"/>
                <w:right w:val="nil"/>
                <w:between w:val="nil"/>
              </w:pBdr>
              <w:shd w:val="clear" w:color="auto" w:fill="auto"/>
              <w:spacing w:line="240" w:lineRule="auto"/>
              <w:jc w:val="center"/>
              <w:rPr>
                <w:sz w:val="22"/>
                <w:szCs w:val="22"/>
              </w:rPr>
            </w:pPr>
            <w:r w:rsidRPr="004142BD">
              <w:rPr>
                <w:sz w:val="22"/>
                <w:szCs w:val="22"/>
              </w:rPr>
              <w:t>In a group?</w:t>
            </w:r>
          </w:p>
        </w:tc>
        <w:tc>
          <w:tcPr>
            <w:tcW w:w="866" w:type="pct"/>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54E7A4A4" w14:textId="77777777" w:rsidR="00F04617" w:rsidRPr="004142BD" w:rsidRDefault="00F04617" w:rsidP="00EA09C7">
            <w:pPr>
              <w:widowControl w:val="0"/>
              <w:pBdr>
                <w:top w:val="nil"/>
                <w:left w:val="nil"/>
                <w:bottom w:val="nil"/>
                <w:right w:val="nil"/>
                <w:between w:val="nil"/>
              </w:pBdr>
              <w:shd w:val="clear" w:color="auto" w:fill="auto"/>
              <w:spacing w:line="240" w:lineRule="auto"/>
              <w:jc w:val="center"/>
              <w:rPr>
                <w:sz w:val="22"/>
                <w:szCs w:val="22"/>
              </w:rPr>
            </w:pPr>
            <w:r w:rsidRPr="004142BD">
              <w:rPr>
                <w:sz w:val="22"/>
                <w:szCs w:val="22"/>
              </w:rPr>
              <w:t>Compensation</w:t>
            </w:r>
          </w:p>
        </w:tc>
        <w:tc>
          <w:tcPr>
            <w:tcW w:w="796" w:type="pct"/>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55A41605" w14:textId="77777777" w:rsidR="00F04617" w:rsidRPr="004142BD" w:rsidRDefault="00F04617" w:rsidP="00EA09C7">
            <w:pPr>
              <w:widowControl w:val="0"/>
              <w:pBdr>
                <w:top w:val="nil"/>
                <w:left w:val="nil"/>
                <w:bottom w:val="nil"/>
                <w:right w:val="nil"/>
                <w:between w:val="nil"/>
              </w:pBdr>
              <w:shd w:val="clear" w:color="auto" w:fill="auto"/>
              <w:spacing w:line="240" w:lineRule="auto"/>
              <w:jc w:val="center"/>
              <w:rPr>
                <w:sz w:val="22"/>
                <w:szCs w:val="22"/>
              </w:rPr>
            </w:pPr>
            <w:r w:rsidRPr="004142BD">
              <w:rPr>
                <w:sz w:val="22"/>
                <w:szCs w:val="22"/>
              </w:rPr>
              <w:t>Site-level Analysis</w:t>
            </w:r>
          </w:p>
        </w:tc>
      </w:tr>
      <w:tr w:rsidR="00F04617" w14:paraId="7E61C702" w14:textId="77777777" w:rsidTr="00EA09C7">
        <w:trPr>
          <w:trHeight w:val="144"/>
        </w:trPr>
        <w:tc>
          <w:tcPr>
            <w:tcW w:w="450" w:type="pct"/>
            <w:tcBorders>
              <w:left w:val="single" w:sz="8" w:space="0" w:color="FFFFFF"/>
              <w:bottom w:val="single" w:sz="8" w:space="0" w:color="FFFFFF"/>
              <w:right w:val="single" w:sz="8" w:space="0" w:color="FFFFFF"/>
            </w:tcBorders>
            <w:tcMar>
              <w:top w:w="20" w:type="dxa"/>
              <w:left w:w="20" w:type="dxa"/>
              <w:bottom w:w="100" w:type="dxa"/>
              <w:right w:w="20" w:type="dxa"/>
            </w:tcMar>
          </w:tcPr>
          <w:p w14:paraId="441E68D1" w14:textId="77777777" w:rsidR="00F04617" w:rsidRPr="004142BD" w:rsidRDefault="00F04617" w:rsidP="00EA09C7">
            <w:pPr>
              <w:widowControl w:val="0"/>
              <w:spacing w:line="240" w:lineRule="auto"/>
              <w:jc w:val="center"/>
              <w:rPr>
                <w:sz w:val="22"/>
                <w:szCs w:val="22"/>
              </w:rPr>
            </w:pPr>
            <w:r w:rsidRPr="004142BD">
              <w:rPr>
                <w:sz w:val="22"/>
                <w:szCs w:val="22"/>
              </w:rPr>
              <w:t>Chinese (Traditional)</w:t>
            </w:r>
          </w:p>
        </w:tc>
        <w:tc>
          <w:tcPr>
            <w:tcW w:w="630" w:type="pct"/>
            <w:tcBorders>
              <w:left w:val="single" w:sz="8" w:space="0" w:color="FFFFFF"/>
              <w:bottom w:val="single" w:sz="8" w:space="0" w:color="FFFFFF"/>
              <w:right w:val="single" w:sz="8" w:space="0" w:color="FFFFFF"/>
            </w:tcBorders>
            <w:tcMar>
              <w:top w:w="20" w:type="dxa"/>
              <w:left w:w="20" w:type="dxa"/>
              <w:bottom w:w="100" w:type="dxa"/>
              <w:right w:w="20" w:type="dxa"/>
            </w:tcMar>
          </w:tcPr>
          <w:p w14:paraId="5DA80273" w14:textId="77777777" w:rsidR="00F04617" w:rsidRPr="004142BD" w:rsidRDefault="00F04617" w:rsidP="00EA09C7">
            <w:pPr>
              <w:widowControl w:val="0"/>
              <w:spacing w:line="240" w:lineRule="auto"/>
              <w:jc w:val="center"/>
              <w:rPr>
                <w:sz w:val="22"/>
                <w:szCs w:val="22"/>
              </w:rPr>
            </w:pPr>
            <w:r w:rsidRPr="004142BD">
              <w:rPr>
                <w:sz w:val="22"/>
                <w:szCs w:val="22"/>
              </w:rPr>
              <w:t>Taiwan</w:t>
            </w:r>
          </w:p>
        </w:tc>
        <w:tc>
          <w:tcPr>
            <w:tcW w:w="304" w:type="pct"/>
            <w:tcBorders>
              <w:left w:val="single" w:sz="8" w:space="0" w:color="FFFFFF"/>
              <w:bottom w:val="single" w:sz="8" w:space="0" w:color="FFFFFF"/>
              <w:right w:val="single" w:sz="8" w:space="0" w:color="FFFFFF"/>
            </w:tcBorders>
            <w:tcMar>
              <w:top w:w="20" w:type="dxa"/>
              <w:left w:w="20" w:type="dxa"/>
              <w:bottom w:w="100" w:type="dxa"/>
              <w:right w:w="20" w:type="dxa"/>
            </w:tcMar>
          </w:tcPr>
          <w:p w14:paraId="1172DE88"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left w:val="single" w:sz="8" w:space="0" w:color="FFFFFF"/>
              <w:bottom w:val="single" w:sz="8" w:space="0" w:color="FFFFFF"/>
              <w:right w:val="single" w:sz="8" w:space="0" w:color="FFFFFF"/>
            </w:tcBorders>
            <w:tcMar>
              <w:top w:w="20" w:type="dxa"/>
              <w:left w:w="20" w:type="dxa"/>
              <w:bottom w:w="100" w:type="dxa"/>
              <w:right w:w="20" w:type="dxa"/>
            </w:tcMar>
          </w:tcPr>
          <w:p w14:paraId="7ECFB855" w14:textId="77777777" w:rsidR="00F04617" w:rsidRPr="004142BD" w:rsidRDefault="00F04617" w:rsidP="00EA09C7">
            <w:pPr>
              <w:widowControl w:val="0"/>
              <w:spacing w:line="240" w:lineRule="auto"/>
              <w:jc w:val="center"/>
              <w:rPr>
                <w:sz w:val="22"/>
                <w:szCs w:val="22"/>
              </w:rPr>
            </w:pPr>
            <w:r w:rsidRPr="004142BD">
              <w:rPr>
                <w:sz w:val="22"/>
                <w:szCs w:val="22"/>
              </w:rPr>
              <w:t>452</w:t>
            </w:r>
          </w:p>
        </w:tc>
        <w:tc>
          <w:tcPr>
            <w:tcW w:w="322" w:type="pct"/>
            <w:tcBorders>
              <w:left w:val="single" w:sz="8" w:space="0" w:color="FFFFFF"/>
              <w:bottom w:val="single" w:sz="8" w:space="0" w:color="FFFFFF"/>
              <w:right w:val="single" w:sz="8" w:space="0" w:color="FFFFFF"/>
            </w:tcBorders>
            <w:tcMar>
              <w:top w:w="20" w:type="dxa"/>
              <w:left w:w="20" w:type="dxa"/>
              <w:bottom w:w="100" w:type="dxa"/>
              <w:right w:w="20" w:type="dxa"/>
            </w:tcMar>
          </w:tcPr>
          <w:p w14:paraId="01DF862D" w14:textId="77777777" w:rsidR="00F04617" w:rsidRPr="004142BD" w:rsidRDefault="00F04617" w:rsidP="00EA09C7">
            <w:pPr>
              <w:widowControl w:val="0"/>
              <w:spacing w:line="240" w:lineRule="auto"/>
              <w:jc w:val="center"/>
              <w:rPr>
                <w:sz w:val="22"/>
                <w:szCs w:val="22"/>
              </w:rPr>
            </w:pPr>
            <w:r w:rsidRPr="004142BD">
              <w:rPr>
                <w:sz w:val="22"/>
                <w:szCs w:val="22"/>
              </w:rPr>
              <w:t>89</w:t>
            </w:r>
          </w:p>
        </w:tc>
        <w:tc>
          <w:tcPr>
            <w:tcW w:w="554" w:type="pct"/>
            <w:tcBorders>
              <w:left w:val="single" w:sz="8" w:space="0" w:color="FFFFFF"/>
              <w:bottom w:val="single" w:sz="8" w:space="0" w:color="FFFFFF"/>
              <w:right w:val="single" w:sz="8" w:space="0" w:color="FFFFFF"/>
            </w:tcBorders>
            <w:tcMar>
              <w:top w:w="20" w:type="dxa"/>
              <w:left w:w="20" w:type="dxa"/>
              <w:bottom w:w="100" w:type="dxa"/>
              <w:right w:w="20" w:type="dxa"/>
            </w:tcMar>
          </w:tcPr>
          <w:p w14:paraId="772B1209"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left w:val="single" w:sz="8" w:space="0" w:color="FFFFFF"/>
              <w:bottom w:val="single" w:sz="8" w:space="0" w:color="FFFFFF"/>
              <w:right w:val="single" w:sz="8" w:space="0" w:color="FFFFFF"/>
            </w:tcBorders>
            <w:tcMar>
              <w:top w:w="20" w:type="dxa"/>
              <w:left w:w="20" w:type="dxa"/>
              <w:bottom w:w="100" w:type="dxa"/>
              <w:right w:w="20" w:type="dxa"/>
            </w:tcMar>
          </w:tcPr>
          <w:p w14:paraId="4A5FCB1F"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left w:val="single" w:sz="8" w:space="0" w:color="FFFFFF"/>
              <w:bottom w:val="single" w:sz="8" w:space="0" w:color="FFFFFF"/>
              <w:right w:val="single" w:sz="8" w:space="0" w:color="FFFFFF"/>
            </w:tcBorders>
            <w:tcMar>
              <w:top w:w="20" w:type="dxa"/>
              <w:left w:w="20" w:type="dxa"/>
              <w:bottom w:w="100" w:type="dxa"/>
              <w:right w:w="20" w:type="dxa"/>
            </w:tcMar>
          </w:tcPr>
          <w:p w14:paraId="58004BBD"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left w:val="single" w:sz="8" w:space="0" w:color="FFFFFF"/>
              <w:bottom w:val="single" w:sz="8" w:space="0" w:color="FFFFFF"/>
              <w:right w:val="single" w:sz="8" w:space="0" w:color="FFFFFF"/>
            </w:tcBorders>
            <w:tcMar>
              <w:top w:w="20" w:type="dxa"/>
              <w:left w:w="20" w:type="dxa"/>
              <w:bottom w:w="100" w:type="dxa"/>
              <w:right w:w="20" w:type="dxa"/>
            </w:tcMar>
          </w:tcPr>
          <w:p w14:paraId="1E666595" w14:textId="77777777" w:rsidR="00F04617" w:rsidRPr="004142BD" w:rsidRDefault="00F04617" w:rsidP="00EA09C7">
            <w:pPr>
              <w:widowControl w:val="0"/>
              <w:spacing w:line="240" w:lineRule="auto"/>
              <w:jc w:val="center"/>
              <w:rPr>
                <w:sz w:val="22"/>
                <w:szCs w:val="22"/>
              </w:rPr>
            </w:pPr>
            <w:r w:rsidRPr="004142BD">
              <w:rPr>
                <w:sz w:val="22"/>
                <w:szCs w:val="22"/>
              </w:rPr>
              <w:t>Money</w:t>
            </w:r>
          </w:p>
        </w:tc>
        <w:tc>
          <w:tcPr>
            <w:tcW w:w="796" w:type="pct"/>
            <w:tcBorders>
              <w:left w:val="single" w:sz="8" w:space="0" w:color="FFFFFF"/>
              <w:bottom w:val="single" w:sz="8" w:space="0" w:color="FFFFFF"/>
              <w:right w:val="single" w:sz="8" w:space="0" w:color="FFFFFF"/>
            </w:tcBorders>
            <w:tcMar>
              <w:top w:w="20" w:type="dxa"/>
              <w:left w:w="20" w:type="dxa"/>
              <w:bottom w:w="100" w:type="dxa"/>
              <w:right w:w="20" w:type="dxa"/>
            </w:tcMar>
          </w:tcPr>
          <w:p w14:paraId="5953C963" w14:textId="77777777" w:rsidR="00F04617" w:rsidRPr="004142BD" w:rsidRDefault="00F04617" w:rsidP="00EA09C7">
            <w:pPr>
              <w:widowControl w:val="0"/>
              <w:spacing w:line="240" w:lineRule="auto"/>
              <w:jc w:val="center"/>
              <w:rPr>
                <w:sz w:val="22"/>
                <w:szCs w:val="22"/>
              </w:rPr>
            </w:pPr>
            <w:r w:rsidRPr="004142BD">
              <w:rPr>
                <w:sz w:val="22"/>
                <w:szCs w:val="22"/>
              </w:rPr>
              <w:t>ANOVA (VAS) + Chi-square (binary)</w:t>
            </w:r>
          </w:p>
        </w:tc>
      </w:tr>
      <w:tr w:rsidR="00F04617" w14:paraId="7935DBFF" w14:textId="77777777" w:rsidTr="00EA09C7">
        <w:trPr>
          <w:trHeight w:val="144"/>
        </w:trPr>
        <w:tc>
          <w:tcPr>
            <w:tcW w:w="450" w:type="pct"/>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081C9516" w14:textId="77777777" w:rsidR="00F04617" w:rsidRPr="004142BD" w:rsidRDefault="00F04617" w:rsidP="00EA09C7">
            <w:pPr>
              <w:widowControl w:val="0"/>
              <w:spacing w:line="240" w:lineRule="auto"/>
              <w:jc w:val="center"/>
              <w:rPr>
                <w:sz w:val="22"/>
                <w:szCs w:val="22"/>
              </w:rPr>
            </w:pPr>
            <w:r w:rsidRPr="004142BD">
              <w:rPr>
                <w:sz w:val="22"/>
                <w:szCs w:val="22"/>
              </w:rPr>
              <w:t>English</w:t>
            </w:r>
          </w:p>
        </w:tc>
        <w:tc>
          <w:tcPr>
            <w:tcW w:w="63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B901C1F" w14:textId="77777777" w:rsidR="00F04617" w:rsidRPr="004142BD" w:rsidRDefault="00F04617" w:rsidP="00EA09C7">
            <w:pPr>
              <w:widowControl w:val="0"/>
              <w:spacing w:line="240" w:lineRule="auto"/>
              <w:jc w:val="center"/>
              <w:rPr>
                <w:sz w:val="22"/>
                <w:szCs w:val="22"/>
              </w:rPr>
            </w:pPr>
            <w:r w:rsidRPr="004142BD">
              <w:rPr>
                <w:sz w:val="22"/>
                <w:szCs w:val="22"/>
              </w:rPr>
              <w:t>Australia</w:t>
            </w: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293B4C4"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78AA570" w14:textId="77777777" w:rsidR="00F04617" w:rsidRPr="004142BD" w:rsidRDefault="00F04617" w:rsidP="00EA09C7">
            <w:pPr>
              <w:widowControl w:val="0"/>
              <w:spacing w:line="240" w:lineRule="auto"/>
              <w:jc w:val="center"/>
              <w:rPr>
                <w:sz w:val="22"/>
                <w:szCs w:val="22"/>
              </w:rPr>
            </w:pPr>
            <w:r w:rsidRPr="004142BD">
              <w:rPr>
                <w:sz w:val="22"/>
                <w:szCs w:val="22"/>
              </w:rPr>
              <w:t>215</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CF97243" w14:textId="77777777" w:rsidR="00F04617" w:rsidRPr="004142BD" w:rsidRDefault="00F04617" w:rsidP="00EA09C7">
            <w:pPr>
              <w:widowControl w:val="0"/>
              <w:spacing w:line="240" w:lineRule="auto"/>
              <w:jc w:val="center"/>
              <w:rPr>
                <w:sz w:val="22"/>
                <w:szCs w:val="22"/>
              </w:rPr>
            </w:pPr>
            <w:r w:rsidRPr="004142BD">
              <w:rPr>
                <w:sz w:val="22"/>
                <w:szCs w:val="22"/>
              </w:rPr>
              <w:t>122</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8A12D22"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A4D656B"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6387B35"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FDB8913" w14:textId="77777777" w:rsidR="00F04617" w:rsidRPr="004142BD" w:rsidRDefault="00F04617" w:rsidP="00EA09C7">
            <w:pPr>
              <w:widowControl w:val="0"/>
              <w:spacing w:line="240" w:lineRule="auto"/>
              <w:jc w:val="center"/>
              <w:rPr>
                <w:sz w:val="22"/>
                <w:szCs w:val="22"/>
              </w:rPr>
            </w:pPr>
            <w:r w:rsidRPr="004142BD">
              <w:rPr>
                <w:sz w:val="22"/>
                <w:szCs w:val="22"/>
              </w:rPr>
              <w:t>Credit</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426A287" w14:textId="77777777" w:rsidR="00F04617" w:rsidRPr="004142BD" w:rsidRDefault="00F04617" w:rsidP="00EA09C7">
            <w:pPr>
              <w:widowControl w:val="0"/>
              <w:spacing w:line="240" w:lineRule="auto"/>
              <w:jc w:val="center"/>
              <w:rPr>
                <w:sz w:val="22"/>
                <w:szCs w:val="22"/>
              </w:rPr>
            </w:pPr>
            <w:r w:rsidRPr="004142BD">
              <w:rPr>
                <w:sz w:val="22"/>
                <w:szCs w:val="22"/>
              </w:rPr>
              <w:t>None</w:t>
            </w:r>
          </w:p>
        </w:tc>
      </w:tr>
      <w:tr w:rsidR="00F04617" w14:paraId="2F6C2D7F" w14:textId="77777777" w:rsidTr="00EA09C7">
        <w:trPr>
          <w:trHeight w:val="144"/>
        </w:trPr>
        <w:tc>
          <w:tcPr>
            <w:tcW w:w="450" w:type="pct"/>
            <w:vMerge/>
            <w:tcBorders>
              <w:left w:val="single" w:sz="8" w:space="0" w:color="FFFFFF"/>
              <w:right w:val="single" w:sz="8" w:space="0" w:color="FFFFFF"/>
            </w:tcBorders>
            <w:tcMar>
              <w:top w:w="20" w:type="dxa"/>
              <w:left w:w="20" w:type="dxa"/>
              <w:bottom w:w="100" w:type="dxa"/>
              <w:right w:w="20" w:type="dxa"/>
            </w:tcMar>
          </w:tcPr>
          <w:p w14:paraId="2245C65E" w14:textId="77777777" w:rsidR="00F04617" w:rsidRPr="004142BD" w:rsidRDefault="00F04617" w:rsidP="00EA09C7">
            <w:pPr>
              <w:widowControl w:val="0"/>
              <w:spacing w:line="240" w:lineRule="auto"/>
              <w:jc w:val="center"/>
              <w:rPr>
                <w:sz w:val="22"/>
                <w:szCs w:val="22"/>
              </w:rPr>
            </w:pPr>
          </w:p>
        </w:tc>
        <w:tc>
          <w:tcPr>
            <w:tcW w:w="63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9D7BA05" w14:textId="77777777" w:rsidR="00F04617" w:rsidRPr="004142BD" w:rsidRDefault="00F04617" w:rsidP="00EA09C7">
            <w:pPr>
              <w:widowControl w:val="0"/>
              <w:spacing w:line="240" w:lineRule="auto"/>
              <w:jc w:val="center"/>
              <w:rPr>
                <w:sz w:val="22"/>
                <w:szCs w:val="22"/>
              </w:rPr>
            </w:pP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40842A9"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BF21601" w14:textId="77777777" w:rsidR="00F04617" w:rsidRPr="004142BD" w:rsidRDefault="00F04617" w:rsidP="00EA09C7">
            <w:pPr>
              <w:widowControl w:val="0"/>
              <w:spacing w:line="240" w:lineRule="auto"/>
              <w:jc w:val="center"/>
              <w:rPr>
                <w:sz w:val="22"/>
                <w:szCs w:val="22"/>
              </w:rPr>
            </w:pPr>
            <w:r w:rsidRPr="004142BD">
              <w:rPr>
                <w:sz w:val="22"/>
                <w:szCs w:val="22"/>
              </w:rPr>
              <w:t>165</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142D837" w14:textId="77777777" w:rsidR="00F04617" w:rsidRPr="004142BD" w:rsidRDefault="00F04617" w:rsidP="00EA09C7">
            <w:pPr>
              <w:widowControl w:val="0"/>
              <w:spacing w:line="240" w:lineRule="auto"/>
              <w:jc w:val="center"/>
              <w:rPr>
                <w:sz w:val="22"/>
                <w:szCs w:val="22"/>
              </w:rPr>
            </w:pPr>
            <w:r w:rsidRPr="004142BD">
              <w:rPr>
                <w:sz w:val="22"/>
                <w:szCs w:val="22"/>
              </w:rPr>
              <w:t>119</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C6D8421"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072D123"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FCDFBF7"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C47FACF" w14:textId="77777777" w:rsidR="00F04617" w:rsidRPr="004142BD" w:rsidRDefault="00F04617" w:rsidP="00EA09C7">
            <w:pPr>
              <w:widowControl w:val="0"/>
              <w:spacing w:line="240" w:lineRule="auto"/>
              <w:jc w:val="center"/>
              <w:rPr>
                <w:sz w:val="22"/>
                <w:szCs w:val="22"/>
              </w:rPr>
            </w:pPr>
            <w:r w:rsidRPr="004142BD">
              <w:rPr>
                <w:sz w:val="22"/>
                <w:szCs w:val="22"/>
              </w:rPr>
              <w:t>Credit</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6DCD5D" w14:textId="77777777" w:rsidR="00F04617" w:rsidRPr="004142BD" w:rsidRDefault="00F04617" w:rsidP="00EA09C7">
            <w:pPr>
              <w:widowControl w:val="0"/>
              <w:spacing w:line="240" w:lineRule="auto"/>
              <w:jc w:val="center"/>
              <w:rPr>
                <w:sz w:val="22"/>
                <w:szCs w:val="22"/>
              </w:rPr>
            </w:pPr>
            <w:r w:rsidRPr="004142BD">
              <w:rPr>
                <w:sz w:val="22"/>
                <w:szCs w:val="22"/>
              </w:rPr>
              <w:t>None</w:t>
            </w:r>
          </w:p>
        </w:tc>
      </w:tr>
      <w:tr w:rsidR="00F04617" w14:paraId="6CB71860" w14:textId="77777777" w:rsidTr="00EA09C7">
        <w:trPr>
          <w:trHeight w:val="144"/>
        </w:trPr>
        <w:tc>
          <w:tcPr>
            <w:tcW w:w="450" w:type="pct"/>
            <w:vMerge/>
            <w:tcBorders>
              <w:left w:val="single" w:sz="8" w:space="0" w:color="FFFFFF"/>
              <w:right w:val="single" w:sz="8" w:space="0" w:color="FFFFFF"/>
            </w:tcBorders>
            <w:tcMar>
              <w:top w:w="20" w:type="dxa"/>
              <w:left w:w="20" w:type="dxa"/>
              <w:bottom w:w="100" w:type="dxa"/>
              <w:right w:w="20" w:type="dxa"/>
            </w:tcMar>
          </w:tcPr>
          <w:p w14:paraId="641A2A44" w14:textId="77777777" w:rsidR="00F04617" w:rsidRPr="004142BD" w:rsidRDefault="00F04617" w:rsidP="00EA09C7">
            <w:pPr>
              <w:widowControl w:val="0"/>
              <w:spacing w:line="240" w:lineRule="auto"/>
              <w:jc w:val="center"/>
              <w:rPr>
                <w:sz w:val="22"/>
                <w:szCs w:val="22"/>
              </w:rPr>
            </w:pPr>
          </w:p>
        </w:tc>
        <w:tc>
          <w:tcPr>
            <w:tcW w:w="63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AD45755" w14:textId="77777777" w:rsidR="00F04617" w:rsidRPr="004142BD" w:rsidRDefault="00F04617" w:rsidP="00EA09C7">
            <w:pPr>
              <w:widowControl w:val="0"/>
              <w:spacing w:line="240" w:lineRule="auto"/>
              <w:jc w:val="center"/>
              <w:rPr>
                <w:sz w:val="22"/>
                <w:szCs w:val="22"/>
              </w:rPr>
            </w:pPr>
            <w:r w:rsidRPr="004142BD">
              <w:rPr>
                <w:sz w:val="22"/>
                <w:szCs w:val="22"/>
              </w:rPr>
              <w:t>Canada</w:t>
            </w: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F272F8C"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D57D544" w14:textId="77777777" w:rsidR="00F04617" w:rsidRPr="004142BD" w:rsidRDefault="00F04617" w:rsidP="00EA09C7">
            <w:pPr>
              <w:widowControl w:val="0"/>
              <w:spacing w:line="240" w:lineRule="auto"/>
              <w:jc w:val="center"/>
              <w:rPr>
                <w:sz w:val="22"/>
                <w:szCs w:val="22"/>
              </w:rPr>
            </w:pPr>
            <w:r w:rsidRPr="004142BD">
              <w:rPr>
                <w:sz w:val="22"/>
                <w:szCs w:val="22"/>
              </w:rPr>
              <w:t>551</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D9D6F83" w14:textId="77777777" w:rsidR="00F04617" w:rsidRPr="004142BD" w:rsidRDefault="00F04617" w:rsidP="00EA09C7">
            <w:pPr>
              <w:widowControl w:val="0"/>
              <w:spacing w:line="240" w:lineRule="auto"/>
              <w:jc w:val="center"/>
              <w:rPr>
                <w:sz w:val="22"/>
                <w:szCs w:val="22"/>
              </w:rPr>
            </w:pPr>
            <w:r w:rsidRPr="004142BD">
              <w:rPr>
                <w:sz w:val="22"/>
                <w:szCs w:val="22"/>
              </w:rPr>
              <w:t>258</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BCBDE50"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71C884A"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A567EF"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09108A1" w14:textId="77777777" w:rsidR="00F04617" w:rsidRPr="004142BD" w:rsidRDefault="00F04617" w:rsidP="00EA09C7">
            <w:pPr>
              <w:widowControl w:val="0"/>
              <w:spacing w:line="240" w:lineRule="auto"/>
              <w:jc w:val="center"/>
              <w:rPr>
                <w:sz w:val="22"/>
                <w:szCs w:val="22"/>
              </w:rPr>
            </w:pPr>
            <w:r w:rsidRPr="004142BD">
              <w:rPr>
                <w:sz w:val="22"/>
                <w:szCs w:val="22"/>
              </w:rPr>
              <w:t>Credit</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704C2EE" w14:textId="77777777" w:rsidR="00F04617" w:rsidRPr="004142BD" w:rsidRDefault="00F04617" w:rsidP="00EA09C7">
            <w:pPr>
              <w:widowControl w:val="0"/>
              <w:spacing w:line="240" w:lineRule="auto"/>
              <w:jc w:val="center"/>
              <w:rPr>
                <w:sz w:val="22"/>
                <w:szCs w:val="22"/>
              </w:rPr>
            </w:pPr>
            <w:r w:rsidRPr="004142BD">
              <w:rPr>
                <w:sz w:val="22"/>
                <w:szCs w:val="22"/>
              </w:rPr>
              <w:t>None</w:t>
            </w:r>
          </w:p>
        </w:tc>
      </w:tr>
      <w:tr w:rsidR="00F04617" w14:paraId="3F551DE4" w14:textId="77777777" w:rsidTr="00EA09C7">
        <w:trPr>
          <w:trHeight w:val="86"/>
        </w:trPr>
        <w:tc>
          <w:tcPr>
            <w:tcW w:w="450" w:type="pct"/>
            <w:vMerge/>
            <w:tcBorders>
              <w:left w:val="single" w:sz="8" w:space="0" w:color="FFFFFF"/>
              <w:right w:val="single" w:sz="8" w:space="0" w:color="FFFFFF"/>
            </w:tcBorders>
            <w:tcMar>
              <w:top w:w="20" w:type="dxa"/>
              <w:left w:w="20" w:type="dxa"/>
              <w:bottom w:w="100" w:type="dxa"/>
              <w:right w:w="20" w:type="dxa"/>
            </w:tcMar>
          </w:tcPr>
          <w:p w14:paraId="472F001A" w14:textId="77777777" w:rsidR="00F04617" w:rsidRPr="004142BD" w:rsidRDefault="00F04617" w:rsidP="00EA09C7">
            <w:pPr>
              <w:widowControl w:val="0"/>
              <w:spacing w:line="240" w:lineRule="auto"/>
              <w:jc w:val="center"/>
              <w:rPr>
                <w:sz w:val="22"/>
                <w:szCs w:val="22"/>
              </w:rPr>
            </w:pPr>
          </w:p>
        </w:tc>
        <w:tc>
          <w:tcPr>
            <w:tcW w:w="63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123CE91" w14:textId="77777777" w:rsidR="00F04617" w:rsidRPr="004142BD" w:rsidRDefault="00F04617" w:rsidP="00EA09C7">
            <w:pPr>
              <w:widowControl w:val="0"/>
              <w:spacing w:line="240" w:lineRule="auto"/>
              <w:jc w:val="center"/>
              <w:rPr>
                <w:sz w:val="22"/>
                <w:szCs w:val="22"/>
              </w:rPr>
            </w:pPr>
            <w:r w:rsidRPr="004142BD">
              <w:rPr>
                <w:sz w:val="22"/>
                <w:szCs w:val="22"/>
              </w:rPr>
              <w:t>United Kingdom</w:t>
            </w: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5B88AD0" w14:textId="77777777" w:rsidR="00F04617" w:rsidRPr="004142BD" w:rsidRDefault="00F04617" w:rsidP="00EA09C7">
            <w:pPr>
              <w:widowControl w:val="0"/>
              <w:spacing w:line="240" w:lineRule="auto"/>
              <w:jc w:val="center"/>
              <w:rPr>
                <w:sz w:val="22"/>
                <w:szCs w:val="22"/>
              </w:rPr>
            </w:pPr>
            <w:r w:rsidRPr="004142BD">
              <w:rPr>
                <w:sz w:val="22"/>
                <w:szCs w:val="22"/>
              </w:rPr>
              <w:t>2</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3B2040A" w14:textId="77777777" w:rsidR="00F04617" w:rsidRPr="004142BD" w:rsidRDefault="00F04617" w:rsidP="00EA09C7">
            <w:pPr>
              <w:widowControl w:val="0"/>
              <w:spacing w:line="240" w:lineRule="auto"/>
              <w:jc w:val="center"/>
              <w:rPr>
                <w:sz w:val="22"/>
                <w:szCs w:val="22"/>
              </w:rPr>
            </w:pPr>
            <w:r w:rsidRPr="004142BD">
              <w:rPr>
                <w:sz w:val="22"/>
                <w:szCs w:val="22"/>
              </w:rPr>
              <w:t>340</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F51A922" w14:textId="77777777" w:rsidR="00F04617" w:rsidRPr="004142BD" w:rsidRDefault="00F04617" w:rsidP="00EA09C7">
            <w:pPr>
              <w:widowControl w:val="0"/>
              <w:spacing w:line="240" w:lineRule="auto"/>
              <w:jc w:val="center"/>
              <w:rPr>
                <w:sz w:val="22"/>
                <w:szCs w:val="22"/>
              </w:rPr>
            </w:pPr>
            <w:r w:rsidRPr="004142BD">
              <w:rPr>
                <w:sz w:val="22"/>
                <w:szCs w:val="22"/>
              </w:rPr>
              <w:t>132</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AD24B5A"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A198E9"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273D49E"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0B0B785" w14:textId="77777777" w:rsidR="00F04617" w:rsidRPr="004142BD" w:rsidRDefault="00F04617" w:rsidP="00EA09C7">
            <w:pPr>
              <w:widowControl w:val="0"/>
              <w:spacing w:line="240" w:lineRule="auto"/>
              <w:jc w:val="center"/>
              <w:rPr>
                <w:sz w:val="22"/>
                <w:szCs w:val="22"/>
              </w:rPr>
            </w:pPr>
            <w:r w:rsidRPr="004142BD">
              <w:rPr>
                <w:sz w:val="22"/>
                <w:szCs w:val="22"/>
              </w:rPr>
              <w:t>Credit</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67D488C" w14:textId="77777777" w:rsidR="00F04617" w:rsidRPr="004142BD" w:rsidRDefault="00F04617" w:rsidP="00EA09C7">
            <w:pPr>
              <w:widowControl w:val="0"/>
              <w:spacing w:line="240" w:lineRule="auto"/>
              <w:jc w:val="center"/>
              <w:rPr>
                <w:sz w:val="22"/>
                <w:szCs w:val="22"/>
              </w:rPr>
            </w:pPr>
            <w:r w:rsidRPr="004142BD">
              <w:rPr>
                <w:sz w:val="22"/>
                <w:szCs w:val="22"/>
              </w:rPr>
              <w:t>Friedman</w:t>
            </w:r>
          </w:p>
        </w:tc>
      </w:tr>
      <w:tr w:rsidR="00F04617" w14:paraId="3B424A86" w14:textId="77777777" w:rsidTr="00EA09C7">
        <w:trPr>
          <w:trHeight w:val="144"/>
        </w:trPr>
        <w:tc>
          <w:tcPr>
            <w:tcW w:w="450" w:type="pct"/>
            <w:vMerge/>
            <w:tcBorders>
              <w:left w:val="single" w:sz="8" w:space="0" w:color="FFFFFF"/>
              <w:right w:val="single" w:sz="8" w:space="0" w:color="FFFFFF"/>
            </w:tcBorders>
            <w:tcMar>
              <w:top w:w="20" w:type="dxa"/>
              <w:left w:w="20" w:type="dxa"/>
              <w:bottom w:w="100" w:type="dxa"/>
              <w:right w:w="20" w:type="dxa"/>
            </w:tcMar>
          </w:tcPr>
          <w:p w14:paraId="3F68978F" w14:textId="77777777" w:rsidR="00F04617" w:rsidRPr="004142BD" w:rsidRDefault="00F04617" w:rsidP="00EA09C7">
            <w:pPr>
              <w:widowControl w:val="0"/>
              <w:spacing w:line="240" w:lineRule="auto"/>
              <w:jc w:val="center"/>
              <w:rPr>
                <w:sz w:val="22"/>
                <w:szCs w:val="22"/>
              </w:rPr>
            </w:pPr>
          </w:p>
        </w:tc>
        <w:tc>
          <w:tcPr>
            <w:tcW w:w="63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A8B19B9" w14:textId="77777777" w:rsidR="00F04617" w:rsidRPr="004142BD" w:rsidRDefault="00F04617" w:rsidP="00EA09C7">
            <w:pPr>
              <w:widowControl w:val="0"/>
              <w:spacing w:line="240" w:lineRule="auto"/>
              <w:jc w:val="center"/>
              <w:rPr>
                <w:sz w:val="22"/>
                <w:szCs w:val="22"/>
              </w:rPr>
            </w:pPr>
            <w:r w:rsidRPr="004142BD">
              <w:rPr>
                <w:sz w:val="22"/>
                <w:szCs w:val="22"/>
              </w:rPr>
              <w:t>Greece</w:t>
            </w: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566A0B4"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D2FF2B5" w14:textId="77777777" w:rsidR="00F04617" w:rsidRPr="004142BD" w:rsidRDefault="00F04617" w:rsidP="00EA09C7">
            <w:pPr>
              <w:widowControl w:val="0"/>
              <w:spacing w:line="240" w:lineRule="auto"/>
              <w:jc w:val="center"/>
              <w:rPr>
                <w:sz w:val="22"/>
                <w:szCs w:val="22"/>
              </w:rPr>
            </w:pPr>
            <w:r w:rsidRPr="004142BD">
              <w:rPr>
                <w:sz w:val="22"/>
                <w:szCs w:val="22"/>
              </w:rPr>
              <w:t>98</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37ED102" w14:textId="77777777" w:rsidR="00F04617" w:rsidRPr="004142BD" w:rsidRDefault="00F04617" w:rsidP="00EA09C7">
            <w:pPr>
              <w:widowControl w:val="0"/>
              <w:spacing w:line="240" w:lineRule="auto"/>
              <w:jc w:val="center"/>
              <w:rPr>
                <w:sz w:val="22"/>
                <w:szCs w:val="22"/>
              </w:rPr>
            </w:pPr>
            <w:r w:rsidRPr="004142BD">
              <w:rPr>
                <w:sz w:val="22"/>
                <w:szCs w:val="22"/>
              </w:rPr>
              <w:t>52</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3252FF6" w14:textId="77777777" w:rsidR="00F04617" w:rsidRPr="004142BD" w:rsidRDefault="00F04617" w:rsidP="00EA09C7">
            <w:pPr>
              <w:widowControl w:val="0"/>
              <w:spacing w:line="240" w:lineRule="auto"/>
              <w:jc w:val="center"/>
              <w:rPr>
                <w:sz w:val="22"/>
                <w:szCs w:val="22"/>
              </w:rPr>
            </w:pPr>
            <w:r w:rsidRPr="004142BD">
              <w:rPr>
                <w:sz w:val="22"/>
                <w:szCs w:val="22"/>
              </w:rPr>
              <w:t>Both</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4ADE27C"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DD67B06"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83A760F" w14:textId="77777777" w:rsidR="00F04617" w:rsidRPr="004142BD" w:rsidRDefault="00F04617" w:rsidP="00EA09C7">
            <w:pPr>
              <w:widowControl w:val="0"/>
              <w:spacing w:line="240" w:lineRule="auto"/>
              <w:jc w:val="center"/>
              <w:rPr>
                <w:sz w:val="22"/>
                <w:szCs w:val="22"/>
              </w:rPr>
            </w:pPr>
            <w:r w:rsidRPr="004142BD">
              <w:rPr>
                <w:sz w:val="22"/>
                <w:szCs w:val="22"/>
              </w:rPr>
              <w:t>None</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5D01855" w14:textId="77777777" w:rsidR="00F04617" w:rsidRPr="004142BD" w:rsidRDefault="00F04617" w:rsidP="00EA09C7">
            <w:pPr>
              <w:widowControl w:val="0"/>
              <w:spacing w:line="240" w:lineRule="auto"/>
              <w:jc w:val="center"/>
              <w:rPr>
                <w:sz w:val="22"/>
                <w:szCs w:val="22"/>
              </w:rPr>
            </w:pPr>
            <w:r w:rsidRPr="004142BD">
              <w:rPr>
                <w:sz w:val="22"/>
                <w:szCs w:val="22"/>
              </w:rPr>
              <w:t>None</w:t>
            </w:r>
          </w:p>
        </w:tc>
      </w:tr>
      <w:tr w:rsidR="00F04617" w14:paraId="2E1DC82F" w14:textId="77777777" w:rsidTr="00EA09C7">
        <w:trPr>
          <w:trHeight w:val="144"/>
        </w:trPr>
        <w:tc>
          <w:tcPr>
            <w:tcW w:w="450" w:type="pct"/>
            <w:vMerge/>
            <w:tcBorders>
              <w:left w:val="single" w:sz="8" w:space="0" w:color="FFFFFF"/>
              <w:right w:val="single" w:sz="8" w:space="0" w:color="FFFFFF"/>
            </w:tcBorders>
            <w:tcMar>
              <w:top w:w="20" w:type="dxa"/>
              <w:left w:w="20" w:type="dxa"/>
              <w:bottom w:w="100" w:type="dxa"/>
              <w:right w:w="20" w:type="dxa"/>
            </w:tcMar>
          </w:tcPr>
          <w:p w14:paraId="7931C1C1" w14:textId="77777777" w:rsidR="00F04617" w:rsidRPr="004142BD" w:rsidRDefault="00F04617" w:rsidP="00EA09C7">
            <w:pPr>
              <w:widowControl w:val="0"/>
              <w:spacing w:line="240" w:lineRule="auto"/>
              <w:jc w:val="center"/>
              <w:rPr>
                <w:sz w:val="22"/>
                <w:szCs w:val="22"/>
              </w:rPr>
            </w:pPr>
          </w:p>
        </w:tc>
        <w:tc>
          <w:tcPr>
            <w:tcW w:w="63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4E30978" w14:textId="77777777" w:rsidR="00F04617" w:rsidRPr="004142BD" w:rsidRDefault="00F04617" w:rsidP="00EA09C7">
            <w:pPr>
              <w:widowControl w:val="0"/>
              <w:spacing w:line="240" w:lineRule="auto"/>
              <w:jc w:val="center"/>
              <w:rPr>
                <w:sz w:val="22"/>
                <w:szCs w:val="22"/>
              </w:rPr>
            </w:pPr>
            <w:r w:rsidRPr="004142BD">
              <w:rPr>
                <w:sz w:val="22"/>
                <w:szCs w:val="22"/>
              </w:rPr>
              <w:t>New Zealand</w:t>
            </w: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4EEF9EB"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EF65E20" w14:textId="77777777" w:rsidR="00F04617" w:rsidRPr="004142BD" w:rsidRDefault="00F04617" w:rsidP="00EA09C7">
            <w:pPr>
              <w:widowControl w:val="0"/>
              <w:spacing w:line="240" w:lineRule="auto"/>
              <w:jc w:val="center"/>
              <w:rPr>
                <w:sz w:val="22"/>
                <w:szCs w:val="22"/>
              </w:rPr>
            </w:pPr>
            <w:r w:rsidRPr="004142BD">
              <w:rPr>
                <w:sz w:val="22"/>
                <w:szCs w:val="22"/>
              </w:rPr>
              <w:t>58</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C85BC7B" w14:textId="77777777" w:rsidR="00F04617" w:rsidRPr="004142BD" w:rsidRDefault="00F04617" w:rsidP="00EA09C7">
            <w:pPr>
              <w:widowControl w:val="0"/>
              <w:spacing w:line="240" w:lineRule="auto"/>
              <w:jc w:val="center"/>
              <w:rPr>
                <w:sz w:val="22"/>
                <w:szCs w:val="22"/>
              </w:rPr>
            </w:pPr>
            <w:r w:rsidRPr="004142BD">
              <w:rPr>
                <w:sz w:val="22"/>
                <w:szCs w:val="22"/>
              </w:rPr>
              <w:t>42</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19C7FC4"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BDE6E2D" w14:textId="77777777" w:rsidR="00F04617" w:rsidRPr="004142BD" w:rsidRDefault="00F04617" w:rsidP="00EA09C7">
            <w:pPr>
              <w:widowControl w:val="0"/>
              <w:spacing w:line="240" w:lineRule="auto"/>
              <w:jc w:val="center"/>
              <w:rPr>
                <w:sz w:val="22"/>
                <w:szCs w:val="22"/>
              </w:rPr>
            </w:pPr>
            <w:r w:rsidRPr="004142BD">
              <w:rPr>
                <w:sz w:val="22"/>
                <w:szCs w:val="22"/>
              </w:rPr>
              <w:t>Yes</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F358472"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326E9ED" w14:textId="77777777" w:rsidR="00F04617" w:rsidRPr="004142BD" w:rsidRDefault="00F04617" w:rsidP="00EA09C7">
            <w:pPr>
              <w:widowControl w:val="0"/>
              <w:spacing w:line="240" w:lineRule="auto"/>
              <w:jc w:val="center"/>
              <w:rPr>
                <w:sz w:val="22"/>
                <w:szCs w:val="22"/>
              </w:rPr>
            </w:pPr>
            <w:r w:rsidRPr="004142BD">
              <w:rPr>
                <w:sz w:val="22"/>
                <w:szCs w:val="22"/>
              </w:rPr>
              <w:t>Lottery</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6E8DAC7" w14:textId="77777777" w:rsidR="00F04617" w:rsidRPr="004142BD" w:rsidRDefault="00F04617" w:rsidP="00EA09C7">
            <w:pPr>
              <w:widowControl w:val="0"/>
              <w:spacing w:line="240" w:lineRule="auto"/>
              <w:jc w:val="center"/>
              <w:rPr>
                <w:sz w:val="22"/>
                <w:szCs w:val="22"/>
              </w:rPr>
            </w:pPr>
            <w:r w:rsidRPr="004142BD">
              <w:rPr>
                <w:sz w:val="22"/>
                <w:szCs w:val="22"/>
              </w:rPr>
              <w:t>ANOVA</w:t>
            </w:r>
          </w:p>
        </w:tc>
      </w:tr>
      <w:tr w:rsidR="00F04617" w14:paraId="1039E09E" w14:textId="77777777" w:rsidTr="00EA09C7">
        <w:trPr>
          <w:trHeight w:val="144"/>
        </w:trPr>
        <w:tc>
          <w:tcPr>
            <w:tcW w:w="450" w:type="pct"/>
            <w:vMerge/>
            <w:tcBorders>
              <w:left w:val="single" w:sz="8" w:space="0" w:color="FFFFFF"/>
              <w:right w:val="single" w:sz="8" w:space="0" w:color="FFFFFF"/>
            </w:tcBorders>
            <w:tcMar>
              <w:top w:w="20" w:type="dxa"/>
              <w:left w:w="20" w:type="dxa"/>
              <w:bottom w:w="100" w:type="dxa"/>
              <w:right w:w="20" w:type="dxa"/>
            </w:tcMar>
          </w:tcPr>
          <w:p w14:paraId="47956CE9" w14:textId="77777777" w:rsidR="00F04617" w:rsidRPr="004142BD" w:rsidRDefault="00F04617" w:rsidP="00EA09C7">
            <w:pPr>
              <w:widowControl w:val="0"/>
              <w:spacing w:line="240" w:lineRule="auto"/>
              <w:jc w:val="center"/>
              <w:rPr>
                <w:sz w:val="22"/>
                <w:szCs w:val="22"/>
              </w:rPr>
            </w:pPr>
          </w:p>
        </w:tc>
        <w:tc>
          <w:tcPr>
            <w:tcW w:w="63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A7FF9ED" w14:textId="77777777" w:rsidR="00F04617" w:rsidRPr="004142BD" w:rsidRDefault="00F04617" w:rsidP="00EA09C7">
            <w:pPr>
              <w:widowControl w:val="0"/>
              <w:spacing w:line="240" w:lineRule="auto"/>
              <w:jc w:val="center"/>
              <w:rPr>
                <w:sz w:val="22"/>
                <w:szCs w:val="22"/>
              </w:rPr>
            </w:pPr>
            <w:r w:rsidRPr="004142BD">
              <w:rPr>
                <w:sz w:val="22"/>
                <w:szCs w:val="22"/>
              </w:rPr>
              <w:t>Singapore</w:t>
            </w: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AA3E200"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C21D8DD" w14:textId="77777777" w:rsidR="00F04617" w:rsidRPr="004142BD" w:rsidRDefault="00F04617" w:rsidP="00EA09C7">
            <w:pPr>
              <w:widowControl w:val="0"/>
              <w:spacing w:line="240" w:lineRule="auto"/>
              <w:jc w:val="center"/>
              <w:rPr>
                <w:sz w:val="22"/>
                <w:szCs w:val="22"/>
              </w:rPr>
            </w:pPr>
            <w:r w:rsidRPr="004142BD">
              <w:rPr>
                <w:sz w:val="22"/>
                <w:szCs w:val="22"/>
              </w:rPr>
              <w:t>78</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9897F55" w14:textId="77777777" w:rsidR="00F04617" w:rsidRPr="004142BD" w:rsidRDefault="00F04617" w:rsidP="00EA09C7">
            <w:pPr>
              <w:widowControl w:val="0"/>
              <w:spacing w:line="240" w:lineRule="auto"/>
              <w:jc w:val="center"/>
              <w:rPr>
                <w:sz w:val="22"/>
                <w:szCs w:val="22"/>
              </w:rPr>
            </w:pPr>
            <w:r w:rsidRPr="004142BD">
              <w:rPr>
                <w:sz w:val="22"/>
                <w:szCs w:val="22"/>
              </w:rPr>
              <w:t>52</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AE6D331"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440ED8B" w14:textId="77777777" w:rsidR="00F04617" w:rsidRPr="004142BD" w:rsidRDefault="00F04617" w:rsidP="00EA09C7">
            <w:pPr>
              <w:widowControl w:val="0"/>
              <w:spacing w:line="240" w:lineRule="auto"/>
              <w:jc w:val="center"/>
              <w:rPr>
                <w:sz w:val="22"/>
                <w:szCs w:val="22"/>
              </w:rPr>
            </w:pPr>
            <w:r w:rsidRPr="004142BD">
              <w:rPr>
                <w:sz w:val="22"/>
                <w:szCs w:val="22"/>
              </w:rPr>
              <w:t>Yes</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9E5D92B"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1C92122" w14:textId="77777777" w:rsidR="00F04617" w:rsidRPr="004142BD" w:rsidRDefault="00F04617" w:rsidP="00EA09C7">
            <w:pPr>
              <w:widowControl w:val="0"/>
              <w:spacing w:line="240" w:lineRule="auto"/>
              <w:jc w:val="center"/>
              <w:rPr>
                <w:sz w:val="22"/>
                <w:szCs w:val="22"/>
              </w:rPr>
            </w:pPr>
            <w:r w:rsidRPr="004142BD">
              <w:rPr>
                <w:sz w:val="22"/>
                <w:szCs w:val="22"/>
              </w:rPr>
              <w:t>Credit</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08FF60" w14:textId="77777777" w:rsidR="00F04617" w:rsidRPr="004142BD" w:rsidRDefault="00F04617" w:rsidP="00EA09C7">
            <w:pPr>
              <w:widowControl w:val="0"/>
              <w:spacing w:line="240" w:lineRule="auto"/>
              <w:jc w:val="center"/>
              <w:rPr>
                <w:sz w:val="22"/>
                <w:szCs w:val="22"/>
              </w:rPr>
            </w:pPr>
            <w:r w:rsidRPr="004142BD">
              <w:rPr>
                <w:sz w:val="22"/>
                <w:szCs w:val="22"/>
              </w:rPr>
              <w:t>None</w:t>
            </w:r>
          </w:p>
        </w:tc>
      </w:tr>
      <w:tr w:rsidR="00F04617" w14:paraId="1A9320AC" w14:textId="77777777" w:rsidTr="00EA09C7">
        <w:trPr>
          <w:trHeight w:val="144"/>
        </w:trPr>
        <w:tc>
          <w:tcPr>
            <w:tcW w:w="450" w:type="pct"/>
            <w:vMerge/>
            <w:tcBorders>
              <w:left w:val="single" w:sz="8" w:space="0" w:color="FFFFFF"/>
              <w:right w:val="single" w:sz="8" w:space="0" w:color="FFFFFF"/>
            </w:tcBorders>
            <w:tcMar>
              <w:top w:w="20" w:type="dxa"/>
              <w:left w:w="20" w:type="dxa"/>
              <w:bottom w:w="100" w:type="dxa"/>
              <w:right w:w="20" w:type="dxa"/>
            </w:tcMar>
          </w:tcPr>
          <w:p w14:paraId="176ABF9A" w14:textId="77777777" w:rsidR="00F04617" w:rsidRPr="004142BD" w:rsidRDefault="00F04617" w:rsidP="00EA09C7">
            <w:pPr>
              <w:widowControl w:val="0"/>
              <w:spacing w:line="240" w:lineRule="auto"/>
              <w:jc w:val="center"/>
              <w:rPr>
                <w:sz w:val="22"/>
                <w:szCs w:val="22"/>
              </w:rPr>
            </w:pPr>
          </w:p>
        </w:tc>
        <w:tc>
          <w:tcPr>
            <w:tcW w:w="630" w:type="pct"/>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7545453E" w14:textId="77777777" w:rsidR="00F04617" w:rsidRPr="004142BD" w:rsidRDefault="00F04617" w:rsidP="00EA09C7">
            <w:pPr>
              <w:widowControl w:val="0"/>
              <w:spacing w:line="240" w:lineRule="auto"/>
              <w:jc w:val="center"/>
              <w:rPr>
                <w:sz w:val="22"/>
                <w:szCs w:val="22"/>
              </w:rPr>
            </w:pPr>
            <w:r w:rsidRPr="004142BD">
              <w:rPr>
                <w:sz w:val="22"/>
                <w:szCs w:val="22"/>
              </w:rPr>
              <w:t>United States</w:t>
            </w: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D7E549B"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280AC86" w14:textId="77777777" w:rsidR="00F04617" w:rsidRPr="004142BD" w:rsidRDefault="00F04617" w:rsidP="00EA09C7">
            <w:pPr>
              <w:widowControl w:val="0"/>
              <w:spacing w:line="240" w:lineRule="auto"/>
              <w:jc w:val="center"/>
              <w:rPr>
                <w:sz w:val="22"/>
                <w:szCs w:val="22"/>
              </w:rPr>
            </w:pPr>
            <w:r w:rsidRPr="004142BD">
              <w:rPr>
                <w:sz w:val="22"/>
                <w:szCs w:val="22"/>
              </w:rPr>
              <w:t>124</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D679860" w14:textId="77777777" w:rsidR="00F04617" w:rsidRPr="004142BD" w:rsidRDefault="00F04617" w:rsidP="00EA09C7">
            <w:pPr>
              <w:widowControl w:val="0"/>
              <w:spacing w:line="240" w:lineRule="auto"/>
              <w:jc w:val="center"/>
              <w:rPr>
                <w:sz w:val="22"/>
                <w:szCs w:val="22"/>
              </w:rPr>
            </w:pPr>
            <w:r w:rsidRPr="004142BD">
              <w:rPr>
                <w:sz w:val="22"/>
                <w:szCs w:val="22"/>
              </w:rPr>
              <w:t>57</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A4D72EB"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83E6542"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CBF5E2E"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48CF64F" w14:textId="77777777" w:rsidR="00F04617" w:rsidRPr="004142BD" w:rsidRDefault="00F04617" w:rsidP="00EA09C7">
            <w:pPr>
              <w:widowControl w:val="0"/>
              <w:spacing w:line="240" w:lineRule="auto"/>
              <w:jc w:val="center"/>
              <w:rPr>
                <w:sz w:val="22"/>
                <w:szCs w:val="22"/>
              </w:rPr>
            </w:pPr>
            <w:r w:rsidRPr="004142BD">
              <w:rPr>
                <w:sz w:val="22"/>
                <w:szCs w:val="22"/>
              </w:rPr>
              <w:t>Credit</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ED2083F" w14:textId="77777777" w:rsidR="00F04617" w:rsidRPr="004142BD" w:rsidRDefault="00F04617" w:rsidP="00EA09C7">
            <w:pPr>
              <w:widowControl w:val="0"/>
              <w:spacing w:line="240" w:lineRule="auto"/>
              <w:jc w:val="center"/>
              <w:rPr>
                <w:sz w:val="22"/>
                <w:szCs w:val="22"/>
              </w:rPr>
            </w:pPr>
            <w:r w:rsidRPr="004142BD">
              <w:rPr>
                <w:sz w:val="22"/>
                <w:szCs w:val="22"/>
              </w:rPr>
              <w:t>ANOVA</w:t>
            </w:r>
          </w:p>
        </w:tc>
      </w:tr>
      <w:tr w:rsidR="00F04617" w14:paraId="3BC71584" w14:textId="77777777" w:rsidTr="00EA09C7">
        <w:trPr>
          <w:trHeight w:val="144"/>
        </w:trPr>
        <w:tc>
          <w:tcPr>
            <w:tcW w:w="450" w:type="pct"/>
            <w:vMerge/>
            <w:tcBorders>
              <w:left w:val="single" w:sz="8" w:space="0" w:color="FFFFFF"/>
              <w:right w:val="single" w:sz="8" w:space="0" w:color="FFFFFF"/>
            </w:tcBorders>
            <w:tcMar>
              <w:top w:w="20" w:type="dxa"/>
              <w:left w:w="20" w:type="dxa"/>
              <w:bottom w:w="100" w:type="dxa"/>
              <w:right w:w="20" w:type="dxa"/>
            </w:tcMar>
          </w:tcPr>
          <w:p w14:paraId="19591A6A" w14:textId="77777777" w:rsidR="00F04617" w:rsidRPr="004142BD" w:rsidRDefault="00F04617" w:rsidP="00EA09C7">
            <w:pPr>
              <w:widowControl w:val="0"/>
              <w:spacing w:line="240" w:lineRule="auto"/>
              <w:jc w:val="center"/>
              <w:rPr>
                <w:sz w:val="22"/>
                <w:szCs w:val="22"/>
              </w:rPr>
            </w:pPr>
          </w:p>
        </w:tc>
        <w:tc>
          <w:tcPr>
            <w:tcW w:w="630" w:type="pct"/>
            <w:vMerge/>
            <w:tcBorders>
              <w:left w:val="single" w:sz="8" w:space="0" w:color="FFFFFF"/>
              <w:right w:val="single" w:sz="8" w:space="0" w:color="FFFFFF"/>
            </w:tcBorders>
            <w:tcMar>
              <w:top w:w="20" w:type="dxa"/>
              <w:left w:w="20" w:type="dxa"/>
              <w:bottom w:w="100" w:type="dxa"/>
              <w:right w:w="20" w:type="dxa"/>
            </w:tcMar>
          </w:tcPr>
          <w:p w14:paraId="0A570344" w14:textId="77777777" w:rsidR="00F04617" w:rsidRPr="004142BD" w:rsidRDefault="00F04617" w:rsidP="00EA09C7">
            <w:pPr>
              <w:widowControl w:val="0"/>
              <w:spacing w:line="240" w:lineRule="auto"/>
              <w:jc w:val="center"/>
              <w:rPr>
                <w:sz w:val="22"/>
                <w:szCs w:val="22"/>
              </w:rPr>
            </w:pP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725085E"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2BECE9E" w14:textId="77777777" w:rsidR="00F04617" w:rsidRPr="004142BD" w:rsidRDefault="00F04617" w:rsidP="00EA09C7">
            <w:pPr>
              <w:widowControl w:val="0"/>
              <w:spacing w:line="240" w:lineRule="auto"/>
              <w:jc w:val="center"/>
              <w:rPr>
                <w:sz w:val="22"/>
                <w:szCs w:val="22"/>
              </w:rPr>
            </w:pPr>
            <w:r w:rsidRPr="004142BD">
              <w:rPr>
                <w:sz w:val="22"/>
                <w:szCs w:val="22"/>
              </w:rPr>
              <w:t>387</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D0986C0" w14:textId="77777777" w:rsidR="00F04617" w:rsidRPr="004142BD" w:rsidRDefault="00F04617" w:rsidP="00EA09C7">
            <w:pPr>
              <w:widowControl w:val="0"/>
              <w:spacing w:line="240" w:lineRule="auto"/>
              <w:jc w:val="center"/>
              <w:rPr>
                <w:sz w:val="22"/>
                <w:szCs w:val="22"/>
              </w:rPr>
            </w:pPr>
            <w:r w:rsidRPr="004142BD">
              <w:rPr>
                <w:sz w:val="22"/>
                <w:szCs w:val="22"/>
              </w:rPr>
              <w:t>221</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1833743"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1EBD210" w14:textId="77777777" w:rsidR="00F04617" w:rsidRPr="004142BD" w:rsidRDefault="00F04617" w:rsidP="00EA09C7">
            <w:pPr>
              <w:widowControl w:val="0"/>
              <w:spacing w:line="240" w:lineRule="auto"/>
              <w:jc w:val="center"/>
              <w:rPr>
                <w:sz w:val="22"/>
                <w:szCs w:val="22"/>
              </w:rPr>
            </w:pPr>
            <w:r w:rsidRPr="004142BD">
              <w:rPr>
                <w:sz w:val="22"/>
                <w:szCs w:val="22"/>
              </w:rPr>
              <w:t>Yes</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EE6B003" w14:textId="77777777" w:rsidR="00F04617" w:rsidRPr="004142BD" w:rsidRDefault="00F04617" w:rsidP="00EA09C7">
            <w:pPr>
              <w:widowControl w:val="0"/>
              <w:spacing w:line="240" w:lineRule="auto"/>
              <w:jc w:val="center"/>
              <w:rPr>
                <w:sz w:val="22"/>
                <w:szCs w:val="22"/>
              </w:rPr>
            </w:pPr>
            <w:r w:rsidRPr="004142BD">
              <w:rPr>
                <w:sz w:val="22"/>
                <w:szCs w:val="22"/>
              </w:rPr>
              <w:t>Unclear</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2FB5B32" w14:textId="77777777" w:rsidR="00F04617" w:rsidRPr="004142BD" w:rsidRDefault="00F04617" w:rsidP="00EA09C7">
            <w:pPr>
              <w:widowControl w:val="0"/>
              <w:spacing w:line="240" w:lineRule="auto"/>
              <w:jc w:val="center"/>
              <w:rPr>
                <w:sz w:val="22"/>
                <w:szCs w:val="22"/>
              </w:rPr>
            </w:pPr>
            <w:r w:rsidRPr="004142BD">
              <w:rPr>
                <w:sz w:val="22"/>
                <w:szCs w:val="22"/>
              </w:rPr>
              <w:t>Credit</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FE693F6" w14:textId="77777777" w:rsidR="00F04617" w:rsidRPr="004142BD" w:rsidRDefault="00F04617" w:rsidP="00EA09C7">
            <w:pPr>
              <w:widowControl w:val="0"/>
              <w:spacing w:line="240" w:lineRule="auto"/>
              <w:jc w:val="center"/>
              <w:rPr>
                <w:sz w:val="22"/>
                <w:szCs w:val="22"/>
              </w:rPr>
            </w:pPr>
            <w:r w:rsidRPr="004142BD">
              <w:rPr>
                <w:sz w:val="22"/>
                <w:szCs w:val="22"/>
              </w:rPr>
              <w:t>Linear Mixed Model</w:t>
            </w:r>
          </w:p>
        </w:tc>
      </w:tr>
      <w:tr w:rsidR="00F04617" w14:paraId="01720792" w14:textId="77777777" w:rsidTr="00EA09C7">
        <w:trPr>
          <w:trHeight w:val="144"/>
        </w:trPr>
        <w:tc>
          <w:tcPr>
            <w:tcW w:w="450" w:type="pct"/>
            <w:vMerge/>
            <w:tcBorders>
              <w:left w:val="single" w:sz="8" w:space="0" w:color="FFFFFF"/>
              <w:right w:val="single" w:sz="8" w:space="0" w:color="FFFFFF"/>
            </w:tcBorders>
            <w:tcMar>
              <w:top w:w="20" w:type="dxa"/>
              <w:left w:w="20" w:type="dxa"/>
              <w:bottom w:w="100" w:type="dxa"/>
              <w:right w:w="20" w:type="dxa"/>
            </w:tcMar>
          </w:tcPr>
          <w:p w14:paraId="5F9137ED" w14:textId="77777777" w:rsidR="00F04617" w:rsidRPr="004142BD" w:rsidRDefault="00F04617" w:rsidP="00EA09C7">
            <w:pPr>
              <w:widowControl w:val="0"/>
              <w:spacing w:line="240" w:lineRule="auto"/>
              <w:jc w:val="center"/>
              <w:rPr>
                <w:sz w:val="22"/>
                <w:szCs w:val="22"/>
              </w:rPr>
            </w:pPr>
          </w:p>
        </w:tc>
        <w:tc>
          <w:tcPr>
            <w:tcW w:w="630" w:type="pct"/>
            <w:vMerge/>
            <w:tcBorders>
              <w:left w:val="single" w:sz="8" w:space="0" w:color="FFFFFF"/>
              <w:right w:val="single" w:sz="8" w:space="0" w:color="FFFFFF"/>
            </w:tcBorders>
            <w:tcMar>
              <w:top w:w="20" w:type="dxa"/>
              <w:left w:w="20" w:type="dxa"/>
              <w:bottom w:w="100" w:type="dxa"/>
              <w:right w:w="20" w:type="dxa"/>
            </w:tcMar>
          </w:tcPr>
          <w:p w14:paraId="611B6A2B" w14:textId="77777777" w:rsidR="00F04617" w:rsidRPr="004142BD" w:rsidRDefault="00F04617" w:rsidP="00EA09C7">
            <w:pPr>
              <w:widowControl w:val="0"/>
              <w:spacing w:line="240" w:lineRule="auto"/>
              <w:jc w:val="center"/>
              <w:rPr>
                <w:sz w:val="22"/>
                <w:szCs w:val="22"/>
              </w:rPr>
            </w:pP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3C4E31D" w14:textId="77777777" w:rsidR="00F04617" w:rsidRPr="004142BD" w:rsidRDefault="00F04617" w:rsidP="00EA09C7">
            <w:pPr>
              <w:widowControl w:val="0"/>
              <w:spacing w:line="240" w:lineRule="auto"/>
              <w:jc w:val="center"/>
              <w:rPr>
                <w:sz w:val="22"/>
                <w:szCs w:val="22"/>
              </w:rPr>
            </w:pPr>
            <w:r w:rsidRPr="004142BD">
              <w:rPr>
                <w:sz w:val="22"/>
                <w:szCs w:val="22"/>
              </w:rPr>
              <w:t>2</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349B429" w14:textId="77777777" w:rsidR="00F04617" w:rsidRPr="004142BD" w:rsidRDefault="00F04617" w:rsidP="00EA09C7">
            <w:pPr>
              <w:widowControl w:val="0"/>
              <w:spacing w:line="240" w:lineRule="auto"/>
              <w:jc w:val="center"/>
              <w:rPr>
                <w:sz w:val="22"/>
                <w:szCs w:val="22"/>
              </w:rPr>
            </w:pPr>
            <w:r w:rsidRPr="004142BD">
              <w:rPr>
                <w:sz w:val="22"/>
                <w:szCs w:val="22"/>
              </w:rPr>
              <w:t>402</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D918700" w14:textId="77777777" w:rsidR="00F04617" w:rsidRPr="004142BD" w:rsidRDefault="00F04617" w:rsidP="00EA09C7">
            <w:pPr>
              <w:widowControl w:val="0"/>
              <w:spacing w:line="240" w:lineRule="auto"/>
              <w:jc w:val="center"/>
              <w:rPr>
                <w:sz w:val="22"/>
                <w:szCs w:val="22"/>
              </w:rPr>
            </w:pPr>
            <w:r w:rsidRPr="004142BD">
              <w:rPr>
                <w:sz w:val="22"/>
                <w:szCs w:val="22"/>
              </w:rPr>
              <w:t>201</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2F4D95F"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6441191"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C62AB7C"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599CA6" w14:textId="77777777" w:rsidR="00F04617" w:rsidRPr="004142BD" w:rsidRDefault="00F04617" w:rsidP="00EA09C7">
            <w:pPr>
              <w:widowControl w:val="0"/>
              <w:spacing w:line="240" w:lineRule="auto"/>
              <w:jc w:val="center"/>
              <w:rPr>
                <w:sz w:val="22"/>
                <w:szCs w:val="22"/>
              </w:rPr>
            </w:pPr>
            <w:r w:rsidRPr="004142BD">
              <w:rPr>
                <w:sz w:val="22"/>
                <w:szCs w:val="22"/>
              </w:rPr>
              <w:t>Credit</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8DB55A9" w14:textId="77777777" w:rsidR="00F04617" w:rsidRPr="004142BD" w:rsidRDefault="00F04617" w:rsidP="00EA09C7">
            <w:pPr>
              <w:widowControl w:val="0"/>
              <w:spacing w:line="240" w:lineRule="auto"/>
              <w:jc w:val="center"/>
              <w:rPr>
                <w:sz w:val="22"/>
                <w:szCs w:val="22"/>
              </w:rPr>
            </w:pPr>
            <w:r w:rsidRPr="004142BD">
              <w:rPr>
                <w:sz w:val="22"/>
                <w:szCs w:val="22"/>
              </w:rPr>
              <w:t>ANOVA</w:t>
            </w:r>
          </w:p>
        </w:tc>
      </w:tr>
      <w:tr w:rsidR="00F04617" w14:paraId="7EC8007C" w14:textId="77777777" w:rsidTr="00EA09C7">
        <w:trPr>
          <w:trHeight w:val="144"/>
        </w:trPr>
        <w:tc>
          <w:tcPr>
            <w:tcW w:w="450" w:type="pct"/>
            <w:vMerge/>
            <w:tcBorders>
              <w:left w:val="single" w:sz="8" w:space="0" w:color="FFFFFF"/>
              <w:right w:val="single" w:sz="8" w:space="0" w:color="FFFFFF"/>
            </w:tcBorders>
            <w:tcMar>
              <w:top w:w="20" w:type="dxa"/>
              <w:left w:w="20" w:type="dxa"/>
              <w:bottom w:w="100" w:type="dxa"/>
              <w:right w:w="20" w:type="dxa"/>
            </w:tcMar>
          </w:tcPr>
          <w:p w14:paraId="0E9910FB" w14:textId="77777777" w:rsidR="00F04617" w:rsidRPr="004142BD" w:rsidRDefault="00F04617" w:rsidP="00EA09C7">
            <w:pPr>
              <w:widowControl w:val="0"/>
              <w:spacing w:line="240" w:lineRule="auto"/>
              <w:jc w:val="center"/>
              <w:rPr>
                <w:sz w:val="22"/>
                <w:szCs w:val="22"/>
              </w:rPr>
            </w:pPr>
          </w:p>
        </w:tc>
        <w:tc>
          <w:tcPr>
            <w:tcW w:w="630" w:type="pct"/>
            <w:vMerge/>
            <w:tcBorders>
              <w:left w:val="single" w:sz="8" w:space="0" w:color="FFFFFF"/>
              <w:right w:val="single" w:sz="8" w:space="0" w:color="FFFFFF"/>
            </w:tcBorders>
            <w:tcMar>
              <w:top w:w="20" w:type="dxa"/>
              <w:left w:w="20" w:type="dxa"/>
              <w:bottom w:w="100" w:type="dxa"/>
              <w:right w:w="20" w:type="dxa"/>
            </w:tcMar>
          </w:tcPr>
          <w:p w14:paraId="212D35B8" w14:textId="77777777" w:rsidR="00F04617" w:rsidRPr="004142BD" w:rsidRDefault="00F04617" w:rsidP="00EA09C7">
            <w:pPr>
              <w:widowControl w:val="0"/>
              <w:spacing w:line="240" w:lineRule="auto"/>
              <w:jc w:val="center"/>
              <w:rPr>
                <w:sz w:val="22"/>
                <w:szCs w:val="22"/>
              </w:rPr>
            </w:pP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E728C3A"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B7A6DFD" w14:textId="77777777" w:rsidR="00F04617" w:rsidRPr="004142BD" w:rsidRDefault="00F04617" w:rsidP="00EA09C7">
            <w:pPr>
              <w:widowControl w:val="0"/>
              <w:spacing w:line="240" w:lineRule="auto"/>
              <w:jc w:val="center"/>
              <w:rPr>
                <w:sz w:val="22"/>
                <w:szCs w:val="22"/>
              </w:rPr>
            </w:pPr>
            <w:r w:rsidRPr="004142BD">
              <w:rPr>
                <w:sz w:val="22"/>
                <w:szCs w:val="22"/>
              </w:rPr>
              <w:t>91</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2DA6E0F" w14:textId="77777777" w:rsidR="00F04617" w:rsidRPr="004142BD" w:rsidRDefault="00F04617" w:rsidP="00EA09C7">
            <w:pPr>
              <w:widowControl w:val="0"/>
              <w:spacing w:line="240" w:lineRule="auto"/>
              <w:jc w:val="center"/>
              <w:rPr>
                <w:sz w:val="22"/>
                <w:szCs w:val="22"/>
              </w:rPr>
            </w:pPr>
            <w:r w:rsidRPr="004142BD">
              <w:rPr>
                <w:sz w:val="22"/>
                <w:szCs w:val="22"/>
              </w:rPr>
              <w:t>48</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BD05B3"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E906C1D" w14:textId="77777777" w:rsidR="00F04617" w:rsidRPr="004142BD" w:rsidRDefault="00F04617" w:rsidP="00EA09C7">
            <w:pPr>
              <w:widowControl w:val="0"/>
              <w:spacing w:line="240" w:lineRule="auto"/>
              <w:jc w:val="center"/>
              <w:rPr>
                <w:sz w:val="22"/>
                <w:szCs w:val="22"/>
              </w:rPr>
            </w:pPr>
            <w:r w:rsidRPr="004142BD">
              <w:rPr>
                <w:sz w:val="22"/>
                <w:szCs w:val="22"/>
              </w:rPr>
              <w:t>Both</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5903DF8"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9A63E18" w14:textId="77777777" w:rsidR="00F04617" w:rsidRPr="004142BD" w:rsidRDefault="00F04617" w:rsidP="00EA09C7">
            <w:pPr>
              <w:widowControl w:val="0"/>
              <w:spacing w:line="240" w:lineRule="auto"/>
              <w:jc w:val="center"/>
              <w:rPr>
                <w:sz w:val="22"/>
                <w:szCs w:val="22"/>
              </w:rPr>
            </w:pPr>
            <w:r w:rsidRPr="004142BD">
              <w:rPr>
                <w:sz w:val="22"/>
                <w:szCs w:val="22"/>
              </w:rPr>
              <w:t>Credit</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9A8E0E2" w14:textId="77777777" w:rsidR="00F04617" w:rsidRPr="004142BD" w:rsidRDefault="00F04617" w:rsidP="00EA09C7">
            <w:pPr>
              <w:widowControl w:val="0"/>
              <w:spacing w:line="240" w:lineRule="auto"/>
              <w:jc w:val="center"/>
              <w:rPr>
                <w:sz w:val="22"/>
                <w:szCs w:val="22"/>
              </w:rPr>
            </w:pPr>
            <w:r w:rsidRPr="004142BD">
              <w:rPr>
                <w:sz w:val="22"/>
                <w:szCs w:val="22"/>
              </w:rPr>
              <w:t>None</w:t>
            </w:r>
          </w:p>
        </w:tc>
      </w:tr>
      <w:tr w:rsidR="00F04617" w14:paraId="6F353C6D" w14:textId="77777777" w:rsidTr="00EA09C7">
        <w:trPr>
          <w:trHeight w:val="144"/>
        </w:trPr>
        <w:tc>
          <w:tcPr>
            <w:tcW w:w="450" w:type="pct"/>
            <w:vMerge/>
            <w:tcBorders>
              <w:left w:val="single" w:sz="8" w:space="0" w:color="FFFFFF"/>
              <w:right w:val="single" w:sz="8" w:space="0" w:color="FFFFFF"/>
            </w:tcBorders>
            <w:tcMar>
              <w:top w:w="20" w:type="dxa"/>
              <w:left w:w="20" w:type="dxa"/>
              <w:bottom w:w="100" w:type="dxa"/>
              <w:right w:w="20" w:type="dxa"/>
            </w:tcMar>
          </w:tcPr>
          <w:p w14:paraId="59C792B3" w14:textId="77777777" w:rsidR="00F04617" w:rsidRPr="004142BD" w:rsidRDefault="00F04617" w:rsidP="00EA09C7">
            <w:pPr>
              <w:widowControl w:val="0"/>
              <w:spacing w:line="240" w:lineRule="auto"/>
              <w:jc w:val="center"/>
              <w:rPr>
                <w:sz w:val="22"/>
                <w:szCs w:val="22"/>
              </w:rPr>
            </w:pPr>
          </w:p>
        </w:tc>
        <w:tc>
          <w:tcPr>
            <w:tcW w:w="630" w:type="pct"/>
            <w:vMerge/>
            <w:tcBorders>
              <w:left w:val="single" w:sz="8" w:space="0" w:color="FFFFFF"/>
              <w:right w:val="single" w:sz="8" w:space="0" w:color="FFFFFF"/>
            </w:tcBorders>
            <w:tcMar>
              <w:top w:w="20" w:type="dxa"/>
              <w:left w:w="20" w:type="dxa"/>
              <w:bottom w:w="100" w:type="dxa"/>
              <w:right w:w="20" w:type="dxa"/>
            </w:tcMar>
          </w:tcPr>
          <w:p w14:paraId="5853CE65" w14:textId="77777777" w:rsidR="00F04617" w:rsidRPr="004142BD" w:rsidRDefault="00F04617" w:rsidP="00EA09C7">
            <w:pPr>
              <w:widowControl w:val="0"/>
              <w:spacing w:line="240" w:lineRule="auto"/>
              <w:jc w:val="center"/>
              <w:rPr>
                <w:sz w:val="22"/>
                <w:szCs w:val="22"/>
              </w:rPr>
            </w:pP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221CBB7"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590E8DA" w14:textId="77777777" w:rsidR="00F04617" w:rsidRPr="004142BD" w:rsidRDefault="00F04617" w:rsidP="00EA09C7">
            <w:pPr>
              <w:widowControl w:val="0"/>
              <w:spacing w:line="240" w:lineRule="auto"/>
              <w:jc w:val="center"/>
              <w:rPr>
                <w:sz w:val="22"/>
                <w:szCs w:val="22"/>
              </w:rPr>
            </w:pPr>
            <w:r w:rsidRPr="004142BD">
              <w:rPr>
                <w:sz w:val="22"/>
                <w:szCs w:val="22"/>
              </w:rPr>
              <w:t>164</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3419D9B" w14:textId="77777777" w:rsidR="00F04617" w:rsidRPr="004142BD" w:rsidRDefault="00F04617" w:rsidP="00EA09C7">
            <w:pPr>
              <w:widowControl w:val="0"/>
              <w:spacing w:line="240" w:lineRule="auto"/>
              <w:jc w:val="center"/>
              <w:rPr>
                <w:sz w:val="22"/>
                <w:szCs w:val="22"/>
              </w:rPr>
            </w:pPr>
            <w:r w:rsidRPr="004142BD">
              <w:rPr>
                <w:sz w:val="22"/>
                <w:szCs w:val="22"/>
              </w:rPr>
              <w:t>93</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74815CE"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3795927"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15DF46D"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C76C978" w14:textId="77777777" w:rsidR="00F04617" w:rsidRPr="004142BD" w:rsidRDefault="00F04617" w:rsidP="00EA09C7">
            <w:pPr>
              <w:widowControl w:val="0"/>
              <w:spacing w:line="240" w:lineRule="auto"/>
              <w:jc w:val="center"/>
              <w:rPr>
                <w:sz w:val="22"/>
                <w:szCs w:val="22"/>
              </w:rPr>
            </w:pPr>
            <w:r w:rsidRPr="004142BD">
              <w:rPr>
                <w:sz w:val="22"/>
                <w:szCs w:val="22"/>
              </w:rPr>
              <w:t>Credit</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41BF28F" w14:textId="77777777" w:rsidR="00F04617" w:rsidRPr="004142BD" w:rsidRDefault="00F04617" w:rsidP="00EA09C7">
            <w:pPr>
              <w:widowControl w:val="0"/>
              <w:spacing w:line="240" w:lineRule="auto"/>
              <w:jc w:val="center"/>
              <w:rPr>
                <w:sz w:val="22"/>
                <w:szCs w:val="22"/>
              </w:rPr>
            </w:pPr>
            <w:r w:rsidRPr="004142BD">
              <w:rPr>
                <w:sz w:val="22"/>
                <w:szCs w:val="22"/>
              </w:rPr>
              <w:t>ANOVA</w:t>
            </w:r>
          </w:p>
        </w:tc>
      </w:tr>
      <w:tr w:rsidR="00F04617" w14:paraId="2AF6A9E5" w14:textId="77777777" w:rsidTr="00EA09C7">
        <w:trPr>
          <w:trHeight w:val="144"/>
        </w:trPr>
        <w:tc>
          <w:tcPr>
            <w:tcW w:w="450" w:type="pct"/>
            <w:vMerge/>
            <w:tcBorders>
              <w:left w:val="single" w:sz="8" w:space="0" w:color="FFFFFF"/>
              <w:right w:val="single" w:sz="8" w:space="0" w:color="FFFFFF"/>
            </w:tcBorders>
            <w:tcMar>
              <w:top w:w="20" w:type="dxa"/>
              <w:left w:w="20" w:type="dxa"/>
              <w:bottom w:w="100" w:type="dxa"/>
              <w:right w:w="20" w:type="dxa"/>
            </w:tcMar>
          </w:tcPr>
          <w:p w14:paraId="685C11C3" w14:textId="77777777" w:rsidR="00F04617" w:rsidRPr="004142BD" w:rsidRDefault="00F04617" w:rsidP="00EA09C7">
            <w:pPr>
              <w:widowControl w:val="0"/>
              <w:spacing w:line="240" w:lineRule="auto"/>
              <w:jc w:val="center"/>
              <w:rPr>
                <w:sz w:val="22"/>
                <w:szCs w:val="22"/>
              </w:rPr>
            </w:pPr>
          </w:p>
        </w:tc>
        <w:tc>
          <w:tcPr>
            <w:tcW w:w="630" w:type="pct"/>
            <w:vMerge/>
            <w:tcBorders>
              <w:left w:val="single" w:sz="8" w:space="0" w:color="FFFFFF"/>
              <w:right w:val="single" w:sz="8" w:space="0" w:color="FFFFFF"/>
            </w:tcBorders>
            <w:tcMar>
              <w:top w:w="20" w:type="dxa"/>
              <w:left w:w="20" w:type="dxa"/>
              <w:bottom w:w="100" w:type="dxa"/>
              <w:right w:w="20" w:type="dxa"/>
            </w:tcMar>
          </w:tcPr>
          <w:p w14:paraId="2F2262E6" w14:textId="77777777" w:rsidR="00F04617" w:rsidRPr="004142BD" w:rsidRDefault="00F04617" w:rsidP="00EA09C7">
            <w:pPr>
              <w:widowControl w:val="0"/>
              <w:spacing w:line="240" w:lineRule="auto"/>
              <w:jc w:val="center"/>
              <w:rPr>
                <w:sz w:val="22"/>
                <w:szCs w:val="22"/>
              </w:rPr>
            </w:pP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538CB19"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ED46B19" w14:textId="77777777" w:rsidR="00F04617" w:rsidRPr="004142BD" w:rsidRDefault="00F04617" w:rsidP="00EA09C7">
            <w:pPr>
              <w:widowControl w:val="0"/>
              <w:spacing w:line="240" w:lineRule="auto"/>
              <w:jc w:val="center"/>
              <w:rPr>
                <w:sz w:val="22"/>
                <w:szCs w:val="22"/>
              </w:rPr>
            </w:pPr>
            <w:r w:rsidRPr="004142BD">
              <w:rPr>
                <w:sz w:val="22"/>
                <w:szCs w:val="22"/>
              </w:rPr>
              <w:t>64</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61DA94D" w14:textId="77777777" w:rsidR="00F04617" w:rsidRPr="004142BD" w:rsidRDefault="00F04617" w:rsidP="00EA09C7">
            <w:pPr>
              <w:widowControl w:val="0"/>
              <w:spacing w:line="240" w:lineRule="auto"/>
              <w:jc w:val="center"/>
              <w:rPr>
                <w:sz w:val="22"/>
                <w:szCs w:val="22"/>
              </w:rPr>
            </w:pPr>
            <w:r w:rsidRPr="004142BD">
              <w:rPr>
                <w:sz w:val="22"/>
                <w:szCs w:val="22"/>
              </w:rPr>
              <w:t>43</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AF4B555"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8DD46DD" w14:textId="77777777" w:rsidR="00F04617" w:rsidRPr="004142BD" w:rsidRDefault="00F04617" w:rsidP="00EA09C7">
            <w:pPr>
              <w:widowControl w:val="0"/>
              <w:spacing w:line="240" w:lineRule="auto"/>
              <w:jc w:val="center"/>
              <w:rPr>
                <w:sz w:val="22"/>
                <w:szCs w:val="22"/>
              </w:rPr>
            </w:pPr>
            <w:r w:rsidRPr="004142BD">
              <w:rPr>
                <w:sz w:val="22"/>
                <w:szCs w:val="22"/>
              </w:rPr>
              <w:t>Yes</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BF43C9E" w14:textId="77777777" w:rsidR="00F04617" w:rsidRPr="004142BD" w:rsidRDefault="00F04617" w:rsidP="00EA09C7">
            <w:pPr>
              <w:widowControl w:val="0"/>
              <w:spacing w:line="240" w:lineRule="auto"/>
              <w:jc w:val="center"/>
              <w:rPr>
                <w:sz w:val="22"/>
                <w:szCs w:val="22"/>
              </w:rPr>
            </w:pPr>
            <w:r w:rsidRPr="004142BD">
              <w:rPr>
                <w:sz w:val="22"/>
                <w:szCs w:val="22"/>
              </w:rPr>
              <w:t>Unclear</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3C632F1" w14:textId="77777777" w:rsidR="00F04617" w:rsidRPr="004142BD" w:rsidRDefault="00F04617" w:rsidP="00EA09C7">
            <w:pPr>
              <w:widowControl w:val="0"/>
              <w:spacing w:line="240" w:lineRule="auto"/>
              <w:jc w:val="center"/>
              <w:rPr>
                <w:sz w:val="22"/>
                <w:szCs w:val="22"/>
              </w:rPr>
            </w:pPr>
            <w:r w:rsidRPr="004142BD">
              <w:rPr>
                <w:sz w:val="22"/>
                <w:szCs w:val="22"/>
              </w:rPr>
              <w:t>Credit</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59D3492" w14:textId="77777777" w:rsidR="00F04617" w:rsidRPr="004142BD" w:rsidRDefault="00F04617" w:rsidP="00EA09C7">
            <w:pPr>
              <w:widowControl w:val="0"/>
              <w:spacing w:line="240" w:lineRule="auto"/>
              <w:jc w:val="center"/>
              <w:rPr>
                <w:sz w:val="22"/>
                <w:szCs w:val="22"/>
              </w:rPr>
            </w:pPr>
            <w:r w:rsidRPr="004142BD">
              <w:rPr>
                <w:sz w:val="22"/>
                <w:szCs w:val="22"/>
              </w:rPr>
              <w:t>ANOVA</w:t>
            </w:r>
          </w:p>
        </w:tc>
      </w:tr>
      <w:tr w:rsidR="00F04617" w14:paraId="66513F42" w14:textId="77777777" w:rsidTr="00EA09C7">
        <w:trPr>
          <w:trHeight w:val="144"/>
        </w:trPr>
        <w:tc>
          <w:tcPr>
            <w:tcW w:w="450" w:type="pct"/>
            <w:vMerge/>
            <w:tcBorders>
              <w:left w:val="single" w:sz="8" w:space="0" w:color="FFFFFF"/>
              <w:right w:val="single" w:sz="8" w:space="0" w:color="FFFFFF"/>
            </w:tcBorders>
            <w:tcMar>
              <w:top w:w="20" w:type="dxa"/>
              <w:left w:w="20" w:type="dxa"/>
              <w:bottom w:w="100" w:type="dxa"/>
              <w:right w:w="20" w:type="dxa"/>
            </w:tcMar>
          </w:tcPr>
          <w:p w14:paraId="53E07C8C" w14:textId="77777777" w:rsidR="00F04617" w:rsidRPr="004142BD" w:rsidRDefault="00F04617" w:rsidP="00EA09C7">
            <w:pPr>
              <w:widowControl w:val="0"/>
              <w:spacing w:line="240" w:lineRule="auto"/>
              <w:jc w:val="center"/>
              <w:rPr>
                <w:sz w:val="22"/>
                <w:szCs w:val="22"/>
              </w:rPr>
            </w:pPr>
          </w:p>
        </w:tc>
        <w:tc>
          <w:tcPr>
            <w:tcW w:w="630" w:type="pct"/>
            <w:vMerge/>
            <w:tcBorders>
              <w:left w:val="single" w:sz="8" w:space="0" w:color="FFFFFF"/>
              <w:right w:val="single" w:sz="8" w:space="0" w:color="FFFFFF"/>
            </w:tcBorders>
            <w:tcMar>
              <w:top w:w="20" w:type="dxa"/>
              <w:left w:w="20" w:type="dxa"/>
              <w:bottom w:w="100" w:type="dxa"/>
              <w:right w:w="20" w:type="dxa"/>
            </w:tcMar>
          </w:tcPr>
          <w:p w14:paraId="6616F633" w14:textId="77777777" w:rsidR="00F04617" w:rsidRPr="004142BD" w:rsidRDefault="00F04617" w:rsidP="00EA09C7">
            <w:pPr>
              <w:widowControl w:val="0"/>
              <w:spacing w:line="240" w:lineRule="auto"/>
              <w:jc w:val="center"/>
              <w:rPr>
                <w:sz w:val="22"/>
                <w:szCs w:val="22"/>
              </w:rPr>
            </w:pP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9EFFF96"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72CD70A" w14:textId="77777777" w:rsidR="00F04617" w:rsidRPr="004142BD" w:rsidRDefault="00F04617" w:rsidP="00EA09C7">
            <w:pPr>
              <w:widowControl w:val="0"/>
              <w:spacing w:line="240" w:lineRule="auto"/>
              <w:jc w:val="center"/>
              <w:rPr>
                <w:sz w:val="22"/>
                <w:szCs w:val="22"/>
              </w:rPr>
            </w:pPr>
            <w:r w:rsidRPr="004142BD">
              <w:rPr>
                <w:sz w:val="22"/>
                <w:szCs w:val="22"/>
              </w:rPr>
              <w:t>187</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E426149" w14:textId="77777777" w:rsidR="00F04617" w:rsidRPr="004142BD" w:rsidRDefault="00F04617" w:rsidP="00EA09C7">
            <w:pPr>
              <w:widowControl w:val="0"/>
              <w:spacing w:line="240" w:lineRule="auto"/>
              <w:jc w:val="center"/>
              <w:rPr>
                <w:sz w:val="22"/>
                <w:szCs w:val="22"/>
              </w:rPr>
            </w:pPr>
            <w:r w:rsidRPr="004142BD">
              <w:rPr>
                <w:sz w:val="22"/>
                <w:szCs w:val="22"/>
              </w:rPr>
              <w:t>78</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39B38BC"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4DC7106"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7E895CD"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0C789CD" w14:textId="77777777" w:rsidR="00F04617" w:rsidRPr="004142BD" w:rsidRDefault="00F04617" w:rsidP="00EA09C7">
            <w:pPr>
              <w:widowControl w:val="0"/>
              <w:spacing w:line="240" w:lineRule="auto"/>
              <w:jc w:val="center"/>
              <w:rPr>
                <w:sz w:val="22"/>
                <w:szCs w:val="22"/>
              </w:rPr>
            </w:pPr>
            <w:r w:rsidRPr="004142BD">
              <w:rPr>
                <w:sz w:val="22"/>
                <w:szCs w:val="22"/>
              </w:rPr>
              <w:t>Credit</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1FE5D62" w14:textId="77777777" w:rsidR="00F04617" w:rsidRPr="004142BD" w:rsidRDefault="00F04617" w:rsidP="00EA09C7">
            <w:pPr>
              <w:widowControl w:val="0"/>
              <w:spacing w:line="240" w:lineRule="auto"/>
              <w:jc w:val="center"/>
              <w:rPr>
                <w:sz w:val="22"/>
                <w:szCs w:val="22"/>
              </w:rPr>
            </w:pPr>
            <w:proofErr w:type="spellStart"/>
            <w:r w:rsidRPr="004142BD">
              <w:rPr>
                <w:sz w:val="22"/>
                <w:szCs w:val="22"/>
              </w:rPr>
              <w:t>Descriptives</w:t>
            </w:r>
            <w:proofErr w:type="spellEnd"/>
            <w:r w:rsidRPr="004142BD">
              <w:rPr>
                <w:sz w:val="22"/>
                <w:szCs w:val="22"/>
              </w:rPr>
              <w:t xml:space="preserve"> only</w:t>
            </w:r>
          </w:p>
        </w:tc>
      </w:tr>
      <w:tr w:rsidR="00F04617" w14:paraId="3833BF76" w14:textId="77777777" w:rsidTr="00EA09C7">
        <w:trPr>
          <w:trHeight w:val="144"/>
        </w:trPr>
        <w:tc>
          <w:tcPr>
            <w:tcW w:w="450" w:type="pct"/>
            <w:vMerge/>
            <w:tcBorders>
              <w:left w:val="single" w:sz="8" w:space="0" w:color="FFFFFF"/>
              <w:right w:val="single" w:sz="8" w:space="0" w:color="FFFFFF"/>
            </w:tcBorders>
            <w:tcMar>
              <w:top w:w="20" w:type="dxa"/>
              <w:left w:w="20" w:type="dxa"/>
              <w:bottom w:w="100" w:type="dxa"/>
              <w:right w:w="20" w:type="dxa"/>
            </w:tcMar>
          </w:tcPr>
          <w:p w14:paraId="55F4ABD4" w14:textId="77777777" w:rsidR="00F04617" w:rsidRPr="004142BD" w:rsidRDefault="00F04617" w:rsidP="00EA09C7">
            <w:pPr>
              <w:widowControl w:val="0"/>
              <w:spacing w:line="240" w:lineRule="auto"/>
              <w:jc w:val="center"/>
              <w:rPr>
                <w:sz w:val="22"/>
                <w:szCs w:val="22"/>
              </w:rPr>
            </w:pPr>
          </w:p>
        </w:tc>
        <w:tc>
          <w:tcPr>
            <w:tcW w:w="630" w:type="pct"/>
            <w:vMerge/>
            <w:tcBorders>
              <w:left w:val="single" w:sz="8" w:space="0" w:color="FFFFFF"/>
              <w:right w:val="single" w:sz="8" w:space="0" w:color="FFFFFF"/>
            </w:tcBorders>
            <w:tcMar>
              <w:top w:w="20" w:type="dxa"/>
              <w:left w:w="20" w:type="dxa"/>
              <w:bottom w:w="100" w:type="dxa"/>
              <w:right w:w="20" w:type="dxa"/>
            </w:tcMar>
          </w:tcPr>
          <w:p w14:paraId="2670D097" w14:textId="77777777" w:rsidR="00F04617" w:rsidRPr="004142BD" w:rsidRDefault="00F04617" w:rsidP="00EA09C7">
            <w:pPr>
              <w:widowControl w:val="0"/>
              <w:spacing w:line="240" w:lineRule="auto"/>
              <w:jc w:val="center"/>
              <w:rPr>
                <w:sz w:val="22"/>
                <w:szCs w:val="22"/>
              </w:rPr>
            </w:pP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0FEEBE6"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EACB57D" w14:textId="77777777" w:rsidR="00F04617" w:rsidRPr="004142BD" w:rsidRDefault="00F04617" w:rsidP="00EA09C7">
            <w:pPr>
              <w:widowControl w:val="0"/>
              <w:spacing w:line="240" w:lineRule="auto"/>
              <w:jc w:val="center"/>
              <w:rPr>
                <w:sz w:val="22"/>
                <w:szCs w:val="22"/>
              </w:rPr>
            </w:pPr>
            <w:r w:rsidRPr="004142BD">
              <w:rPr>
                <w:sz w:val="22"/>
                <w:szCs w:val="22"/>
              </w:rPr>
              <w:t>129</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2BB5B92" w14:textId="77777777" w:rsidR="00F04617" w:rsidRPr="004142BD" w:rsidRDefault="00F04617" w:rsidP="00EA09C7">
            <w:pPr>
              <w:widowControl w:val="0"/>
              <w:spacing w:line="240" w:lineRule="auto"/>
              <w:jc w:val="center"/>
              <w:rPr>
                <w:sz w:val="22"/>
                <w:szCs w:val="22"/>
              </w:rPr>
            </w:pPr>
            <w:r w:rsidRPr="004142BD">
              <w:rPr>
                <w:sz w:val="22"/>
                <w:szCs w:val="22"/>
              </w:rPr>
              <w:t>56</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8B4BDBE"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8DFE35D"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022293F"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9953426" w14:textId="77777777" w:rsidR="00F04617" w:rsidRPr="004142BD" w:rsidRDefault="00F04617" w:rsidP="00EA09C7">
            <w:pPr>
              <w:widowControl w:val="0"/>
              <w:spacing w:line="240" w:lineRule="auto"/>
              <w:jc w:val="center"/>
              <w:rPr>
                <w:sz w:val="22"/>
                <w:szCs w:val="22"/>
              </w:rPr>
            </w:pPr>
            <w:r w:rsidRPr="004142BD">
              <w:rPr>
                <w:sz w:val="22"/>
                <w:szCs w:val="22"/>
              </w:rPr>
              <w:t>Credit</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BFE5C9E" w14:textId="77777777" w:rsidR="00F04617" w:rsidRPr="004142BD" w:rsidRDefault="00F04617" w:rsidP="00EA09C7">
            <w:pPr>
              <w:widowControl w:val="0"/>
              <w:spacing w:line="240" w:lineRule="auto"/>
              <w:jc w:val="center"/>
              <w:rPr>
                <w:sz w:val="22"/>
                <w:szCs w:val="22"/>
              </w:rPr>
            </w:pPr>
            <w:r w:rsidRPr="004142BD">
              <w:rPr>
                <w:sz w:val="22"/>
                <w:szCs w:val="22"/>
              </w:rPr>
              <w:t>ANOVA</w:t>
            </w:r>
          </w:p>
        </w:tc>
      </w:tr>
      <w:tr w:rsidR="00F04617" w14:paraId="0C7322AD" w14:textId="77777777" w:rsidTr="00EA09C7">
        <w:trPr>
          <w:trHeight w:val="144"/>
        </w:trPr>
        <w:tc>
          <w:tcPr>
            <w:tcW w:w="450" w:type="pct"/>
            <w:vMerge/>
            <w:tcBorders>
              <w:left w:val="single" w:sz="8" w:space="0" w:color="FFFFFF"/>
              <w:right w:val="single" w:sz="8" w:space="0" w:color="FFFFFF"/>
            </w:tcBorders>
            <w:tcMar>
              <w:top w:w="20" w:type="dxa"/>
              <w:left w:w="20" w:type="dxa"/>
              <w:bottom w:w="100" w:type="dxa"/>
              <w:right w:w="20" w:type="dxa"/>
            </w:tcMar>
          </w:tcPr>
          <w:p w14:paraId="3444F632" w14:textId="77777777" w:rsidR="00F04617" w:rsidRPr="004142BD" w:rsidRDefault="00F04617" w:rsidP="00EA09C7">
            <w:pPr>
              <w:widowControl w:val="0"/>
              <w:spacing w:line="240" w:lineRule="auto"/>
              <w:jc w:val="center"/>
              <w:rPr>
                <w:sz w:val="22"/>
                <w:szCs w:val="22"/>
              </w:rPr>
            </w:pPr>
          </w:p>
        </w:tc>
        <w:tc>
          <w:tcPr>
            <w:tcW w:w="630" w:type="pct"/>
            <w:vMerge/>
            <w:tcBorders>
              <w:left w:val="single" w:sz="8" w:space="0" w:color="FFFFFF"/>
              <w:right w:val="single" w:sz="8" w:space="0" w:color="FFFFFF"/>
            </w:tcBorders>
            <w:tcMar>
              <w:top w:w="20" w:type="dxa"/>
              <w:left w:w="20" w:type="dxa"/>
              <w:bottom w:w="100" w:type="dxa"/>
              <w:right w:w="20" w:type="dxa"/>
            </w:tcMar>
          </w:tcPr>
          <w:p w14:paraId="54A5BE52" w14:textId="77777777" w:rsidR="00F04617" w:rsidRPr="004142BD" w:rsidRDefault="00F04617" w:rsidP="00EA09C7">
            <w:pPr>
              <w:widowControl w:val="0"/>
              <w:spacing w:line="240" w:lineRule="auto"/>
              <w:jc w:val="center"/>
              <w:rPr>
                <w:sz w:val="22"/>
                <w:szCs w:val="22"/>
              </w:rPr>
            </w:pP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58327AD"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3961A86" w14:textId="77777777" w:rsidR="00F04617" w:rsidRPr="004142BD" w:rsidRDefault="00F04617" w:rsidP="00EA09C7">
            <w:pPr>
              <w:widowControl w:val="0"/>
              <w:spacing w:line="240" w:lineRule="auto"/>
              <w:jc w:val="center"/>
              <w:rPr>
                <w:sz w:val="22"/>
                <w:szCs w:val="22"/>
              </w:rPr>
            </w:pPr>
            <w:r w:rsidRPr="004142BD">
              <w:rPr>
                <w:sz w:val="22"/>
                <w:szCs w:val="22"/>
              </w:rPr>
              <w:t>510</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0845820" w14:textId="77777777" w:rsidR="00F04617" w:rsidRPr="004142BD" w:rsidRDefault="00F04617" w:rsidP="00EA09C7">
            <w:pPr>
              <w:widowControl w:val="0"/>
              <w:spacing w:line="240" w:lineRule="auto"/>
              <w:jc w:val="center"/>
              <w:rPr>
                <w:sz w:val="22"/>
                <w:szCs w:val="22"/>
              </w:rPr>
            </w:pPr>
            <w:r w:rsidRPr="004142BD">
              <w:rPr>
                <w:sz w:val="22"/>
                <w:szCs w:val="22"/>
              </w:rPr>
              <w:t>356</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35AE7A" w14:textId="77777777" w:rsidR="00F04617" w:rsidRPr="004142BD" w:rsidRDefault="00F04617" w:rsidP="00EA09C7">
            <w:pPr>
              <w:widowControl w:val="0"/>
              <w:spacing w:line="240" w:lineRule="auto"/>
              <w:jc w:val="center"/>
              <w:rPr>
                <w:sz w:val="22"/>
                <w:szCs w:val="22"/>
              </w:rPr>
            </w:pPr>
            <w:r w:rsidRPr="004142BD">
              <w:rPr>
                <w:sz w:val="22"/>
                <w:szCs w:val="22"/>
              </w:rPr>
              <w:t>Community</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67332B2"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6CAF3B"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08B38BD" w14:textId="77777777" w:rsidR="00F04617" w:rsidRPr="004142BD" w:rsidRDefault="00F04617" w:rsidP="00EA09C7">
            <w:pPr>
              <w:widowControl w:val="0"/>
              <w:spacing w:line="240" w:lineRule="auto"/>
              <w:jc w:val="center"/>
              <w:rPr>
                <w:sz w:val="22"/>
                <w:szCs w:val="22"/>
              </w:rPr>
            </w:pPr>
            <w:r w:rsidRPr="004142BD">
              <w:rPr>
                <w:sz w:val="22"/>
                <w:szCs w:val="22"/>
              </w:rPr>
              <w:t>Money</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80C5704" w14:textId="77777777" w:rsidR="00F04617" w:rsidRPr="004142BD" w:rsidRDefault="00F04617" w:rsidP="00EA09C7">
            <w:pPr>
              <w:widowControl w:val="0"/>
              <w:spacing w:line="240" w:lineRule="auto"/>
              <w:jc w:val="center"/>
              <w:rPr>
                <w:sz w:val="22"/>
                <w:szCs w:val="22"/>
              </w:rPr>
            </w:pPr>
            <w:r w:rsidRPr="004142BD">
              <w:rPr>
                <w:sz w:val="22"/>
                <w:szCs w:val="22"/>
              </w:rPr>
              <w:t>Linear Mixed Model</w:t>
            </w:r>
          </w:p>
        </w:tc>
      </w:tr>
      <w:tr w:rsidR="00F04617" w14:paraId="5EEE0F70" w14:textId="77777777" w:rsidTr="00EA09C7">
        <w:trPr>
          <w:trHeight w:val="144"/>
        </w:trPr>
        <w:tc>
          <w:tcPr>
            <w:tcW w:w="450" w:type="pct"/>
            <w:vMerge/>
            <w:tcBorders>
              <w:left w:val="single" w:sz="8" w:space="0" w:color="FFFFFF"/>
              <w:right w:val="single" w:sz="8" w:space="0" w:color="FFFFFF"/>
            </w:tcBorders>
            <w:tcMar>
              <w:top w:w="20" w:type="dxa"/>
              <w:left w:w="20" w:type="dxa"/>
              <w:bottom w:w="100" w:type="dxa"/>
              <w:right w:w="20" w:type="dxa"/>
            </w:tcMar>
          </w:tcPr>
          <w:p w14:paraId="38060D5B" w14:textId="77777777" w:rsidR="00F04617" w:rsidRPr="004142BD" w:rsidRDefault="00F04617" w:rsidP="00EA09C7">
            <w:pPr>
              <w:widowControl w:val="0"/>
              <w:spacing w:line="240" w:lineRule="auto"/>
              <w:jc w:val="center"/>
              <w:rPr>
                <w:sz w:val="22"/>
                <w:szCs w:val="22"/>
              </w:rPr>
            </w:pPr>
          </w:p>
        </w:tc>
        <w:tc>
          <w:tcPr>
            <w:tcW w:w="630" w:type="pct"/>
            <w:vMerge/>
            <w:tcBorders>
              <w:left w:val="single" w:sz="8" w:space="0" w:color="FFFFFF"/>
              <w:right w:val="single" w:sz="8" w:space="0" w:color="FFFFFF"/>
            </w:tcBorders>
            <w:tcMar>
              <w:top w:w="20" w:type="dxa"/>
              <w:left w:w="20" w:type="dxa"/>
              <w:bottom w:w="100" w:type="dxa"/>
              <w:right w:w="20" w:type="dxa"/>
            </w:tcMar>
          </w:tcPr>
          <w:p w14:paraId="5B3B32F9" w14:textId="77777777" w:rsidR="00F04617" w:rsidRPr="004142BD" w:rsidRDefault="00F04617" w:rsidP="00EA09C7">
            <w:pPr>
              <w:widowControl w:val="0"/>
              <w:spacing w:line="240" w:lineRule="auto"/>
              <w:jc w:val="center"/>
              <w:rPr>
                <w:sz w:val="22"/>
                <w:szCs w:val="22"/>
              </w:rPr>
            </w:pP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91F6F46"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5FC8ABA" w14:textId="77777777" w:rsidR="00F04617" w:rsidRPr="004142BD" w:rsidRDefault="00F04617" w:rsidP="00EA09C7">
            <w:pPr>
              <w:widowControl w:val="0"/>
              <w:spacing w:line="240" w:lineRule="auto"/>
              <w:jc w:val="center"/>
              <w:rPr>
                <w:sz w:val="22"/>
                <w:szCs w:val="22"/>
              </w:rPr>
            </w:pPr>
            <w:r w:rsidRPr="004142BD">
              <w:rPr>
                <w:sz w:val="22"/>
                <w:szCs w:val="22"/>
              </w:rPr>
              <w:t>213</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462C130" w14:textId="77777777" w:rsidR="00F04617" w:rsidRPr="004142BD" w:rsidRDefault="00F04617" w:rsidP="00EA09C7">
            <w:pPr>
              <w:widowControl w:val="0"/>
              <w:spacing w:line="240" w:lineRule="auto"/>
              <w:jc w:val="center"/>
              <w:rPr>
                <w:sz w:val="22"/>
                <w:szCs w:val="22"/>
              </w:rPr>
            </w:pPr>
            <w:r w:rsidRPr="004142BD">
              <w:rPr>
                <w:sz w:val="22"/>
                <w:szCs w:val="22"/>
              </w:rPr>
              <w:t>103</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B9A0A15"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F819195"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8BAE5AF"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50A3B45" w14:textId="77777777" w:rsidR="00F04617" w:rsidRPr="004142BD" w:rsidRDefault="00F04617" w:rsidP="00EA09C7">
            <w:pPr>
              <w:widowControl w:val="0"/>
              <w:spacing w:line="240" w:lineRule="auto"/>
              <w:jc w:val="center"/>
              <w:rPr>
                <w:sz w:val="22"/>
                <w:szCs w:val="22"/>
              </w:rPr>
            </w:pPr>
            <w:r w:rsidRPr="004142BD">
              <w:rPr>
                <w:sz w:val="22"/>
                <w:szCs w:val="22"/>
              </w:rPr>
              <w:t>Credit</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490B7F6" w14:textId="77777777" w:rsidR="00F04617" w:rsidRPr="004142BD" w:rsidRDefault="00F04617" w:rsidP="00EA09C7">
            <w:pPr>
              <w:widowControl w:val="0"/>
              <w:spacing w:line="240" w:lineRule="auto"/>
              <w:jc w:val="center"/>
              <w:rPr>
                <w:sz w:val="22"/>
                <w:szCs w:val="22"/>
              </w:rPr>
            </w:pPr>
            <w:r w:rsidRPr="004142BD">
              <w:rPr>
                <w:sz w:val="22"/>
                <w:szCs w:val="22"/>
              </w:rPr>
              <w:t>ANOVA</w:t>
            </w:r>
          </w:p>
        </w:tc>
      </w:tr>
      <w:tr w:rsidR="00F04617" w14:paraId="5D5FE555" w14:textId="77777777" w:rsidTr="00EA09C7">
        <w:trPr>
          <w:trHeight w:val="144"/>
        </w:trPr>
        <w:tc>
          <w:tcPr>
            <w:tcW w:w="450" w:type="pct"/>
            <w:vMerge/>
            <w:tcBorders>
              <w:left w:val="single" w:sz="8" w:space="0" w:color="FFFFFF"/>
              <w:right w:val="single" w:sz="8" w:space="0" w:color="FFFFFF"/>
            </w:tcBorders>
            <w:tcMar>
              <w:top w:w="20" w:type="dxa"/>
              <w:left w:w="20" w:type="dxa"/>
              <w:bottom w:w="100" w:type="dxa"/>
              <w:right w:w="20" w:type="dxa"/>
            </w:tcMar>
          </w:tcPr>
          <w:p w14:paraId="6DD328EE" w14:textId="77777777" w:rsidR="00F04617" w:rsidRPr="004142BD" w:rsidRDefault="00F04617" w:rsidP="00EA09C7">
            <w:pPr>
              <w:widowControl w:val="0"/>
              <w:spacing w:line="240" w:lineRule="auto"/>
              <w:jc w:val="center"/>
              <w:rPr>
                <w:sz w:val="22"/>
                <w:szCs w:val="22"/>
              </w:rPr>
            </w:pPr>
          </w:p>
        </w:tc>
        <w:tc>
          <w:tcPr>
            <w:tcW w:w="630" w:type="pct"/>
            <w:vMerge/>
            <w:tcBorders>
              <w:left w:val="single" w:sz="8" w:space="0" w:color="FFFFFF"/>
              <w:right w:val="single" w:sz="8" w:space="0" w:color="FFFFFF"/>
            </w:tcBorders>
            <w:tcMar>
              <w:top w:w="20" w:type="dxa"/>
              <w:left w:w="20" w:type="dxa"/>
              <w:bottom w:w="100" w:type="dxa"/>
              <w:right w:w="20" w:type="dxa"/>
            </w:tcMar>
          </w:tcPr>
          <w:p w14:paraId="58D62C38" w14:textId="77777777" w:rsidR="00F04617" w:rsidRPr="004142BD" w:rsidRDefault="00F04617" w:rsidP="00EA09C7">
            <w:pPr>
              <w:widowControl w:val="0"/>
              <w:spacing w:line="240" w:lineRule="auto"/>
              <w:jc w:val="center"/>
              <w:rPr>
                <w:sz w:val="22"/>
                <w:szCs w:val="22"/>
              </w:rPr>
            </w:pP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B6B40A1"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9B23A0" w14:textId="77777777" w:rsidR="00F04617" w:rsidRPr="004142BD" w:rsidRDefault="00F04617" w:rsidP="00EA09C7">
            <w:pPr>
              <w:widowControl w:val="0"/>
              <w:spacing w:line="240" w:lineRule="auto"/>
              <w:jc w:val="center"/>
              <w:rPr>
                <w:sz w:val="22"/>
                <w:szCs w:val="22"/>
              </w:rPr>
            </w:pPr>
            <w:r w:rsidRPr="004142BD">
              <w:rPr>
                <w:sz w:val="22"/>
                <w:szCs w:val="22"/>
              </w:rPr>
              <w:t>135</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6B2815F" w14:textId="77777777" w:rsidR="00F04617" w:rsidRPr="004142BD" w:rsidRDefault="00F04617" w:rsidP="00EA09C7">
            <w:pPr>
              <w:widowControl w:val="0"/>
              <w:spacing w:line="240" w:lineRule="auto"/>
              <w:jc w:val="center"/>
              <w:rPr>
                <w:sz w:val="22"/>
                <w:szCs w:val="22"/>
              </w:rPr>
            </w:pPr>
            <w:r w:rsidRPr="004142BD">
              <w:rPr>
                <w:sz w:val="22"/>
                <w:szCs w:val="22"/>
              </w:rPr>
              <w:t>63</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91A07F5" w14:textId="77777777" w:rsidR="00F04617" w:rsidRPr="004142BD" w:rsidRDefault="00F04617" w:rsidP="00EA09C7">
            <w:pPr>
              <w:widowControl w:val="0"/>
              <w:spacing w:line="240" w:lineRule="auto"/>
              <w:jc w:val="center"/>
              <w:rPr>
                <w:sz w:val="22"/>
                <w:szCs w:val="22"/>
              </w:rPr>
            </w:pPr>
            <w:r w:rsidRPr="004142BD">
              <w:rPr>
                <w:sz w:val="22"/>
                <w:szCs w:val="22"/>
              </w:rPr>
              <w:t>Both</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6B011F4"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BAD9037"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C8247E6" w14:textId="77777777" w:rsidR="00F04617" w:rsidRPr="004142BD" w:rsidRDefault="00F04617" w:rsidP="00EA09C7">
            <w:pPr>
              <w:widowControl w:val="0"/>
              <w:spacing w:line="240" w:lineRule="auto"/>
              <w:jc w:val="center"/>
              <w:rPr>
                <w:sz w:val="22"/>
                <w:szCs w:val="22"/>
              </w:rPr>
            </w:pPr>
            <w:r w:rsidRPr="004142BD">
              <w:rPr>
                <w:sz w:val="22"/>
                <w:szCs w:val="22"/>
              </w:rPr>
              <w:t>Students: Credit; Community: None</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D0D2C0D" w14:textId="77777777" w:rsidR="00F04617" w:rsidRPr="004142BD" w:rsidRDefault="00F04617" w:rsidP="00EA09C7">
            <w:pPr>
              <w:widowControl w:val="0"/>
              <w:spacing w:line="240" w:lineRule="auto"/>
              <w:jc w:val="center"/>
              <w:rPr>
                <w:sz w:val="22"/>
                <w:szCs w:val="22"/>
              </w:rPr>
            </w:pPr>
            <w:r w:rsidRPr="004142BD">
              <w:rPr>
                <w:sz w:val="22"/>
                <w:szCs w:val="22"/>
              </w:rPr>
              <w:t>None</w:t>
            </w:r>
          </w:p>
        </w:tc>
      </w:tr>
      <w:tr w:rsidR="00F04617" w14:paraId="393B3A26" w14:textId="77777777" w:rsidTr="00EA09C7">
        <w:trPr>
          <w:trHeight w:val="144"/>
        </w:trPr>
        <w:tc>
          <w:tcPr>
            <w:tcW w:w="450" w:type="pct"/>
            <w:vMerge/>
            <w:tcBorders>
              <w:left w:val="single" w:sz="8" w:space="0" w:color="FFFFFF"/>
              <w:right w:val="single" w:sz="8" w:space="0" w:color="FFFFFF"/>
            </w:tcBorders>
            <w:tcMar>
              <w:top w:w="20" w:type="dxa"/>
              <w:left w:w="20" w:type="dxa"/>
              <w:bottom w:w="100" w:type="dxa"/>
              <w:right w:w="20" w:type="dxa"/>
            </w:tcMar>
          </w:tcPr>
          <w:p w14:paraId="42EDDC53" w14:textId="77777777" w:rsidR="00F04617" w:rsidRPr="004142BD" w:rsidRDefault="00F04617" w:rsidP="00EA09C7">
            <w:pPr>
              <w:widowControl w:val="0"/>
              <w:spacing w:line="240" w:lineRule="auto"/>
              <w:jc w:val="center"/>
              <w:rPr>
                <w:sz w:val="22"/>
                <w:szCs w:val="22"/>
              </w:rPr>
            </w:pPr>
          </w:p>
        </w:tc>
        <w:tc>
          <w:tcPr>
            <w:tcW w:w="630" w:type="pct"/>
            <w:vMerge/>
            <w:tcBorders>
              <w:left w:val="single" w:sz="8" w:space="0" w:color="FFFFFF"/>
              <w:right w:val="single" w:sz="8" w:space="0" w:color="FFFFFF"/>
            </w:tcBorders>
            <w:tcMar>
              <w:top w:w="20" w:type="dxa"/>
              <w:left w:w="20" w:type="dxa"/>
              <w:bottom w:w="100" w:type="dxa"/>
              <w:right w:w="20" w:type="dxa"/>
            </w:tcMar>
          </w:tcPr>
          <w:p w14:paraId="3A2A2BF4" w14:textId="77777777" w:rsidR="00F04617" w:rsidRPr="004142BD" w:rsidRDefault="00F04617" w:rsidP="00EA09C7">
            <w:pPr>
              <w:widowControl w:val="0"/>
              <w:spacing w:line="240" w:lineRule="auto"/>
              <w:jc w:val="center"/>
              <w:rPr>
                <w:sz w:val="22"/>
                <w:szCs w:val="22"/>
              </w:rPr>
            </w:pP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EE4F445"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07C09F5" w14:textId="77777777" w:rsidR="00F04617" w:rsidRPr="004142BD" w:rsidRDefault="00F04617" w:rsidP="00EA09C7">
            <w:pPr>
              <w:widowControl w:val="0"/>
              <w:spacing w:line="240" w:lineRule="auto"/>
              <w:jc w:val="center"/>
              <w:rPr>
                <w:sz w:val="22"/>
                <w:szCs w:val="22"/>
              </w:rPr>
            </w:pPr>
            <w:r w:rsidRPr="004142BD">
              <w:rPr>
                <w:sz w:val="22"/>
                <w:szCs w:val="22"/>
              </w:rPr>
              <w:t>162</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196BE78" w14:textId="77777777" w:rsidR="00F04617" w:rsidRPr="004142BD" w:rsidRDefault="00F04617" w:rsidP="00EA09C7">
            <w:pPr>
              <w:widowControl w:val="0"/>
              <w:spacing w:line="240" w:lineRule="auto"/>
              <w:jc w:val="center"/>
              <w:rPr>
                <w:sz w:val="22"/>
                <w:szCs w:val="22"/>
              </w:rPr>
            </w:pPr>
            <w:r w:rsidRPr="004142BD">
              <w:rPr>
                <w:sz w:val="22"/>
                <w:szCs w:val="22"/>
              </w:rPr>
              <w:t>93</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F15B97E"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F79DD94"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136698F"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F7C50EB" w14:textId="77777777" w:rsidR="00F04617" w:rsidRPr="004142BD" w:rsidRDefault="00F04617" w:rsidP="00EA09C7">
            <w:pPr>
              <w:widowControl w:val="0"/>
              <w:spacing w:line="240" w:lineRule="auto"/>
              <w:jc w:val="center"/>
              <w:rPr>
                <w:sz w:val="22"/>
                <w:szCs w:val="22"/>
              </w:rPr>
            </w:pPr>
            <w:r w:rsidRPr="004142BD">
              <w:rPr>
                <w:sz w:val="22"/>
                <w:szCs w:val="22"/>
              </w:rPr>
              <w:t>Credit</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F39032A" w14:textId="77777777" w:rsidR="00F04617" w:rsidRPr="004142BD" w:rsidRDefault="00F04617" w:rsidP="00EA09C7">
            <w:pPr>
              <w:widowControl w:val="0"/>
              <w:spacing w:line="240" w:lineRule="auto"/>
              <w:jc w:val="center"/>
              <w:rPr>
                <w:sz w:val="22"/>
                <w:szCs w:val="22"/>
              </w:rPr>
            </w:pPr>
            <w:r w:rsidRPr="004142BD">
              <w:rPr>
                <w:sz w:val="22"/>
                <w:szCs w:val="22"/>
              </w:rPr>
              <w:t>None</w:t>
            </w:r>
          </w:p>
        </w:tc>
      </w:tr>
      <w:tr w:rsidR="00F04617" w14:paraId="47A00BB7" w14:textId="77777777" w:rsidTr="00EA09C7">
        <w:trPr>
          <w:trHeight w:val="144"/>
        </w:trPr>
        <w:tc>
          <w:tcPr>
            <w:tcW w:w="450" w:type="pct"/>
            <w:vMerge/>
            <w:tcBorders>
              <w:left w:val="single" w:sz="8" w:space="0" w:color="FFFFFF"/>
              <w:right w:val="single" w:sz="8" w:space="0" w:color="FFFFFF"/>
            </w:tcBorders>
            <w:tcMar>
              <w:top w:w="20" w:type="dxa"/>
              <w:left w:w="20" w:type="dxa"/>
              <w:bottom w:w="100" w:type="dxa"/>
              <w:right w:w="20" w:type="dxa"/>
            </w:tcMar>
          </w:tcPr>
          <w:p w14:paraId="3032A01E" w14:textId="77777777" w:rsidR="00F04617" w:rsidRPr="004142BD" w:rsidRDefault="00F04617" w:rsidP="00EA09C7">
            <w:pPr>
              <w:widowControl w:val="0"/>
              <w:spacing w:line="240" w:lineRule="auto"/>
              <w:jc w:val="center"/>
              <w:rPr>
                <w:sz w:val="22"/>
                <w:szCs w:val="22"/>
              </w:rPr>
            </w:pPr>
          </w:p>
        </w:tc>
        <w:tc>
          <w:tcPr>
            <w:tcW w:w="630" w:type="pct"/>
            <w:vMerge/>
            <w:tcBorders>
              <w:left w:val="single" w:sz="8" w:space="0" w:color="FFFFFF"/>
              <w:right w:val="single" w:sz="8" w:space="0" w:color="FFFFFF"/>
            </w:tcBorders>
            <w:tcMar>
              <w:top w:w="20" w:type="dxa"/>
              <w:left w:w="20" w:type="dxa"/>
              <w:bottom w:w="100" w:type="dxa"/>
              <w:right w:w="20" w:type="dxa"/>
            </w:tcMar>
          </w:tcPr>
          <w:p w14:paraId="21357059" w14:textId="77777777" w:rsidR="00F04617" w:rsidRPr="004142BD" w:rsidRDefault="00F04617" w:rsidP="00EA09C7">
            <w:pPr>
              <w:widowControl w:val="0"/>
              <w:spacing w:line="240" w:lineRule="auto"/>
              <w:jc w:val="center"/>
              <w:rPr>
                <w:sz w:val="22"/>
                <w:szCs w:val="22"/>
              </w:rPr>
            </w:pP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A23CAD2"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A288E83" w14:textId="77777777" w:rsidR="00F04617" w:rsidRPr="004142BD" w:rsidRDefault="00F04617" w:rsidP="00EA09C7">
            <w:pPr>
              <w:widowControl w:val="0"/>
              <w:spacing w:line="240" w:lineRule="auto"/>
              <w:jc w:val="center"/>
              <w:rPr>
                <w:sz w:val="22"/>
                <w:szCs w:val="22"/>
              </w:rPr>
            </w:pPr>
            <w:r w:rsidRPr="004142BD">
              <w:rPr>
                <w:sz w:val="22"/>
                <w:szCs w:val="22"/>
              </w:rPr>
              <w:t>103</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0F02895" w14:textId="77777777" w:rsidR="00F04617" w:rsidRPr="004142BD" w:rsidRDefault="00F04617" w:rsidP="00EA09C7">
            <w:pPr>
              <w:widowControl w:val="0"/>
              <w:spacing w:line="240" w:lineRule="auto"/>
              <w:jc w:val="center"/>
              <w:rPr>
                <w:sz w:val="22"/>
                <w:szCs w:val="22"/>
              </w:rPr>
            </w:pPr>
            <w:r w:rsidRPr="004142BD">
              <w:rPr>
                <w:sz w:val="22"/>
                <w:szCs w:val="22"/>
              </w:rPr>
              <w:t>36</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851B2AD"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1404275"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9425167"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039C085" w14:textId="77777777" w:rsidR="00F04617" w:rsidRPr="004142BD" w:rsidRDefault="00F04617" w:rsidP="00EA09C7">
            <w:pPr>
              <w:widowControl w:val="0"/>
              <w:spacing w:line="240" w:lineRule="auto"/>
              <w:jc w:val="center"/>
              <w:rPr>
                <w:sz w:val="22"/>
                <w:szCs w:val="22"/>
              </w:rPr>
            </w:pPr>
            <w:r w:rsidRPr="004142BD">
              <w:rPr>
                <w:sz w:val="22"/>
                <w:szCs w:val="22"/>
              </w:rPr>
              <w:t>Credit</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29BA1EF" w14:textId="77777777" w:rsidR="00F04617" w:rsidRPr="004142BD" w:rsidRDefault="00F04617" w:rsidP="00EA09C7">
            <w:pPr>
              <w:widowControl w:val="0"/>
              <w:spacing w:line="240" w:lineRule="auto"/>
              <w:jc w:val="center"/>
              <w:rPr>
                <w:sz w:val="22"/>
                <w:szCs w:val="22"/>
              </w:rPr>
            </w:pPr>
            <w:r w:rsidRPr="004142BD">
              <w:rPr>
                <w:sz w:val="22"/>
                <w:szCs w:val="22"/>
              </w:rPr>
              <w:t>None</w:t>
            </w:r>
          </w:p>
        </w:tc>
      </w:tr>
      <w:tr w:rsidR="00F04617" w14:paraId="3B79B174" w14:textId="77777777" w:rsidTr="00EA09C7">
        <w:trPr>
          <w:trHeight w:val="144"/>
        </w:trPr>
        <w:tc>
          <w:tcPr>
            <w:tcW w:w="450" w:type="pct"/>
            <w:vMerge/>
            <w:tcBorders>
              <w:left w:val="single" w:sz="8" w:space="0" w:color="FFFFFF"/>
              <w:right w:val="single" w:sz="8" w:space="0" w:color="FFFFFF"/>
            </w:tcBorders>
            <w:tcMar>
              <w:top w:w="20" w:type="dxa"/>
              <w:left w:w="20" w:type="dxa"/>
              <w:bottom w:w="100" w:type="dxa"/>
              <w:right w:w="20" w:type="dxa"/>
            </w:tcMar>
          </w:tcPr>
          <w:p w14:paraId="61EE46AB" w14:textId="77777777" w:rsidR="00F04617" w:rsidRPr="004142BD" w:rsidRDefault="00F04617" w:rsidP="00EA09C7">
            <w:pPr>
              <w:widowControl w:val="0"/>
              <w:spacing w:line="240" w:lineRule="auto"/>
              <w:jc w:val="center"/>
              <w:rPr>
                <w:sz w:val="22"/>
                <w:szCs w:val="22"/>
              </w:rPr>
            </w:pPr>
          </w:p>
        </w:tc>
        <w:tc>
          <w:tcPr>
            <w:tcW w:w="630" w:type="pct"/>
            <w:vMerge/>
            <w:tcBorders>
              <w:left w:val="single" w:sz="8" w:space="0" w:color="FFFFFF"/>
              <w:right w:val="single" w:sz="8" w:space="0" w:color="FFFFFF"/>
            </w:tcBorders>
            <w:tcMar>
              <w:top w:w="20" w:type="dxa"/>
              <w:left w:w="20" w:type="dxa"/>
              <w:bottom w:w="100" w:type="dxa"/>
              <w:right w:w="20" w:type="dxa"/>
            </w:tcMar>
          </w:tcPr>
          <w:p w14:paraId="0D19EA23" w14:textId="77777777" w:rsidR="00F04617" w:rsidRPr="004142BD" w:rsidRDefault="00F04617" w:rsidP="00EA09C7">
            <w:pPr>
              <w:widowControl w:val="0"/>
              <w:spacing w:line="240" w:lineRule="auto"/>
              <w:jc w:val="center"/>
              <w:rPr>
                <w:sz w:val="22"/>
                <w:szCs w:val="22"/>
              </w:rPr>
            </w:pP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637F64A"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BF049DB" w14:textId="77777777" w:rsidR="00F04617" w:rsidRPr="004142BD" w:rsidRDefault="00F04617" w:rsidP="00EA09C7">
            <w:pPr>
              <w:widowControl w:val="0"/>
              <w:spacing w:line="240" w:lineRule="auto"/>
              <w:jc w:val="center"/>
              <w:rPr>
                <w:sz w:val="22"/>
                <w:szCs w:val="22"/>
              </w:rPr>
            </w:pPr>
            <w:r w:rsidRPr="004142BD">
              <w:rPr>
                <w:sz w:val="22"/>
                <w:szCs w:val="22"/>
              </w:rPr>
              <w:t>112</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C4E0948" w14:textId="77777777" w:rsidR="00F04617" w:rsidRPr="004142BD" w:rsidRDefault="00F04617" w:rsidP="00EA09C7">
            <w:pPr>
              <w:widowControl w:val="0"/>
              <w:spacing w:line="240" w:lineRule="auto"/>
              <w:jc w:val="center"/>
              <w:rPr>
                <w:sz w:val="22"/>
                <w:szCs w:val="22"/>
              </w:rPr>
            </w:pPr>
            <w:r w:rsidRPr="004142BD">
              <w:rPr>
                <w:sz w:val="22"/>
                <w:szCs w:val="22"/>
              </w:rPr>
              <w:t>56</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8C70E3D"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779F008"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BFA53BF"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D6BB55B" w14:textId="77777777" w:rsidR="00F04617" w:rsidRPr="004142BD" w:rsidRDefault="00F04617" w:rsidP="00EA09C7">
            <w:pPr>
              <w:widowControl w:val="0"/>
              <w:spacing w:line="240" w:lineRule="auto"/>
              <w:jc w:val="center"/>
              <w:rPr>
                <w:sz w:val="22"/>
                <w:szCs w:val="22"/>
              </w:rPr>
            </w:pPr>
            <w:r w:rsidRPr="004142BD">
              <w:rPr>
                <w:sz w:val="22"/>
                <w:szCs w:val="22"/>
              </w:rPr>
              <w:t>Credit</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8193E59" w14:textId="77777777" w:rsidR="00F04617" w:rsidRPr="004142BD" w:rsidRDefault="00F04617" w:rsidP="00EA09C7">
            <w:pPr>
              <w:widowControl w:val="0"/>
              <w:spacing w:line="240" w:lineRule="auto"/>
              <w:jc w:val="center"/>
              <w:rPr>
                <w:sz w:val="22"/>
                <w:szCs w:val="22"/>
              </w:rPr>
            </w:pPr>
            <w:proofErr w:type="spellStart"/>
            <w:r w:rsidRPr="004142BD">
              <w:rPr>
                <w:sz w:val="22"/>
                <w:szCs w:val="22"/>
              </w:rPr>
              <w:t>Descriptives</w:t>
            </w:r>
            <w:proofErr w:type="spellEnd"/>
            <w:r w:rsidRPr="004142BD">
              <w:rPr>
                <w:sz w:val="22"/>
                <w:szCs w:val="22"/>
              </w:rPr>
              <w:t xml:space="preserve"> only</w:t>
            </w:r>
          </w:p>
        </w:tc>
      </w:tr>
      <w:tr w:rsidR="00F04617" w14:paraId="36944B54" w14:textId="77777777" w:rsidTr="00EA09C7">
        <w:trPr>
          <w:trHeight w:val="144"/>
        </w:trPr>
        <w:tc>
          <w:tcPr>
            <w:tcW w:w="450" w:type="pct"/>
            <w:vMerge/>
            <w:tcBorders>
              <w:left w:val="single" w:sz="8" w:space="0" w:color="FFFFFF"/>
              <w:right w:val="single" w:sz="8" w:space="0" w:color="FFFFFF"/>
            </w:tcBorders>
            <w:tcMar>
              <w:top w:w="20" w:type="dxa"/>
              <w:left w:w="20" w:type="dxa"/>
              <w:bottom w:w="100" w:type="dxa"/>
              <w:right w:w="20" w:type="dxa"/>
            </w:tcMar>
          </w:tcPr>
          <w:p w14:paraId="46996FCE" w14:textId="77777777" w:rsidR="00F04617" w:rsidRPr="004142BD" w:rsidRDefault="00F04617" w:rsidP="00EA09C7">
            <w:pPr>
              <w:widowControl w:val="0"/>
              <w:spacing w:line="240" w:lineRule="auto"/>
              <w:jc w:val="center"/>
              <w:rPr>
                <w:sz w:val="22"/>
                <w:szCs w:val="22"/>
              </w:rPr>
            </w:pPr>
          </w:p>
        </w:tc>
        <w:tc>
          <w:tcPr>
            <w:tcW w:w="630" w:type="pct"/>
            <w:vMerge/>
            <w:tcBorders>
              <w:left w:val="single" w:sz="8" w:space="0" w:color="FFFFFF"/>
              <w:right w:val="single" w:sz="8" w:space="0" w:color="FFFFFF"/>
            </w:tcBorders>
            <w:tcMar>
              <w:top w:w="20" w:type="dxa"/>
              <w:left w:w="20" w:type="dxa"/>
              <w:bottom w:w="100" w:type="dxa"/>
              <w:right w:w="20" w:type="dxa"/>
            </w:tcMar>
          </w:tcPr>
          <w:p w14:paraId="07630250" w14:textId="77777777" w:rsidR="00F04617" w:rsidRPr="004142BD" w:rsidRDefault="00F04617" w:rsidP="00EA09C7">
            <w:pPr>
              <w:widowControl w:val="0"/>
              <w:spacing w:line="240" w:lineRule="auto"/>
              <w:jc w:val="center"/>
              <w:rPr>
                <w:sz w:val="22"/>
                <w:szCs w:val="22"/>
              </w:rPr>
            </w:pP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C5C6DAF"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0E8BC61" w14:textId="77777777" w:rsidR="00F04617" w:rsidRPr="004142BD" w:rsidRDefault="00F04617" w:rsidP="00EA09C7">
            <w:pPr>
              <w:widowControl w:val="0"/>
              <w:spacing w:line="240" w:lineRule="auto"/>
              <w:jc w:val="center"/>
              <w:rPr>
                <w:sz w:val="22"/>
                <w:szCs w:val="22"/>
              </w:rPr>
            </w:pPr>
            <w:r w:rsidRPr="004142BD">
              <w:rPr>
                <w:sz w:val="22"/>
                <w:szCs w:val="22"/>
              </w:rPr>
              <w:t>95</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B8F74A1" w14:textId="77777777" w:rsidR="00F04617" w:rsidRPr="004142BD" w:rsidRDefault="00F04617" w:rsidP="00EA09C7">
            <w:pPr>
              <w:widowControl w:val="0"/>
              <w:spacing w:line="240" w:lineRule="auto"/>
              <w:jc w:val="center"/>
              <w:rPr>
                <w:sz w:val="22"/>
                <w:szCs w:val="22"/>
              </w:rPr>
            </w:pPr>
            <w:r w:rsidRPr="004142BD">
              <w:rPr>
                <w:sz w:val="22"/>
                <w:szCs w:val="22"/>
              </w:rPr>
              <w:t>54</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97A48D0"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3483065"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37594EB"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0DEC986" w14:textId="77777777" w:rsidR="00F04617" w:rsidRPr="004142BD" w:rsidRDefault="00F04617" w:rsidP="00EA09C7">
            <w:pPr>
              <w:widowControl w:val="0"/>
              <w:spacing w:line="240" w:lineRule="auto"/>
              <w:jc w:val="center"/>
              <w:rPr>
                <w:sz w:val="22"/>
                <w:szCs w:val="22"/>
              </w:rPr>
            </w:pPr>
            <w:r w:rsidRPr="004142BD">
              <w:rPr>
                <w:sz w:val="22"/>
                <w:szCs w:val="22"/>
              </w:rPr>
              <w:t>Credit</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DE5DE77" w14:textId="77777777" w:rsidR="00F04617" w:rsidRPr="004142BD" w:rsidRDefault="00F04617" w:rsidP="00EA09C7">
            <w:pPr>
              <w:widowControl w:val="0"/>
              <w:spacing w:line="240" w:lineRule="auto"/>
              <w:jc w:val="center"/>
              <w:rPr>
                <w:sz w:val="22"/>
                <w:szCs w:val="22"/>
              </w:rPr>
            </w:pPr>
            <w:r w:rsidRPr="004142BD">
              <w:rPr>
                <w:sz w:val="22"/>
                <w:szCs w:val="22"/>
              </w:rPr>
              <w:t>None</w:t>
            </w:r>
          </w:p>
        </w:tc>
      </w:tr>
      <w:tr w:rsidR="00F04617" w14:paraId="3ED44349" w14:textId="77777777" w:rsidTr="00EA09C7">
        <w:trPr>
          <w:trHeight w:val="144"/>
        </w:trPr>
        <w:tc>
          <w:tcPr>
            <w:tcW w:w="450" w:type="pct"/>
            <w:vMerge/>
            <w:tcBorders>
              <w:left w:val="single" w:sz="8" w:space="0" w:color="FFFFFF"/>
              <w:bottom w:val="single" w:sz="8" w:space="0" w:color="FFFFFF"/>
              <w:right w:val="single" w:sz="8" w:space="0" w:color="FFFFFF"/>
            </w:tcBorders>
            <w:tcMar>
              <w:top w:w="20" w:type="dxa"/>
              <w:left w:w="20" w:type="dxa"/>
              <w:bottom w:w="100" w:type="dxa"/>
              <w:right w:w="20" w:type="dxa"/>
            </w:tcMar>
          </w:tcPr>
          <w:p w14:paraId="721AB605" w14:textId="77777777" w:rsidR="00F04617" w:rsidRPr="004142BD" w:rsidRDefault="00F04617" w:rsidP="00EA09C7">
            <w:pPr>
              <w:widowControl w:val="0"/>
              <w:spacing w:line="240" w:lineRule="auto"/>
              <w:jc w:val="center"/>
              <w:rPr>
                <w:sz w:val="22"/>
                <w:szCs w:val="22"/>
              </w:rPr>
            </w:pPr>
          </w:p>
        </w:tc>
        <w:tc>
          <w:tcPr>
            <w:tcW w:w="630" w:type="pct"/>
            <w:vMerge/>
            <w:tcBorders>
              <w:left w:val="single" w:sz="8" w:space="0" w:color="FFFFFF"/>
              <w:bottom w:val="single" w:sz="8" w:space="0" w:color="FFFFFF"/>
              <w:right w:val="single" w:sz="8" w:space="0" w:color="FFFFFF"/>
            </w:tcBorders>
            <w:tcMar>
              <w:top w:w="20" w:type="dxa"/>
              <w:left w:w="20" w:type="dxa"/>
              <w:bottom w:w="100" w:type="dxa"/>
              <w:right w:w="20" w:type="dxa"/>
            </w:tcMar>
          </w:tcPr>
          <w:p w14:paraId="05C5DC39" w14:textId="77777777" w:rsidR="00F04617" w:rsidRPr="004142BD" w:rsidRDefault="00F04617" w:rsidP="00EA09C7">
            <w:pPr>
              <w:widowControl w:val="0"/>
              <w:spacing w:line="240" w:lineRule="auto"/>
              <w:jc w:val="center"/>
              <w:rPr>
                <w:sz w:val="22"/>
                <w:szCs w:val="22"/>
              </w:rPr>
            </w:pP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29E3AAC"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B3D824B" w14:textId="77777777" w:rsidR="00F04617" w:rsidRPr="004142BD" w:rsidRDefault="00F04617" w:rsidP="00EA09C7">
            <w:pPr>
              <w:widowControl w:val="0"/>
              <w:spacing w:line="240" w:lineRule="auto"/>
              <w:jc w:val="center"/>
              <w:rPr>
                <w:sz w:val="22"/>
                <w:szCs w:val="22"/>
              </w:rPr>
            </w:pPr>
            <w:r w:rsidRPr="004142BD">
              <w:rPr>
                <w:sz w:val="22"/>
                <w:szCs w:val="22"/>
              </w:rPr>
              <w:t>8</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1BC5EB8" w14:textId="77777777" w:rsidR="00F04617" w:rsidRPr="004142BD" w:rsidRDefault="00F04617" w:rsidP="00EA09C7">
            <w:pPr>
              <w:widowControl w:val="0"/>
              <w:spacing w:line="240" w:lineRule="auto"/>
              <w:jc w:val="center"/>
              <w:rPr>
                <w:sz w:val="22"/>
                <w:szCs w:val="22"/>
              </w:rPr>
            </w:pPr>
            <w:r w:rsidRPr="004142BD">
              <w:rPr>
                <w:sz w:val="22"/>
                <w:szCs w:val="22"/>
              </w:rPr>
              <w:t>NA</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28AB321"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E06BD3F" w14:textId="77777777" w:rsidR="00F04617" w:rsidRPr="004142BD" w:rsidRDefault="00F04617" w:rsidP="00EA09C7">
            <w:pPr>
              <w:widowControl w:val="0"/>
              <w:spacing w:line="240" w:lineRule="auto"/>
              <w:jc w:val="center"/>
              <w:rPr>
                <w:sz w:val="22"/>
                <w:szCs w:val="22"/>
              </w:rPr>
            </w:pPr>
            <w:r w:rsidRPr="004142BD">
              <w:rPr>
                <w:sz w:val="22"/>
                <w:szCs w:val="22"/>
              </w:rPr>
              <w:t>Unclear</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39705F0" w14:textId="77777777" w:rsidR="00F04617" w:rsidRPr="004142BD" w:rsidRDefault="00F04617" w:rsidP="00EA09C7">
            <w:pPr>
              <w:widowControl w:val="0"/>
              <w:spacing w:line="240" w:lineRule="auto"/>
              <w:jc w:val="center"/>
              <w:rPr>
                <w:sz w:val="22"/>
                <w:szCs w:val="22"/>
              </w:rPr>
            </w:pPr>
            <w:r w:rsidRPr="004142BD">
              <w:rPr>
                <w:sz w:val="22"/>
                <w:szCs w:val="22"/>
              </w:rPr>
              <w:t>Unclear</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3CB78F8" w14:textId="77777777" w:rsidR="00F04617" w:rsidRPr="004142BD" w:rsidRDefault="00F04617" w:rsidP="00EA09C7">
            <w:pPr>
              <w:widowControl w:val="0"/>
              <w:spacing w:line="240" w:lineRule="auto"/>
              <w:jc w:val="center"/>
              <w:rPr>
                <w:sz w:val="22"/>
                <w:szCs w:val="22"/>
              </w:rPr>
            </w:pPr>
            <w:r w:rsidRPr="004142BD">
              <w:rPr>
                <w:sz w:val="22"/>
                <w:szCs w:val="22"/>
              </w:rPr>
              <w:t>Unclear</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FEC7F16" w14:textId="77777777" w:rsidR="00F04617" w:rsidRPr="004142BD" w:rsidRDefault="00F04617" w:rsidP="00EA09C7">
            <w:pPr>
              <w:widowControl w:val="0"/>
              <w:spacing w:line="240" w:lineRule="auto"/>
              <w:jc w:val="center"/>
              <w:rPr>
                <w:sz w:val="22"/>
                <w:szCs w:val="22"/>
              </w:rPr>
            </w:pPr>
            <w:r w:rsidRPr="004142BD">
              <w:rPr>
                <w:sz w:val="22"/>
                <w:szCs w:val="22"/>
              </w:rPr>
              <w:t>None</w:t>
            </w:r>
          </w:p>
        </w:tc>
      </w:tr>
      <w:tr w:rsidR="00F04617" w14:paraId="5ECCC304" w14:textId="77777777" w:rsidTr="00EA09C7">
        <w:trPr>
          <w:trHeight w:val="144"/>
        </w:trPr>
        <w:tc>
          <w:tcPr>
            <w:tcW w:w="45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0262E9E" w14:textId="77777777" w:rsidR="00F04617" w:rsidRPr="004142BD" w:rsidRDefault="00F04617" w:rsidP="00EA09C7">
            <w:pPr>
              <w:widowControl w:val="0"/>
              <w:spacing w:line="240" w:lineRule="auto"/>
              <w:jc w:val="center"/>
              <w:rPr>
                <w:sz w:val="22"/>
                <w:szCs w:val="22"/>
              </w:rPr>
            </w:pPr>
            <w:r w:rsidRPr="004142BD">
              <w:rPr>
                <w:sz w:val="22"/>
                <w:szCs w:val="22"/>
              </w:rPr>
              <w:t>French</w:t>
            </w:r>
          </w:p>
        </w:tc>
        <w:tc>
          <w:tcPr>
            <w:tcW w:w="63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3D76135" w14:textId="77777777" w:rsidR="00F04617" w:rsidRPr="004142BD" w:rsidRDefault="00F04617" w:rsidP="00EA09C7">
            <w:pPr>
              <w:widowControl w:val="0"/>
              <w:spacing w:line="240" w:lineRule="auto"/>
              <w:jc w:val="center"/>
              <w:rPr>
                <w:sz w:val="22"/>
                <w:szCs w:val="22"/>
              </w:rPr>
            </w:pPr>
            <w:r w:rsidRPr="004142BD">
              <w:rPr>
                <w:sz w:val="22"/>
                <w:szCs w:val="22"/>
              </w:rPr>
              <w:t>Switzerland</w:t>
            </w: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8B8E0D4"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7961628" w14:textId="77777777" w:rsidR="00F04617" w:rsidRPr="004142BD" w:rsidRDefault="00F04617" w:rsidP="00EA09C7">
            <w:pPr>
              <w:widowControl w:val="0"/>
              <w:spacing w:line="240" w:lineRule="auto"/>
              <w:jc w:val="center"/>
              <w:rPr>
                <w:sz w:val="22"/>
                <w:szCs w:val="22"/>
              </w:rPr>
            </w:pPr>
            <w:r w:rsidRPr="004142BD">
              <w:rPr>
                <w:sz w:val="22"/>
                <w:szCs w:val="22"/>
              </w:rPr>
              <w:t>58</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3DCE12A" w14:textId="77777777" w:rsidR="00F04617" w:rsidRPr="004142BD" w:rsidRDefault="00F04617" w:rsidP="00EA09C7">
            <w:pPr>
              <w:widowControl w:val="0"/>
              <w:spacing w:line="240" w:lineRule="auto"/>
              <w:jc w:val="center"/>
              <w:rPr>
                <w:sz w:val="22"/>
                <w:szCs w:val="22"/>
              </w:rPr>
            </w:pPr>
            <w:r w:rsidRPr="004142BD">
              <w:rPr>
                <w:sz w:val="22"/>
                <w:szCs w:val="22"/>
              </w:rPr>
              <w:t>28</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BB6B98F" w14:textId="77777777" w:rsidR="00F04617" w:rsidRPr="004142BD" w:rsidRDefault="00F04617" w:rsidP="00EA09C7">
            <w:pPr>
              <w:widowControl w:val="0"/>
              <w:spacing w:line="240" w:lineRule="auto"/>
              <w:jc w:val="center"/>
              <w:rPr>
                <w:sz w:val="22"/>
                <w:szCs w:val="22"/>
              </w:rPr>
            </w:pPr>
            <w:r w:rsidRPr="004142BD">
              <w:rPr>
                <w:sz w:val="22"/>
                <w:szCs w:val="22"/>
              </w:rPr>
              <w:t>Undergraduates &amp; Community</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BF990B8" w14:textId="77777777" w:rsidR="00F04617" w:rsidRPr="004142BD" w:rsidRDefault="00F04617" w:rsidP="00EA09C7">
            <w:pPr>
              <w:widowControl w:val="0"/>
              <w:spacing w:line="240" w:lineRule="auto"/>
              <w:jc w:val="center"/>
              <w:rPr>
                <w:sz w:val="22"/>
                <w:szCs w:val="22"/>
              </w:rPr>
            </w:pPr>
            <w:r w:rsidRPr="004142BD">
              <w:rPr>
                <w:sz w:val="22"/>
                <w:szCs w:val="22"/>
              </w:rPr>
              <w:t>Both</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031C0A7" w14:textId="77777777" w:rsidR="00F04617" w:rsidRPr="004142BD" w:rsidRDefault="00F04617" w:rsidP="00EA09C7">
            <w:pPr>
              <w:widowControl w:val="0"/>
              <w:spacing w:line="240" w:lineRule="auto"/>
              <w:jc w:val="center"/>
              <w:rPr>
                <w:sz w:val="22"/>
                <w:szCs w:val="22"/>
              </w:rPr>
            </w:pPr>
            <w:r w:rsidRPr="004142BD">
              <w:rPr>
                <w:sz w:val="22"/>
                <w:szCs w:val="22"/>
              </w:rPr>
              <w:t>Both</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FB8B064" w14:textId="77777777" w:rsidR="00F04617" w:rsidRPr="004142BD" w:rsidRDefault="00F04617" w:rsidP="00EA09C7">
            <w:pPr>
              <w:widowControl w:val="0"/>
              <w:spacing w:line="240" w:lineRule="auto"/>
              <w:jc w:val="center"/>
              <w:rPr>
                <w:sz w:val="22"/>
                <w:szCs w:val="22"/>
              </w:rPr>
            </w:pPr>
            <w:r w:rsidRPr="004142BD">
              <w:rPr>
                <w:sz w:val="22"/>
                <w:szCs w:val="22"/>
              </w:rPr>
              <w:t>Undergraduates: Credit</w:t>
            </w:r>
          </w:p>
          <w:p w14:paraId="2B53D18F" w14:textId="77777777" w:rsidR="00F04617" w:rsidRPr="004142BD" w:rsidRDefault="00F04617" w:rsidP="00EA09C7">
            <w:pPr>
              <w:widowControl w:val="0"/>
              <w:spacing w:line="240" w:lineRule="auto"/>
              <w:jc w:val="center"/>
              <w:rPr>
                <w:sz w:val="22"/>
                <w:szCs w:val="22"/>
              </w:rPr>
            </w:pPr>
            <w:r w:rsidRPr="004142BD">
              <w:rPr>
                <w:sz w:val="22"/>
                <w:szCs w:val="22"/>
              </w:rPr>
              <w:t>Community: Money</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99B1DA3" w14:textId="77777777" w:rsidR="00F04617" w:rsidRPr="004142BD" w:rsidRDefault="00F04617" w:rsidP="00EA09C7">
            <w:pPr>
              <w:widowControl w:val="0"/>
              <w:spacing w:line="240" w:lineRule="auto"/>
              <w:jc w:val="center"/>
              <w:rPr>
                <w:sz w:val="22"/>
                <w:szCs w:val="22"/>
              </w:rPr>
            </w:pPr>
            <w:r w:rsidRPr="004142BD">
              <w:rPr>
                <w:sz w:val="22"/>
                <w:szCs w:val="22"/>
              </w:rPr>
              <w:t>Bayesian ANOVA</w:t>
            </w:r>
          </w:p>
        </w:tc>
      </w:tr>
      <w:tr w:rsidR="00F04617" w14:paraId="5451802B" w14:textId="77777777" w:rsidTr="00EA09C7">
        <w:trPr>
          <w:trHeight w:val="144"/>
        </w:trPr>
        <w:tc>
          <w:tcPr>
            <w:tcW w:w="450" w:type="pct"/>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70625142" w14:textId="77777777" w:rsidR="00F04617" w:rsidRPr="004142BD" w:rsidRDefault="00F04617" w:rsidP="00EA09C7">
            <w:pPr>
              <w:widowControl w:val="0"/>
              <w:spacing w:line="240" w:lineRule="auto"/>
              <w:jc w:val="center"/>
              <w:rPr>
                <w:sz w:val="22"/>
                <w:szCs w:val="22"/>
              </w:rPr>
            </w:pPr>
            <w:r w:rsidRPr="004142BD">
              <w:rPr>
                <w:sz w:val="22"/>
                <w:szCs w:val="22"/>
              </w:rPr>
              <w:t>German</w:t>
            </w:r>
          </w:p>
        </w:tc>
        <w:tc>
          <w:tcPr>
            <w:tcW w:w="630" w:type="pct"/>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06D444E5" w14:textId="77777777" w:rsidR="00F04617" w:rsidRPr="004142BD" w:rsidRDefault="00F04617" w:rsidP="00EA09C7">
            <w:pPr>
              <w:widowControl w:val="0"/>
              <w:spacing w:line="240" w:lineRule="auto"/>
              <w:jc w:val="center"/>
              <w:rPr>
                <w:sz w:val="22"/>
                <w:szCs w:val="22"/>
              </w:rPr>
            </w:pPr>
            <w:r w:rsidRPr="004142BD">
              <w:rPr>
                <w:sz w:val="22"/>
                <w:szCs w:val="22"/>
              </w:rPr>
              <w:t>Austria</w:t>
            </w: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863B8AB"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4B049CB" w14:textId="77777777" w:rsidR="00F04617" w:rsidRPr="004142BD" w:rsidRDefault="00F04617" w:rsidP="00EA09C7">
            <w:pPr>
              <w:widowControl w:val="0"/>
              <w:spacing w:line="240" w:lineRule="auto"/>
              <w:jc w:val="center"/>
              <w:rPr>
                <w:sz w:val="22"/>
                <w:szCs w:val="22"/>
              </w:rPr>
            </w:pPr>
            <w:r w:rsidRPr="004142BD">
              <w:rPr>
                <w:sz w:val="22"/>
                <w:szCs w:val="22"/>
              </w:rPr>
              <w:t>159</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A0BCA23" w14:textId="77777777" w:rsidR="00F04617" w:rsidRPr="004142BD" w:rsidRDefault="00F04617" w:rsidP="00EA09C7">
            <w:pPr>
              <w:widowControl w:val="0"/>
              <w:spacing w:line="240" w:lineRule="auto"/>
              <w:jc w:val="center"/>
              <w:rPr>
                <w:sz w:val="22"/>
                <w:szCs w:val="22"/>
              </w:rPr>
            </w:pPr>
            <w:r w:rsidRPr="004142BD">
              <w:rPr>
                <w:sz w:val="22"/>
                <w:szCs w:val="22"/>
              </w:rPr>
              <w:t>76</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1566EF0" w14:textId="77777777" w:rsidR="00F04617" w:rsidRPr="004142BD" w:rsidRDefault="00F04617" w:rsidP="00EA09C7">
            <w:pPr>
              <w:widowControl w:val="0"/>
              <w:spacing w:line="240" w:lineRule="auto"/>
              <w:jc w:val="center"/>
              <w:rPr>
                <w:sz w:val="22"/>
                <w:szCs w:val="22"/>
              </w:rPr>
            </w:pPr>
            <w:r w:rsidRPr="004142BD">
              <w:rPr>
                <w:sz w:val="22"/>
                <w:szCs w:val="22"/>
              </w:rPr>
              <w:t>Both</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BEADF4E"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C857F64"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874E0D1" w14:textId="77777777" w:rsidR="00F04617" w:rsidRPr="004142BD" w:rsidRDefault="00F04617" w:rsidP="00EA09C7">
            <w:pPr>
              <w:widowControl w:val="0"/>
              <w:spacing w:line="240" w:lineRule="auto"/>
              <w:jc w:val="center"/>
              <w:rPr>
                <w:sz w:val="22"/>
                <w:szCs w:val="22"/>
              </w:rPr>
            </w:pPr>
            <w:r w:rsidRPr="004142BD">
              <w:rPr>
                <w:sz w:val="22"/>
                <w:szCs w:val="22"/>
              </w:rPr>
              <w:t>None</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6E18253" w14:textId="77777777" w:rsidR="00F04617" w:rsidRPr="004142BD" w:rsidRDefault="00F04617" w:rsidP="00EA09C7">
            <w:pPr>
              <w:widowControl w:val="0"/>
              <w:spacing w:line="240" w:lineRule="auto"/>
              <w:jc w:val="center"/>
              <w:rPr>
                <w:sz w:val="22"/>
                <w:szCs w:val="22"/>
              </w:rPr>
            </w:pPr>
            <w:r w:rsidRPr="004142BD">
              <w:rPr>
                <w:sz w:val="22"/>
                <w:szCs w:val="22"/>
              </w:rPr>
              <w:t>None</w:t>
            </w:r>
          </w:p>
        </w:tc>
      </w:tr>
      <w:tr w:rsidR="00F04617" w14:paraId="1E46EDE2" w14:textId="77777777" w:rsidTr="00EA09C7">
        <w:trPr>
          <w:trHeight w:val="144"/>
        </w:trPr>
        <w:tc>
          <w:tcPr>
            <w:tcW w:w="450" w:type="pct"/>
            <w:vMerge/>
            <w:tcBorders>
              <w:left w:val="single" w:sz="8" w:space="0" w:color="FFFFFF"/>
              <w:right w:val="single" w:sz="8" w:space="0" w:color="FFFFFF"/>
            </w:tcBorders>
            <w:tcMar>
              <w:top w:w="20" w:type="dxa"/>
              <w:left w:w="20" w:type="dxa"/>
              <w:bottom w:w="100" w:type="dxa"/>
              <w:right w:w="20" w:type="dxa"/>
            </w:tcMar>
          </w:tcPr>
          <w:p w14:paraId="55AEDF8A" w14:textId="77777777" w:rsidR="00F04617" w:rsidRPr="004142BD" w:rsidRDefault="00F04617" w:rsidP="00EA09C7">
            <w:pPr>
              <w:widowControl w:val="0"/>
              <w:spacing w:line="240" w:lineRule="auto"/>
              <w:jc w:val="center"/>
              <w:rPr>
                <w:sz w:val="22"/>
                <w:szCs w:val="22"/>
              </w:rPr>
            </w:pPr>
          </w:p>
        </w:tc>
        <w:tc>
          <w:tcPr>
            <w:tcW w:w="630" w:type="pct"/>
            <w:vMerge/>
            <w:tcBorders>
              <w:left w:val="single" w:sz="8" w:space="0" w:color="FFFFFF"/>
              <w:bottom w:val="single" w:sz="8" w:space="0" w:color="FFFFFF"/>
              <w:right w:val="single" w:sz="8" w:space="0" w:color="FFFFFF"/>
            </w:tcBorders>
            <w:tcMar>
              <w:top w:w="20" w:type="dxa"/>
              <w:left w:w="20" w:type="dxa"/>
              <w:bottom w:w="100" w:type="dxa"/>
              <w:right w:w="20" w:type="dxa"/>
            </w:tcMar>
          </w:tcPr>
          <w:p w14:paraId="30C29CE2" w14:textId="77777777" w:rsidR="00F04617" w:rsidRPr="004142BD" w:rsidRDefault="00F04617" w:rsidP="00EA09C7">
            <w:pPr>
              <w:widowControl w:val="0"/>
              <w:spacing w:line="240" w:lineRule="auto"/>
              <w:jc w:val="center"/>
              <w:rPr>
                <w:sz w:val="22"/>
                <w:szCs w:val="22"/>
              </w:rPr>
            </w:pP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5094539"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FB15B3F" w14:textId="77777777" w:rsidR="00F04617" w:rsidRPr="004142BD" w:rsidRDefault="00F04617" w:rsidP="00EA09C7">
            <w:pPr>
              <w:widowControl w:val="0"/>
              <w:spacing w:line="240" w:lineRule="auto"/>
              <w:jc w:val="center"/>
              <w:rPr>
                <w:sz w:val="22"/>
                <w:szCs w:val="22"/>
              </w:rPr>
            </w:pPr>
            <w:r w:rsidRPr="004142BD">
              <w:rPr>
                <w:sz w:val="22"/>
                <w:szCs w:val="22"/>
              </w:rPr>
              <w:t>143</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2065AED" w14:textId="77777777" w:rsidR="00F04617" w:rsidRPr="004142BD" w:rsidRDefault="00F04617" w:rsidP="00EA09C7">
            <w:pPr>
              <w:widowControl w:val="0"/>
              <w:spacing w:line="240" w:lineRule="auto"/>
              <w:jc w:val="center"/>
              <w:rPr>
                <w:sz w:val="22"/>
                <w:szCs w:val="22"/>
              </w:rPr>
            </w:pPr>
            <w:r w:rsidRPr="004142BD">
              <w:rPr>
                <w:sz w:val="22"/>
                <w:szCs w:val="22"/>
              </w:rPr>
              <w:t>75</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8DB042D" w14:textId="77777777" w:rsidR="00F04617" w:rsidRPr="004142BD" w:rsidRDefault="00F04617" w:rsidP="00EA09C7">
            <w:pPr>
              <w:widowControl w:val="0"/>
              <w:spacing w:line="240" w:lineRule="auto"/>
              <w:jc w:val="center"/>
              <w:rPr>
                <w:sz w:val="22"/>
                <w:szCs w:val="22"/>
              </w:rPr>
            </w:pPr>
            <w:r w:rsidRPr="004142BD">
              <w:rPr>
                <w:sz w:val="22"/>
                <w:szCs w:val="22"/>
              </w:rPr>
              <w:t>Both</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53BF02A"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7794F7B"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3EADB74" w14:textId="77777777" w:rsidR="00F04617" w:rsidRPr="004142BD" w:rsidRDefault="00F04617" w:rsidP="00EA09C7">
            <w:pPr>
              <w:widowControl w:val="0"/>
              <w:spacing w:line="240" w:lineRule="auto"/>
              <w:jc w:val="center"/>
              <w:rPr>
                <w:sz w:val="22"/>
                <w:szCs w:val="22"/>
              </w:rPr>
            </w:pPr>
            <w:r w:rsidRPr="004142BD">
              <w:rPr>
                <w:sz w:val="22"/>
                <w:szCs w:val="22"/>
              </w:rPr>
              <w:t>None</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3F1CCB3" w14:textId="77777777" w:rsidR="00F04617" w:rsidRPr="004142BD" w:rsidRDefault="00F04617" w:rsidP="00EA09C7">
            <w:pPr>
              <w:widowControl w:val="0"/>
              <w:spacing w:line="240" w:lineRule="auto"/>
              <w:jc w:val="center"/>
              <w:rPr>
                <w:sz w:val="22"/>
                <w:szCs w:val="22"/>
              </w:rPr>
            </w:pPr>
            <w:r w:rsidRPr="004142BD">
              <w:rPr>
                <w:sz w:val="22"/>
                <w:szCs w:val="22"/>
              </w:rPr>
              <w:t>None</w:t>
            </w:r>
          </w:p>
        </w:tc>
      </w:tr>
      <w:tr w:rsidR="00F04617" w14:paraId="5D234875" w14:textId="77777777" w:rsidTr="00EA09C7">
        <w:trPr>
          <w:trHeight w:val="144"/>
        </w:trPr>
        <w:tc>
          <w:tcPr>
            <w:tcW w:w="450" w:type="pct"/>
            <w:vMerge/>
            <w:tcBorders>
              <w:left w:val="single" w:sz="8" w:space="0" w:color="FFFFFF"/>
              <w:right w:val="single" w:sz="8" w:space="0" w:color="FFFFFF"/>
            </w:tcBorders>
            <w:tcMar>
              <w:top w:w="20" w:type="dxa"/>
              <w:left w:w="20" w:type="dxa"/>
              <w:bottom w:w="100" w:type="dxa"/>
              <w:right w:w="20" w:type="dxa"/>
            </w:tcMar>
          </w:tcPr>
          <w:p w14:paraId="2220BE83" w14:textId="77777777" w:rsidR="00F04617" w:rsidRPr="004142BD" w:rsidRDefault="00F04617" w:rsidP="00EA09C7">
            <w:pPr>
              <w:widowControl w:val="0"/>
              <w:spacing w:line="240" w:lineRule="auto"/>
              <w:jc w:val="center"/>
              <w:rPr>
                <w:sz w:val="22"/>
                <w:szCs w:val="22"/>
              </w:rPr>
            </w:pPr>
          </w:p>
        </w:tc>
        <w:tc>
          <w:tcPr>
            <w:tcW w:w="630" w:type="pct"/>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5D395F09" w14:textId="77777777" w:rsidR="00F04617" w:rsidRPr="004142BD" w:rsidRDefault="00F04617" w:rsidP="00EA09C7">
            <w:pPr>
              <w:widowControl w:val="0"/>
              <w:spacing w:line="240" w:lineRule="auto"/>
              <w:jc w:val="center"/>
              <w:rPr>
                <w:sz w:val="22"/>
                <w:szCs w:val="22"/>
              </w:rPr>
            </w:pPr>
            <w:r w:rsidRPr="004142BD">
              <w:rPr>
                <w:sz w:val="22"/>
                <w:szCs w:val="22"/>
              </w:rPr>
              <w:t>Germany</w:t>
            </w: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CFFC5FD" w14:textId="77777777" w:rsidR="00F04617" w:rsidRPr="004142BD" w:rsidRDefault="00F04617" w:rsidP="00EA09C7">
            <w:pPr>
              <w:widowControl w:val="0"/>
              <w:spacing w:line="240" w:lineRule="auto"/>
              <w:jc w:val="center"/>
              <w:rPr>
                <w:sz w:val="22"/>
                <w:szCs w:val="22"/>
              </w:rPr>
            </w:pPr>
            <w:r w:rsidRPr="004142BD">
              <w:rPr>
                <w:sz w:val="22"/>
                <w:szCs w:val="22"/>
              </w:rPr>
              <w:t>7</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B5B866C" w14:textId="77777777" w:rsidR="00F04617" w:rsidRPr="004142BD" w:rsidRDefault="00F04617" w:rsidP="00EA09C7">
            <w:pPr>
              <w:widowControl w:val="0"/>
              <w:spacing w:line="240" w:lineRule="auto"/>
              <w:jc w:val="center"/>
              <w:rPr>
                <w:sz w:val="22"/>
                <w:szCs w:val="22"/>
              </w:rPr>
            </w:pPr>
            <w:r w:rsidRPr="004142BD">
              <w:rPr>
                <w:sz w:val="22"/>
                <w:szCs w:val="22"/>
              </w:rPr>
              <w:t>1102</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140E5D5" w14:textId="77777777" w:rsidR="00F04617" w:rsidRPr="004142BD" w:rsidRDefault="00F04617" w:rsidP="00EA09C7">
            <w:pPr>
              <w:widowControl w:val="0"/>
              <w:spacing w:line="240" w:lineRule="auto"/>
              <w:jc w:val="center"/>
              <w:rPr>
                <w:sz w:val="22"/>
                <w:szCs w:val="22"/>
              </w:rPr>
            </w:pPr>
            <w:r w:rsidRPr="004142BD">
              <w:rPr>
                <w:sz w:val="22"/>
                <w:szCs w:val="22"/>
              </w:rPr>
              <w:t>588</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1BDD4F3"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A9F4D70" w14:textId="77777777" w:rsidR="00F04617" w:rsidRPr="004142BD" w:rsidRDefault="00F04617" w:rsidP="00EA09C7">
            <w:pPr>
              <w:widowControl w:val="0"/>
              <w:spacing w:line="240" w:lineRule="auto"/>
              <w:jc w:val="center"/>
              <w:rPr>
                <w:sz w:val="22"/>
                <w:szCs w:val="22"/>
              </w:rPr>
            </w:pPr>
            <w:r w:rsidRPr="004142BD">
              <w:rPr>
                <w:sz w:val="22"/>
                <w:szCs w:val="22"/>
              </w:rPr>
              <w:t>Both</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C6A9AE4" w14:textId="77777777" w:rsidR="00F04617" w:rsidRPr="004142BD" w:rsidRDefault="00F04617" w:rsidP="00EA09C7">
            <w:pPr>
              <w:widowControl w:val="0"/>
              <w:spacing w:line="240" w:lineRule="auto"/>
              <w:jc w:val="center"/>
              <w:rPr>
                <w:sz w:val="22"/>
                <w:szCs w:val="22"/>
              </w:rPr>
            </w:pPr>
            <w:r w:rsidRPr="004142BD">
              <w:rPr>
                <w:sz w:val="22"/>
                <w:szCs w:val="22"/>
              </w:rPr>
              <w:t>Both</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0C4ECDB" w14:textId="77777777" w:rsidR="00F04617" w:rsidRPr="004142BD" w:rsidRDefault="00F04617" w:rsidP="00EA09C7">
            <w:pPr>
              <w:widowControl w:val="0"/>
              <w:spacing w:line="240" w:lineRule="auto"/>
              <w:jc w:val="center"/>
              <w:rPr>
                <w:sz w:val="22"/>
                <w:szCs w:val="22"/>
              </w:rPr>
            </w:pPr>
            <w:r w:rsidRPr="004142BD">
              <w:rPr>
                <w:sz w:val="22"/>
                <w:szCs w:val="22"/>
              </w:rPr>
              <w:t>Varied across teams (sweets, money, credit)</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DBF40BB" w14:textId="77777777" w:rsidR="00F04617" w:rsidRPr="004142BD" w:rsidRDefault="00F04617" w:rsidP="00EA09C7">
            <w:pPr>
              <w:widowControl w:val="0"/>
              <w:spacing w:line="240" w:lineRule="auto"/>
              <w:jc w:val="center"/>
              <w:rPr>
                <w:sz w:val="22"/>
                <w:szCs w:val="22"/>
              </w:rPr>
            </w:pPr>
            <w:r w:rsidRPr="004142BD">
              <w:rPr>
                <w:sz w:val="22"/>
                <w:szCs w:val="22"/>
              </w:rPr>
              <w:t xml:space="preserve">One team used </w:t>
            </w:r>
            <w:proofErr w:type="spellStart"/>
            <w:r w:rsidRPr="004142BD">
              <w:rPr>
                <w:sz w:val="22"/>
                <w:szCs w:val="22"/>
              </w:rPr>
              <w:t>McNemar</w:t>
            </w:r>
            <w:proofErr w:type="spellEnd"/>
            <w:r w:rsidRPr="004142BD">
              <w:rPr>
                <w:sz w:val="22"/>
                <w:szCs w:val="22"/>
              </w:rPr>
              <w:t xml:space="preserve"> for binary and Quade test for VAS; otherwise none</w:t>
            </w:r>
          </w:p>
        </w:tc>
      </w:tr>
      <w:tr w:rsidR="00F04617" w14:paraId="22FA8A21" w14:textId="77777777" w:rsidTr="00EA09C7">
        <w:trPr>
          <w:trHeight w:val="144"/>
        </w:trPr>
        <w:tc>
          <w:tcPr>
            <w:tcW w:w="450" w:type="pct"/>
            <w:vMerge/>
            <w:tcBorders>
              <w:left w:val="single" w:sz="8" w:space="0" w:color="FFFFFF"/>
              <w:bottom w:val="single" w:sz="8" w:space="0" w:color="FFFFFF"/>
              <w:right w:val="single" w:sz="8" w:space="0" w:color="FFFFFF"/>
            </w:tcBorders>
            <w:tcMar>
              <w:top w:w="20" w:type="dxa"/>
              <w:left w:w="20" w:type="dxa"/>
              <w:bottom w:w="100" w:type="dxa"/>
              <w:right w:w="20" w:type="dxa"/>
            </w:tcMar>
          </w:tcPr>
          <w:p w14:paraId="2D9F9A87" w14:textId="77777777" w:rsidR="00F04617" w:rsidRPr="004142BD" w:rsidRDefault="00F04617" w:rsidP="00EA09C7">
            <w:pPr>
              <w:widowControl w:val="0"/>
              <w:spacing w:line="240" w:lineRule="auto"/>
              <w:jc w:val="center"/>
              <w:rPr>
                <w:sz w:val="22"/>
                <w:szCs w:val="22"/>
              </w:rPr>
            </w:pPr>
          </w:p>
        </w:tc>
        <w:tc>
          <w:tcPr>
            <w:tcW w:w="630" w:type="pct"/>
            <w:vMerge/>
            <w:tcBorders>
              <w:left w:val="single" w:sz="8" w:space="0" w:color="FFFFFF"/>
              <w:bottom w:val="single" w:sz="8" w:space="0" w:color="FFFFFF"/>
              <w:right w:val="single" w:sz="8" w:space="0" w:color="FFFFFF"/>
            </w:tcBorders>
            <w:tcMar>
              <w:top w:w="20" w:type="dxa"/>
              <w:left w:w="20" w:type="dxa"/>
              <w:bottom w:w="100" w:type="dxa"/>
              <w:right w:w="20" w:type="dxa"/>
            </w:tcMar>
          </w:tcPr>
          <w:p w14:paraId="5EF807B4" w14:textId="77777777" w:rsidR="00F04617" w:rsidRPr="004142BD" w:rsidRDefault="00F04617" w:rsidP="00EA09C7">
            <w:pPr>
              <w:widowControl w:val="0"/>
              <w:spacing w:line="240" w:lineRule="auto"/>
              <w:jc w:val="center"/>
              <w:rPr>
                <w:sz w:val="22"/>
                <w:szCs w:val="22"/>
              </w:rPr>
            </w:pP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C4C7C59"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D4B5B1E" w14:textId="77777777" w:rsidR="00F04617" w:rsidRPr="004142BD" w:rsidRDefault="00F04617" w:rsidP="00EA09C7">
            <w:pPr>
              <w:widowControl w:val="0"/>
              <w:spacing w:line="240" w:lineRule="auto"/>
              <w:jc w:val="center"/>
              <w:rPr>
                <w:sz w:val="22"/>
                <w:szCs w:val="22"/>
              </w:rPr>
            </w:pPr>
            <w:r w:rsidRPr="004142BD">
              <w:rPr>
                <w:sz w:val="22"/>
                <w:szCs w:val="22"/>
              </w:rPr>
              <w:t>332</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EF3603E" w14:textId="77777777" w:rsidR="00F04617" w:rsidRPr="004142BD" w:rsidRDefault="00F04617" w:rsidP="00EA09C7">
            <w:pPr>
              <w:widowControl w:val="0"/>
              <w:spacing w:line="240" w:lineRule="auto"/>
              <w:jc w:val="center"/>
              <w:rPr>
                <w:sz w:val="22"/>
                <w:szCs w:val="22"/>
              </w:rPr>
            </w:pPr>
            <w:r w:rsidRPr="004142BD">
              <w:rPr>
                <w:sz w:val="22"/>
                <w:szCs w:val="22"/>
              </w:rPr>
              <w:t>184</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9C01C44"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A092C34"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CF19603"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B14EA1A" w14:textId="77777777" w:rsidR="00F04617" w:rsidRPr="004142BD" w:rsidRDefault="00F04617" w:rsidP="00EA09C7">
            <w:pPr>
              <w:widowControl w:val="0"/>
              <w:spacing w:line="240" w:lineRule="auto"/>
              <w:jc w:val="center"/>
              <w:rPr>
                <w:sz w:val="22"/>
                <w:szCs w:val="22"/>
              </w:rPr>
            </w:pPr>
            <w:r w:rsidRPr="004142BD">
              <w:rPr>
                <w:sz w:val="22"/>
                <w:szCs w:val="22"/>
              </w:rPr>
              <w:t>Credit</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C65A869" w14:textId="77777777" w:rsidR="00F04617" w:rsidRPr="004142BD" w:rsidRDefault="00F04617" w:rsidP="00EA09C7">
            <w:pPr>
              <w:widowControl w:val="0"/>
              <w:spacing w:line="240" w:lineRule="auto"/>
              <w:jc w:val="center"/>
              <w:rPr>
                <w:sz w:val="22"/>
                <w:szCs w:val="22"/>
              </w:rPr>
            </w:pPr>
            <w:r w:rsidRPr="004142BD">
              <w:rPr>
                <w:sz w:val="22"/>
                <w:szCs w:val="22"/>
              </w:rPr>
              <w:t>None</w:t>
            </w:r>
          </w:p>
        </w:tc>
      </w:tr>
      <w:tr w:rsidR="00F04617" w14:paraId="0E48F323" w14:textId="77777777" w:rsidTr="00EA09C7">
        <w:trPr>
          <w:trHeight w:val="144"/>
        </w:trPr>
        <w:tc>
          <w:tcPr>
            <w:tcW w:w="45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091E07F" w14:textId="77777777" w:rsidR="00F04617" w:rsidRPr="004142BD" w:rsidRDefault="00F04617" w:rsidP="00EA09C7">
            <w:pPr>
              <w:widowControl w:val="0"/>
              <w:spacing w:line="240" w:lineRule="auto"/>
              <w:jc w:val="center"/>
              <w:rPr>
                <w:sz w:val="22"/>
                <w:szCs w:val="22"/>
              </w:rPr>
            </w:pPr>
            <w:r w:rsidRPr="004142BD">
              <w:rPr>
                <w:sz w:val="22"/>
                <w:szCs w:val="22"/>
              </w:rPr>
              <w:t>Hungarian</w:t>
            </w:r>
          </w:p>
        </w:tc>
        <w:tc>
          <w:tcPr>
            <w:tcW w:w="63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75E06B4" w14:textId="77777777" w:rsidR="00F04617" w:rsidRPr="004142BD" w:rsidRDefault="00F04617" w:rsidP="00EA09C7">
            <w:pPr>
              <w:widowControl w:val="0"/>
              <w:spacing w:line="240" w:lineRule="auto"/>
              <w:jc w:val="center"/>
              <w:rPr>
                <w:sz w:val="22"/>
                <w:szCs w:val="22"/>
              </w:rPr>
            </w:pPr>
            <w:r w:rsidRPr="004142BD">
              <w:rPr>
                <w:sz w:val="22"/>
                <w:szCs w:val="22"/>
              </w:rPr>
              <w:t>Hungary</w:t>
            </w: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D342BCA"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580C844" w14:textId="77777777" w:rsidR="00F04617" w:rsidRPr="004142BD" w:rsidRDefault="00F04617" w:rsidP="00EA09C7">
            <w:pPr>
              <w:widowControl w:val="0"/>
              <w:spacing w:line="240" w:lineRule="auto"/>
              <w:jc w:val="center"/>
              <w:rPr>
                <w:sz w:val="22"/>
                <w:szCs w:val="22"/>
              </w:rPr>
            </w:pPr>
            <w:r w:rsidRPr="004142BD">
              <w:rPr>
                <w:sz w:val="22"/>
                <w:szCs w:val="22"/>
              </w:rPr>
              <w:t>658</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88F9120" w14:textId="77777777" w:rsidR="00F04617" w:rsidRPr="004142BD" w:rsidRDefault="00F04617" w:rsidP="00EA09C7">
            <w:pPr>
              <w:widowControl w:val="0"/>
              <w:spacing w:line="240" w:lineRule="auto"/>
              <w:jc w:val="center"/>
              <w:rPr>
                <w:sz w:val="22"/>
                <w:szCs w:val="22"/>
              </w:rPr>
            </w:pPr>
            <w:r w:rsidRPr="004142BD">
              <w:rPr>
                <w:sz w:val="22"/>
                <w:szCs w:val="22"/>
              </w:rPr>
              <w:t>449</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6BF49D8"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380DFC7" w14:textId="77777777" w:rsidR="00F04617" w:rsidRPr="004142BD" w:rsidRDefault="00F04617" w:rsidP="00EA09C7">
            <w:pPr>
              <w:widowControl w:val="0"/>
              <w:spacing w:line="240" w:lineRule="auto"/>
              <w:jc w:val="center"/>
              <w:rPr>
                <w:sz w:val="22"/>
                <w:szCs w:val="22"/>
              </w:rPr>
            </w:pPr>
            <w:r w:rsidRPr="004142BD">
              <w:rPr>
                <w:sz w:val="22"/>
                <w:szCs w:val="22"/>
              </w:rPr>
              <w:t>Both</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21595F5" w14:textId="77777777" w:rsidR="00F04617" w:rsidRPr="004142BD" w:rsidRDefault="00F04617" w:rsidP="00EA09C7">
            <w:pPr>
              <w:widowControl w:val="0"/>
              <w:spacing w:line="240" w:lineRule="auto"/>
              <w:jc w:val="center"/>
              <w:rPr>
                <w:sz w:val="22"/>
                <w:szCs w:val="22"/>
              </w:rPr>
            </w:pPr>
            <w:r w:rsidRPr="004142BD">
              <w:rPr>
                <w:sz w:val="22"/>
                <w:szCs w:val="22"/>
              </w:rPr>
              <w:t>Both</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126A87A" w14:textId="77777777" w:rsidR="00F04617" w:rsidRPr="004142BD" w:rsidRDefault="00F04617" w:rsidP="00EA09C7">
            <w:pPr>
              <w:widowControl w:val="0"/>
              <w:spacing w:line="240" w:lineRule="auto"/>
              <w:jc w:val="center"/>
              <w:rPr>
                <w:sz w:val="22"/>
                <w:szCs w:val="22"/>
              </w:rPr>
            </w:pPr>
            <w:r w:rsidRPr="004142BD">
              <w:rPr>
                <w:sz w:val="22"/>
                <w:szCs w:val="22"/>
              </w:rPr>
              <w:t>Credit</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31A2D4F" w14:textId="77777777" w:rsidR="00F04617" w:rsidRPr="004142BD" w:rsidRDefault="00F04617" w:rsidP="00EA09C7">
            <w:pPr>
              <w:widowControl w:val="0"/>
              <w:spacing w:line="240" w:lineRule="auto"/>
              <w:jc w:val="center"/>
              <w:rPr>
                <w:sz w:val="22"/>
                <w:szCs w:val="22"/>
              </w:rPr>
            </w:pPr>
            <w:r w:rsidRPr="004142BD">
              <w:rPr>
                <w:sz w:val="22"/>
                <w:szCs w:val="22"/>
              </w:rPr>
              <w:t>None</w:t>
            </w:r>
          </w:p>
        </w:tc>
      </w:tr>
      <w:tr w:rsidR="00F04617" w14:paraId="59043FE4" w14:textId="77777777" w:rsidTr="00EA09C7">
        <w:trPr>
          <w:trHeight w:val="144"/>
        </w:trPr>
        <w:tc>
          <w:tcPr>
            <w:tcW w:w="45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FA44B7A" w14:textId="77777777" w:rsidR="00F04617" w:rsidRPr="004142BD" w:rsidRDefault="00F04617" w:rsidP="00EA09C7">
            <w:pPr>
              <w:widowControl w:val="0"/>
              <w:spacing w:line="240" w:lineRule="auto"/>
              <w:jc w:val="center"/>
              <w:rPr>
                <w:sz w:val="22"/>
                <w:szCs w:val="22"/>
              </w:rPr>
            </w:pPr>
            <w:r w:rsidRPr="004142BD">
              <w:rPr>
                <w:sz w:val="22"/>
                <w:szCs w:val="22"/>
              </w:rPr>
              <w:t>Norwegian</w:t>
            </w:r>
          </w:p>
        </w:tc>
        <w:tc>
          <w:tcPr>
            <w:tcW w:w="63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CF03EEA" w14:textId="77777777" w:rsidR="00F04617" w:rsidRPr="004142BD" w:rsidRDefault="00F04617" w:rsidP="00EA09C7">
            <w:pPr>
              <w:widowControl w:val="0"/>
              <w:spacing w:line="240" w:lineRule="auto"/>
              <w:jc w:val="center"/>
              <w:rPr>
                <w:sz w:val="22"/>
                <w:szCs w:val="22"/>
              </w:rPr>
            </w:pPr>
            <w:r w:rsidRPr="004142BD">
              <w:rPr>
                <w:sz w:val="22"/>
                <w:szCs w:val="22"/>
              </w:rPr>
              <w:t>Norway</w:t>
            </w: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7AA8EAC"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530131B" w14:textId="77777777" w:rsidR="00F04617" w:rsidRPr="004142BD" w:rsidRDefault="00F04617" w:rsidP="00EA09C7">
            <w:pPr>
              <w:widowControl w:val="0"/>
              <w:spacing w:line="240" w:lineRule="auto"/>
              <w:jc w:val="center"/>
              <w:rPr>
                <w:sz w:val="22"/>
                <w:szCs w:val="22"/>
              </w:rPr>
            </w:pPr>
            <w:r w:rsidRPr="004142BD">
              <w:rPr>
                <w:sz w:val="22"/>
                <w:szCs w:val="22"/>
              </w:rPr>
              <w:t>147</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059DC9C" w14:textId="77777777" w:rsidR="00F04617" w:rsidRPr="004142BD" w:rsidRDefault="00F04617" w:rsidP="00EA09C7">
            <w:pPr>
              <w:widowControl w:val="0"/>
              <w:spacing w:line="240" w:lineRule="auto"/>
              <w:jc w:val="center"/>
              <w:rPr>
                <w:sz w:val="22"/>
                <w:szCs w:val="22"/>
              </w:rPr>
            </w:pPr>
            <w:r w:rsidRPr="004142BD">
              <w:rPr>
                <w:sz w:val="22"/>
                <w:szCs w:val="22"/>
              </w:rPr>
              <w:t>76</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271126F" w14:textId="77777777" w:rsidR="00F04617" w:rsidRPr="004142BD" w:rsidRDefault="00F04617" w:rsidP="00EA09C7">
            <w:pPr>
              <w:widowControl w:val="0"/>
              <w:spacing w:line="240" w:lineRule="auto"/>
              <w:jc w:val="center"/>
              <w:rPr>
                <w:sz w:val="22"/>
                <w:szCs w:val="22"/>
              </w:rPr>
            </w:pPr>
            <w:r w:rsidRPr="004142BD">
              <w:rPr>
                <w:sz w:val="22"/>
                <w:szCs w:val="22"/>
              </w:rPr>
              <w:t>Both</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6DCE3EC"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320A609"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68E74D2" w14:textId="77777777" w:rsidR="00F04617" w:rsidRPr="004142BD" w:rsidRDefault="00F04617" w:rsidP="00EA09C7">
            <w:pPr>
              <w:widowControl w:val="0"/>
              <w:spacing w:line="240" w:lineRule="auto"/>
              <w:jc w:val="center"/>
              <w:rPr>
                <w:sz w:val="22"/>
                <w:szCs w:val="22"/>
              </w:rPr>
            </w:pPr>
            <w:r w:rsidRPr="004142BD">
              <w:rPr>
                <w:sz w:val="22"/>
                <w:szCs w:val="22"/>
              </w:rPr>
              <w:t>Students: Sweets;</w:t>
            </w:r>
          </w:p>
          <w:p w14:paraId="1224760E" w14:textId="77777777" w:rsidR="00F04617" w:rsidRPr="004142BD" w:rsidRDefault="00F04617" w:rsidP="00EA09C7">
            <w:pPr>
              <w:widowControl w:val="0"/>
              <w:spacing w:line="240" w:lineRule="auto"/>
              <w:jc w:val="center"/>
              <w:rPr>
                <w:sz w:val="22"/>
                <w:szCs w:val="22"/>
              </w:rPr>
            </w:pPr>
            <w:r w:rsidRPr="004142BD">
              <w:rPr>
                <w:sz w:val="22"/>
                <w:szCs w:val="22"/>
              </w:rPr>
              <w:t>Community: None</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BD1C1CB" w14:textId="77777777" w:rsidR="00F04617" w:rsidRPr="004142BD" w:rsidRDefault="00F04617" w:rsidP="00EA09C7">
            <w:pPr>
              <w:widowControl w:val="0"/>
              <w:spacing w:line="240" w:lineRule="auto"/>
              <w:jc w:val="center"/>
              <w:rPr>
                <w:sz w:val="22"/>
                <w:szCs w:val="22"/>
              </w:rPr>
            </w:pPr>
            <w:r w:rsidRPr="004142BD">
              <w:rPr>
                <w:sz w:val="22"/>
                <w:szCs w:val="22"/>
              </w:rPr>
              <w:t>None</w:t>
            </w:r>
          </w:p>
        </w:tc>
      </w:tr>
      <w:tr w:rsidR="00F04617" w14:paraId="329412F2" w14:textId="77777777" w:rsidTr="00EA09C7">
        <w:trPr>
          <w:trHeight w:val="144"/>
        </w:trPr>
        <w:tc>
          <w:tcPr>
            <w:tcW w:w="450" w:type="pct"/>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1314020C" w14:textId="77777777" w:rsidR="00F04617" w:rsidRPr="004142BD" w:rsidRDefault="00F04617" w:rsidP="00EA09C7">
            <w:pPr>
              <w:widowControl w:val="0"/>
              <w:spacing w:line="240" w:lineRule="auto"/>
              <w:jc w:val="center"/>
              <w:rPr>
                <w:sz w:val="22"/>
                <w:szCs w:val="22"/>
              </w:rPr>
            </w:pPr>
            <w:r w:rsidRPr="004142BD">
              <w:rPr>
                <w:sz w:val="22"/>
                <w:szCs w:val="22"/>
              </w:rPr>
              <w:t>Polish</w:t>
            </w:r>
          </w:p>
        </w:tc>
        <w:tc>
          <w:tcPr>
            <w:tcW w:w="630" w:type="pct"/>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019F2F46" w14:textId="77777777" w:rsidR="00F04617" w:rsidRPr="004142BD" w:rsidRDefault="00F04617" w:rsidP="00EA09C7">
            <w:pPr>
              <w:widowControl w:val="0"/>
              <w:spacing w:line="240" w:lineRule="auto"/>
              <w:jc w:val="center"/>
              <w:rPr>
                <w:sz w:val="22"/>
                <w:szCs w:val="22"/>
              </w:rPr>
            </w:pPr>
            <w:r w:rsidRPr="004142BD">
              <w:rPr>
                <w:sz w:val="22"/>
                <w:szCs w:val="22"/>
              </w:rPr>
              <w:t>Poland</w:t>
            </w: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2E54AA6"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16DA151" w14:textId="77777777" w:rsidR="00F04617" w:rsidRPr="004142BD" w:rsidRDefault="00F04617" w:rsidP="00EA09C7">
            <w:pPr>
              <w:widowControl w:val="0"/>
              <w:spacing w:line="240" w:lineRule="auto"/>
              <w:jc w:val="center"/>
              <w:rPr>
                <w:sz w:val="22"/>
                <w:szCs w:val="22"/>
              </w:rPr>
            </w:pPr>
            <w:r w:rsidRPr="004142BD">
              <w:rPr>
                <w:sz w:val="22"/>
                <w:szCs w:val="22"/>
              </w:rPr>
              <w:t>179</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5D26BA8" w14:textId="77777777" w:rsidR="00F04617" w:rsidRPr="004142BD" w:rsidRDefault="00F04617" w:rsidP="00EA09C7">
            <w:pPr>
              <w:widowControl w:val="0"/>
              <w:spacing w:line="240" w:lineRule="auto"/>
              <w:jc w:val="center"/>
              <w:rPr>
                <w:sz w:val="22"/>
                <w:szCs w:val="22"/>
              </w:rPr>
            </w:pPr>
            <w:r w:rsidRPr="004142BD">
              <w:rPr>
                <w:sz w:val="22"/>
                <w:szCs w:val="22"/>
              </w:rPr>
              <w:t>72</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478CD99" w14:textId="77777777" w:rsidR="00F04617" w:rsidRPr="004142BD" w:rsidRDefault="00F04617" w:rsidP="00EA09C7">
            <w:pPr>
              <w:widowControl w:val="0"/>
              <w:spacing w:line="240" w:lineRule="auto"/>
              <w:jc w:val="center"/>
              <w:rPr>
                <w:sz w:val="22"/>
                <w:szCs w:val="22"/>
              </w:rPr>
            </w:pPr>
            <w:r w:rsidRPr="004142BD">
              <w:rPr>
                <w:sz w:val="22"/>
                <w:szCs w:val="22"/>
              </w:rPr>
              <w:t>Both</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9741795" w14:textId="77777777" w:rsidR="00F04617" w:rsidRPr="004142BD" w:rsidRDefault="00F04617" w:rsidP="00EA09C7">
            <w:pPr>
              <w:widowControl w:val="0"/>
              <w:spacing w:line="240" w:lineRule="auto"/>
              <w:jc w:val="center"/>
              <w:rPr>
                <w:sz w:val="22"/>
                <w:szCs w:val="22"/>
              </w:rPr>
            </w:pPr>
            <w:r w:rsidRPr="004142BD">
              <w:rPr>
                <w:sz w:val="22"/>
                <w:szCs w:val="22"/>
              </w:rPr>
              <w:t>Both</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5B9A763" w14:textId="77777777" w:rsidR="00F04617" w:rsidRPr="004142BD" w:rsidRDefault="00F04617" w:rsidP="00EA09C7">
            <w:pPr>
              <w:widowControl w:val="0"/>
              <w:spacing w:line="240" w:lineRule="auto"/>
              <w:jc w:val="center"/>
              <w:rPr>
                <w:sz w:val="22"/>
                <w:szCs w:val="22"/>
              </w:rPr>
            </w:pPr>
            <w:r w:rsidRPr="004142BD">
              <w:rPr>
                <w:sz w:val="22"/>
                <w:szCs w:val="22"/>
              </w:rPr>
              <w:t>Both</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E576F55" w14:textId="77777777" w:rsidR="00F04617" w:rsidRPr="004142BD" w:rsidRDefault="00F04617" w:rsidP="00EA09C7">
            <w:pPr>
              <w:widowControl w:val="0"/>
              <w:spacing w:line="240" w:lineRule="auto"/>
              <w:jc w:val="center"/>
              <w:rPr>
                <w:sz w:val="22"/>
                <w:szCs w:val="22"/>
              </w:rPr>
            </w:pPr>
            <w:r w:rsidRPr="004142BD">
              <w:rPr>
                <w:sz w:val="22"/>
                <w:szCs w:val="22"/>
              </w:rPr>
              <w:t>Students: Credit</w:t>
            </w:r>
          </w:p>
          <w:p w14:paraId="2B56FF26" w14:textId="77777777" w:rsidR="00F04617" w:rsidRPr="004142BD" w:rsidRDefault="00F04617" w:rsidP="00EA09C7">
            <w:pPr>
              <w:widowControl w:val="0"/>
              <w:spacing w:line="240" w:lineRule="auto"/>
              <w:jc w:val="center"/>
              <w:rPr>
                <w:sz w:val="22"/>
                <w:szCs w:val="22"/>
              </w:rPr>
            </w:pPr>
            <w:r w:rsidRPr="004142BD">
              <w:rPr>
                <w:sz w:val="22"/>
                <w:szCs w:val="22"/>
              </w:rPr>
              <w:t>Community: None</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387249A" w14:textId="77777777" w:rsidR="00F04617" w:rsidRPr="004142BD" w:rsidRDefault="00F04617" w:rsidP="00EA09C7">
            <w:pPr>
              <w:widowControl w:val="0"/>
              <w:spacing w:line="240" w:lineRule="auto"/>
              <w:jc w:val="center"/>
              <w:rPr>
                <w:sz w:val="22"/>
                <w:szCs w:val="22"/>
              </w:rPr>
            </w:pPr>
            <w:r w:rsidRPr="004142BD">
              <w:rPr>
                <w:sz w:val="22"/>
                <w:szCs w:val="22"/>
              </w:rPr>
              <w:t>MANOVA</w:t>
            </w:r>
          </w:p>
        </w:tc>
      </w:tr>
      <w:tr w:rsidR="00F04617" w14:paraId="7E22ED60" w14:textId="77777777" w:rsidTr="00EA09C7">
        <w:trPr>
          <w:trHeight w:val="144"/>
        </w:trPr>
        <w:tc>
          <w:tcPr>
            <w:tcW w:w="450" w:type="pct"/>
            <w:vMerge/>
            <w:tcBorders>
              <w:left w:val="single" w:sz="8" w:space="0" w:color="FFFFFF"/>
              <w:bottom w:val="single" w:sz="8" w:space="0" w:color="FFFFFF"/>
              <w:right w:val="single" w:sz="8" w:space="0" w:color="FFFFFF"/>
            </w:tcBorders>
            <w:tcMar>
              <w:top w:w="20" w:type="dxa"/>
              <w:left w:w="20" w:type="dxa"/>
              <w:bottom w:w="100" w:type="dxa"/>
              <w:right w:w="20" w:type="dxa"/>
            </w:tcMar>
          </w:tcPr>
          <w:p w14:paraId="75A79013" w14:textId="77777777" w:rsidR="00F04617" w:rsidRPr="004142BD" w:rsidRDefault="00F04617" w:rsidP="00EA09C7">
            <w:pPr>
              <w:widowControl w:val="0"/>
              <w:spacing w:line="240" w:lineRule="auto"/>
              <w:jc w:val="center"/>
              <w:rPr>
                <w:sz w:val="22"/>
                <w:szCs w:val="22"/>
              </w:rPr>
            </w:pPr>
          </w:p>
        </w:tc>
        <w:tc>
          <w:tcPr>
            <w:tcW w:w="630" w:type="pct"/>
            <w:vMerge/>
            <w:tcBorders>
              <w:left w:val="single" w:sz="8" w:space="0" w:color="FFFFFF"/>
              <w:bottom w:val="single" w:sz="8" w:space="0" w:color="FFFFFF"/>
              <w:right w:val="single" w:sz="8" w:space="0" w:color="FFFFFF"/>
            </w:tcBorders>
            <w:tcMar>
              <w:top w:w="20" w:type="dxa"/>
              <w:left w:w="20" w:type="dxa"/>
              <w:bottom w:w="100" w:type="dxa"/>
              <w:right w:w="20" w:type="dxa"/>
            </w:tcMar>
          </w:tcPr>
          <w:p w14:paraId="384F11A7" w14:textId="77777777" w:rsidR="00F04617" w:rsidRPr="004142BD" w:rsidRDefault="00F04617" w:rsidP="00EA09C7">
            <w:pPr>
              <w:widowControl w:val="0"/>
              <w:spacing w:line="240" w:lineRule="auto"/>
              <w:jc w:val="center"/>
              <w:rPr>
                <w:sz w:val="22"/>
                <w:szCs w:val="22"/>
              </w:rPr>
            </w:pP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650B1C"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B680A09" w14:textId="77777777" w:rsidR="00F04617" w:rsidRPr="004142BD" w:rsidRDefault="00F04617" w:rsidP="00EA09C7">
            <w:pPr>
              <w:widowControl w:val="0"/>
              <w:spacing w:line="240" w:lineRule="auto"/>
              <w:jc w:val="center"/>
              <w:rPr>
                <w:sz w:val="22"/>
                <w:szCs w:val="22"/>
              </w:rPr>
            </w:pPr>
            <w:r w:rsidRPr="004142BD">
              <w:rPr>
                <w:sz w:val="22"/>
                <w:szCs w:val="22"/>
              </w:rPr>
              <w:t>243</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155E571" w14:textId="77777777" w:rsidR="00F04617" w:rsidRPr="004142BD" w:rsidRDefault="00F04617" w:rsidP="00EA09C7">
            <w:pPr>
              <w:widowControl w:val="0"/>
              <w:spacing w:line="240" w:lineRule="auto"/>
              <w:jc w:val="center"/>
              <w:rPr>
                <w:sz w:val="22"/>
                <w:szCs w:val="22"/>
              </w:rPr>
            </w:pPr>
            <w:r w:rsidRPr="004142BD">
              <w:rPr>
                <w:sz w:val="22"/>
                <w:szCs w:val="22"/>
              </w:rPr>
              <w:t>121</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75008A7" w14:textId="77777777" w:rsidR="00F04617" w:rsidRPr="004142BD" w:rsidRDefault="00F04617" w:rsidP="00EA09C7">
            <w:pPr>
              <w:widowControl w:val="0"/>
              <w:spacing w:line="240" w:lineRule="auto"/>
              <w:jc w:val="center"/>
              <w:rPr>
                <w:sz w:val="22"/>
                <w:szCs w:val="22"/>
              </w:rPr>
            </w:pPr>
            <w:r w:rsidRPr="004142BD">
              <w:rPr>
                <w:sz w:val="22"/>
                <w:szCs w:val="22"/>
              </w:rPr>
              <w:t>Both</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468B805"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0689159"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69CF525" w14:textId="77777777" w:rsidR="00F04617" w:rsidRPr="004142BD" w:rsidRDefault="00F04617" w:rsidP="00EA09C7">
            <w:pPr>
              <w:widowControl w:val="0"/>
              <w:spacing w:line="240" w:lineRule="auto"/>
              <w:jc w:val="center"/>
              <w:rPr>
                <w:sz w:val="22"/>
                <w:szCs w:val="22"/>
              </w:rPr>
            </w:pPr>
            <w:r w:rsidRPr="004142BD">
              <w:rPr>
                <w:sz w:val="22"/>
                <w:szCs w:val="22"/>
              </w:rPr>
              <w:t>None</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E758958" w14:textId="77777777" w:rsidR="00F04617" w:rsidRPr="004142BD" w:rsidRDefault="00F04617" w:rsidP="00EA09C7">
            <w:pPr>
              <w:widowControl w:val="0"/>
              <w:spacing w:line="240" w:lineRule="auto"/>
              <w:jc w:val="center"/>
              <w:rPr>
                <w:sz w:val="22"/>
                <w:szCs w:val="22"/>
              </w:rPr>
            </w:pPr>
            <w:r w:rsidRPr="004142BD">
              <w:rPr>
                <w:sz w:val="22"/>
                <w:szCs w:val="22"/>
              </w:rPr>
              <w:t>None</w:t>
            </w:r>
          </w:p>
        </w:tc>
      </w:tr>
      <w:tr w:rsidR="00F04617" w14:paraId="350BE332" w14:textId="77777777" w:rsidTr="00EA09C7">
        <w:trPr>
          <w:trHeight w:val="144"/>
        </w:trPr>
        <w:tc>
          <w:tcPr>
            <w:tcW w:w="45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CF9782F" w14:textId="77777777" w:rsidR="00F04617" w:rsidRPr="004142BD" w:rsidRDefault="00F04617" w:rsidP="00EA09C7">
            <w:pPr>
              <w:widowControl w:val="0"/>
              <w:spacing w:line="240" w:lineRule="auto"/>
              <w:jc w:val="center"/>
              <w:rPr>
                <w:sz w:val="22"/>
                <w:szCs w:val="22"/>
              </w:rPr>
            </w:pPr>
            <w:r w:rsidRPr="004142BD">
              <w:rPr>
                <w:sz w:val="22"/>
                <w:szCs w:val="22"/>
              </w:rPr>
              <w:t>Portuguese</w:t>
            </w:r>
          </w:p>
        </w:tc>
        <w:tc>
          <w:tcPr>
            <w:tcW w:w="63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98463BD" w14:textId="77777777" w:rsidR="00F04617" w:rsidRPr="004142BD" w:rsidRDefault="00F04617" w:rsidP="00EA09C7">
            <w:pPr>
              <w:widowControl w:val="0"/>
              <w:spacing w:line="240" w:lineRule="auto"/>
              <w:jc w:val="center"/>
              <w:rPr>
                <w:sz w:val="22"/>
                <w:szCs w:val="22"/>
              </w:rPr>
            </w:pPr>
            <w:r w:rsidRPr="004142BD">
              <w:rPr>
                <w:sz w:val="22"/>
                <w:szCs w:val="22"/>
              </w:rPr>
              <w:t>Portugal</w:t>
            </w: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6F31A22"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73E6756" w14:textId="77777777" w:rsidR="00F04617" w:rsidRPr="004142BD" w:rsidRDefault="00F04617" w:rsidP="00EA09C7">
            <w:pPr>
              <w:widowControl w:val="0"/>
              <w:spacing w:line="240" w:lineRule="auto"/>
              <w:jc w:val="center"/>
              <w:rPr>
                <w:sz w:val="22"/>
                <w:szCs w:val="22"/>
              </w:rPr>
            </w:pPr>
            <w:r w:rsidRPr="004142BD">
              <w:rPr>
                <w:sz w:val="22"/>
                <w:szCs w:val="22"/>
              </w:rPr>
              <w:t>149</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00F380B" w14:textId="77777777" w:rsidR="00F04617" w:rsidRPr="004142BD" w:rsidRDefault="00F04617" w:rsidP="00EA09C7">
            <w:pPr>
              <w:widowControl w:val="0"/>
              <w:spacing w:line="240" w:lineRule="auto"/>
              <w:jc w:val="center"/>
              <w:rPr>
                <w:sz w:val="22"/>
                <w:szCs w:val="22"/>
              </w:rPr>
            </w:pPr>
            <w:r w:rsidRPr="004142BD">
              <w:rPr>
                <w:sz w:val="22"/>
                <w:szCs w:val="22"/>
              </w:rPr>
              <w:t>81</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2E5C3C2" w14:textId="77777777" w:rsidR="00F04617" w:rsidRPr="004142BD" w:rsidRDefault="00F04617" w:rsidP="00EA09C7">
            <w:pPr>
              <w:widowControl w:val="0"/>
              <w:spacing w:line="240" w:lineRule="auto"/>
              <w:jc w:val="center"/>
              <w:rPr>
                <w:sz w:val="22"/>
                <w:szCs w:val="22"/>
              </w:rPr>
            </w:pPr>
            <w:r w:rsidRPr="004142BD">
              <w:rPr>
                <w:sz w:val="22"/>
                <w:szCs w:val="22"/>
              </w:rPr>
              <w:t>Both</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393A112"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1972733"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EC7AC71" w14:textId="77777777" w:rsidR="00F04617" w:rsidRPr="004142BD" w:rsidRDefault="00F04617" w:rsidP="00EA09C7">
            <w:pPr>
              <w:widowControl w:val="0"/>
              <w:spacing w:line="240" w:lineRule="auto"/>
              <w:jc w:val="center"/>
              <w:rPr>
                <w:sz w:val="22"/>
                <w:szCs w:val="22"/>
              </w:rPr>
            </w:pPr>
            <w:r w:rsidRPr="004142BD">
              <w:rPr>
                <w:sz w:val="22"/>
                <w:szCs w:val="22"/>
              </w:rPr>
              <w:t>Students: Credit; Community: None</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D2F2785" w14:textId="77777777" w:rsidR="00F04617" w:rsidRPr="004142BD" w:rsidRDefault="00F04617" w:rsidP="00EA09C7">
            <w:pPr>
              <w:widowControl w:val="0"/>
              <w:spacing w:line="240" w:lineRule="auto"/>
              <w:jc w:val="center"/>
              <w:rPr>
                <w:sz w:val="22"/>
                <w:szCs w:val="22"/>
              </w:rPr>
            </w:pPr>
            <w:r w:rsidRPr="004142BD">
              <w:rPr>
                <w:sz w:val="22"/>
                <w:szCs w:val="22"/>
              </w:rPr>
              <w:t>Chi square &amp; binomial tests</w:t>
            </w:r>
          </w:p>
        </w:tc>
      </w:tr>
      <w:tr w:rsidR="00F04617" w14:paraId="5A8BA1D5" w14:textId="77777777" w:rsidTr="00EA09C7">
        <w:trPr>
          <w:trHeight w:val="144"/>
        </w:trPr>
        <w:tc>
          <w:tcPr>
            <w:tcW w:w="45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417D2C0" w14:textId="77777777" w:rsidR="00F04617" w:rsidRPr="004142BD" w:rsidRDefault="00F04617" w:rsidP="00EA09C7">
            <w:pPr>
              <w:widowControl w:val="0"/>
              <w:spacing w:line="240" w:lineRule="auto"/>
              <w:jc w:val="center"/>
              <w:rPr>
                <w:sz w:val="22"/>
                <w:szCs w:val="22"/>
              </w:rPr>
            </w:pPr>
            <w:r w:rsidRPr="004142BD">
              <w:rPr>
                <w:sz w:val="22"/>
                <w:szCs w:val="22"/>
              </w:rPr>
              <w:lastRenderedPageBreak/>
              <w:t>Romanian</w:t>
            </w:r>
          </w:p>
        </w:tc>
        <w:tc>
          <w:tcPr>
            <w:tcW w:w="63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0FCE492" w14:textId="77777777" w:rsidR="00F04617" w:rsidRPr="004142BD" w:rsidRDefault="00F04617" w:rsidP="00EA09C7">
            <w:pPr>
              <w:widowControl w:val="0"/>
              <w:spacing w:line="240" w:lineRule="auto"/>
              <w:jc w:val="center"/>
              <w:rPr>
                <w:sz w:val="22"/>
                <w:szCs w:val="22"/>
              </w:rPr>
            </w:pPr>
            <w:r w:rsidRPr="004142BD">
              <w:rPr>
                <w:sz w:val="22"/>
                <w:szCs w:val="22"/>
              </w:rPr>
              <w:t>Romania</w:t>
            </w: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0D98031"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317B8C1" w14:textId="77777777" w:rsidR="00F04617" w:rsidRPr="004142BD" w:rsidRDefault="00F04617" w:rsidP="00EA09C7">
            <w:pPr>
              <w:widowControl w:val="0"/>
              <w:spacing w:line="240" w:lineRule="auto"/>
              <w:jc w:val="center"/>
              <w:rPr>
                <w:sz w:val="22"/>
                <w:szCs w:val="22"/>
              </w:rPr>
            </w:pPr>
            <w:r w:rsidRPr="004142BD">
              <w:rPr>
                <w:sz w:val="22"/>
                <w:szCs w:val="22"/>
              </w:rPr>
              <w:t>661</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017C5F6" w14:textId="77777777" w:rsidR="00F04617" w:rsidRPr="004142BD" w:rsidRDefault="00F04617" w:rsidP="00EA09C7">
            <w:pPr>
              <w:widowControl w:val="0"/>
              <w:spacing w:line="240" w:lineRule="auto"/>
              <w:jc w:val="center"/>
              <w:rPr>
                <w:sz w:val="22"/>
                <w:szCs w:val="22"/>
              </w:rPr>
            </w:pPr>
            <w:r w:rsidRPr="004142BD">
              <w:rPr>
                <w:sz w:val="22"/>
                <w:szCs w:val="22"/>
              </w:rPr>
              <w:t>371</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B126653"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BEC7702"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99E8767"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1BD680B" w14:textId="77777777" w:rsidR="00F04617" w:rsidRPr="004142BD" w:rsidRDefault="00F04617" w:rsidP="00EA09C7">
            <w:pPr>
              <w:widowControl w:val="0"/>
              <w:spacing w:line="240" w:lineRule="auto"/>
              <w:jc w:val="center"/>
              <w:rPr>
                <w:sz w:val="22"/>
                <w:szCs w:val="22"/>
              </w:rPr>
            </w:pPr>
            <w:r w:rsidRPr="004142BD">
              <w:rPr>
                <w:sz w:val="22"/>
                <w:szCs w:val="22"/>
              </w:rPr>
              <w:t>Credit</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A4D1781" w14:textId="77777777" w:rsidR="00F04617" w:rsidRPr="004142BD" w:rsidRDefault="00F04617" w:rsidP="00EA09C7">
            <w:pPr>
              <w:widowControl w:val="0"/>
              <w:spacing w:line="240" w:lineRule="auto"/>
              <w:jc w:val="center"/>
              <w:rPr>
                <w:sz w:val="22"/>
                <w:szCs w:val="22"/>
              </w:rPr>
            </w:pPr>
            <w:r w:rsidRPr="004142BD">
              <w:rPr>
                <w:sz w:val="22"/>
                <w:szCs w:val="22"/>
              </w:rPr>
              <w:t>None</w:t>
            </w:r>
          </w:p>
        </w:tc>
      </w:tr>
      <w:tr w:rsidR="00F04617" w14:paraId="076D9CDD" w14:textId="77777777" w:rsidTr="00EA09C7">
        <w:trPr>
          <w:trHeight w:val="144"/>
        </w:trPr>
        <w:tc>
          <w:tcPr>
            <w:tcW w:w="45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9CC3D6C" w14:textId="77777777" w:rsidR="00F04617" w:rsidRPr="004142BD" w:rsidRDefault="00F04617" w:rsidP="00EA09C7">
            <w:pPr>
              <w:widowControl w:val="0"/>
              <w:spacing w:line="240" w:lineRule="auto"/>
              <w:jc w:val="center"/>
              <w:rPr>
                <w:sz w:val="22"/>
                <w:szCs w:val="22"/>
              </w:rPr>
            </w:pPr>
            <w:r w:rsidRPr="004142BD">
              <w:rPr>
                <w:sz w:val="22"/>
                <w:szCs w:val="22"/>
              </w:rPr>
              <w:t>Russian</w:t>
            </w:r>
          </w:p>
        </w:tc>
        <w:tc>
          <w:tcPr>
            <w:tcW w:w="63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B5D384A" w14:textId="77777777" w:rsidR="00F04617" w:rsidRPr="004142BD" w:rsidRDefault="00F04617" w:rsidP="00EA09C7">
            <w:pPr>
              <w:widowControl w:val="0"/>
              <w:spacing w:line="240" w:lineRule="auto"/>
              <w:jc w:val="center"/>
              <w:rPr>
                <w:sz w:val="22"/>
                <w:szCs w:val="22"/>
              </w:rPr>
            </w:pPr>
            <w:r w:rsidRPr="004142BD">
              <w:rPr>
                <w:sz w:val="22"/>
                <w:szCs w:val="22"/>
              </w:rPr>
              <w:t>Russia</w:t>
            </w: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24569D6"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BFA39CA" w14:textId="77777777" w:rsidR="00F04617" w:rsidRPr="004142BD" w:rsidRDefault="00F04617" w:rsidP="00EA09C7">
            <w:pPr>
              <w:widowControl w:val="0"/>
              <w:spacing w:line="240" w:lineRule="auto"/>
              <w:jc w:val="center"/>
              <w:rPr>
                <w:sz w:val="22"/>
                <w:szCs w:val="22"/>
              </w:rPr>
            </w:pPr>
            <w:r w:rsidRPr="004142BD">
              <w:rPr>
                <w:sz w:val="22"/>
                <w:szCs w:val="22"/>
              </w:rPr>
              <w:t>233</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987EEBE" w14:textId="77777777" w:rsidR="00F04617" w:rsidRPr="004142BD" w:rsidRDefault="00F04617" w:rsidP="00EA09C7">
            <w:pPr>
              <w:widowControl w:val="0"/>
              <w:spacing w:line="240" w:lineRule="auto"/>
              <w:jc w:val="center"/>
              <w:rPr>
                <w:sz w:val="22"/>
                <w:szCs w:val="22"/>
              </w:rPr>
            </w:pPr>
            <w:r w:rsidRPr="004142BD">
              <w:rPr>
                <w:sz w:val="22"/>
                <w:szCs w:val="22"/>
              </w:rPr>
              <w:t>99</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EDEF2AB" w14:textId="77777777" w:rsidR="00F04617" w:rsidRPr="004142BD" w:rsidRDefault="00F04617" w:rsidP="00EA09C7">
            <w:pPr>
              <w:widowControl w:val="0"/>
              <w:spacing w:line="240" w:lineRule="auto"/>
              <w:jc w:val="center"/>
              <w:rPr>
                <w:sz w:val="22"/>
                <w:szCs w:val="22"/>
              </w:rPr>
            </w:pPr>
            <w:r w:rsidRPr="004142BD">
              <w:rPr>
                <w:sz w:val="22"/>
                <w:szCs w:val="22"/>
              </w:rPr>
              <w:t>Both</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108FDD"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86C1A54"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63AEAE6" w14:textId="77777777" w:rsidR="00F04617" w:rsidRPr="004142BD" w:rsidRDefault="00F04617" w:rsidP="00EA09C7">
            <w:pPr>
              <w:widowControl w:val="0"/>
              <w:spacing w:line="240" w:lineRule="auto"/>
              <w:jc w:val="center"/>
              <w:rPr>
                <w:sz w:val="22"/>
                <w:szCs w:val="22"/>
              </w:rPr>
            </w:pPr>
            <w:r w:rsidRPr="004142BD">
              <w:rPr>
                <w:sz w:val="22"/>
                <w:szCs w:val="22"/>
              </w:rPr>
              <w:t>None</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D523FFC" w14:textId="77777777" w:rsidR="00F04617" w:rsidRPr="004142BD" w:rsidRDefault="00F04617" w:rsidP="00EA09C7">
            <w:pPr>
              <w:widowControl w:val="0"/>
              <w:spacing w:line="240" w:lineRule="auto"/>
              <w:jc w:val="center"/>
              <w:rPr>
                <w:b/>
                <w:sz w:val="22"/>
                <w:szCs w:val="22"/>
              </w:rPr>
            </w:pPr>
            <w:r w:rsidRPr="004142BD">
              <w:rPr>
                <w:sz w:val="22"/>
                <w:szCs w:val="22"/>
              </w:rPr>
              <w:t>None</w:t>
            </w:r>
          </w:p>
        </w:tc>
      </w:tr>
      <w:tr w:rsidR="00F04617" w14:paraId="5CCC4526" w14:textId="77777777" w:rsidTr="00EA09C7">
        <w:trPr>
          <w:trHeight w:val="144"/>
        </w:trPr>
        <w:tc>
          <w:tcPr>
            <w:tcW w:w="45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3277692" w14:textId="77777777" w:rsidR="00F04617" w:rsidRPr="004142BD" w:rsidRDefault="00F04617" w:rsidP="00EA09C7">
            <w:pPr>
              <w:widowControl w:val="0"/>
              <w:spacing w:line="240" w:lineRule="auto"/>
              <w:jc w:val="center"/>
              <w:rPr>
                <w:sz w:val="22"/>
                <w:szCs w:val="22"/>
              </w:rPr>
            </w:pPr>
            <w:r w:rsidRPr="004142BD">
              <w:rPr>
                <w:sz w:val="22"/>
                <w:szCs w:val="22"/>
              </w:rPr>
              <w:t>Slovak</w:t>
            </w:r>
          </w:p>
        </w:tc>
        <w:tc>
          <w:tcPr>
            <w:tcW w:w="63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BFC7FED" w14:textId="77777777" w:rsidR="00F04617" w:rsidRPr="004142BD" w:rsidRDefault="00F04617" w:rsidP="00EA09C7">
            <w:pPr>
              <w:widowControl w:val="0"/>
              <w:spacing w:line="240" w:lineRule="auto"/>
              <w:jc w:val="center"/>
              <w:rPr>
                <w:sz w:val="22"/>
                <w:szCs w:val="22"/>
              </w:rPr>
            </w:pPr>
            <w:r w:rsidRPr="004142BD">
              <w:rPr>
                <w:sz w:val="22"/>
                <w:szCs w:val="22"/>
              </w:rPr>
              <w:t>Slovakia</w:t>
            </w:r>
          </w:p>
        </w:tc>
        <w:tc>
          <w:tcPr>
            <w:tcW w:w="30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0C48C7A"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F4DF505" w14:textId="77777777" w:rsidR="00F04617" w:rsidRPr="004142BD" w:rsidRDefault="00F04617" w:rsidP="00EA09C7">
            <w:pPr>
              <w:widowControl w:val="0"/>
              <w:spacing w:line="240" w:lineRule="auto"/>
              <w:jc w:val="center"/>
              <w:rPr>
                <w:sz w:val="22"/>
                <w:szCs w:val="22"/>
              </w:rPr>
            </w:pPr>
            <w:r w:rsidRPr="004142BD">
              <w:rPr>
                <w:sz w:val="22"/>
                <w:szCs w:val="22"/>
              </w:rPr>
              <w:t>229</w:t>
            </w:r>
          </w:p>
        </w:tc>
        <w:tc>
          <w:tcPr>
            <w:tcW w:w="32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CBD8C59" w14:textId="77777777" w:rsidR="00F04617" w:rsidRPr="004142BD" w:rsidRDefault="00F04617" w:rsidP="00EA09C7">
            <w:pPr>
              <w:widowControl w:val="0"/>
              <w:spacing w:line="240" w:lineRule="auto"/>
              <w:jc w:val="center"/>
              <w:rPr>
                <w:sz w:val="22"/>
                <w:szCs w:val="22"/>
              </w:rPr>
            </w:pPr>
            <w:r w:rsidRPr="004142BD">
              <w:rPr>
                <w:sz w:val="22"/>
                <w:szCs w:val="22"/>
              </w:rPr>
              <w:t>105</w:t>
            </w:r>
          </w:p>
        </w:tc>
        <w:tc>
          <w:tcPr>
            <w:tcW w:w="554"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EBDE967" w14:textId="77777777" w:rsidR="00F04617" w:rsidRPr="004142BD" w:rsidRDefault="00F04617" w:rsidP="00EA09C7">
            <w:pPr>
              <w:widowControl w:val="0"/>
              <w:spacing w:line="240" w:lineRule="auto"/>
              <w:jc w:val="center"/>
              <w:rPr>
                <w:sz w:val="22"/>
                <w:szCs w:val="22"/>
              </w:rPr>
            </w:pPr>
            <w:r w:rsidRPr="004142BD">
              <w:rPr>
                <w:sz w:val="22"/>
                <w:szCs w:val="22"/>
              </w:rPr>
              <w:t>Both</w:t>
            </w:r>
          </w:p>
        </w:tc>
        <w:tc>
          <w:tcPr>
            <w:tcW w:w="372"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6B001AA"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93CAA28"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7587A60" w14:textId="77777777" w:rsidR="00F04617" w:rsidRPr="004142BD" w:rsidRDefault="00F04617" w:rsidP="00EA09C7">
            <w:pPr>
              <w:widowControl w:val="0"/>
              <w:spacing w:line="240" w:lineRule="auto"/>
              <w:jc w:val="center"/>
              <w:rPr>
                <w:sz w:val="22"/>
                <w:szCs w:val="22"/>
              </w:rPr>
            </w:pPr>
            <w:r w:rsidRPr="004142BD">
              <w:rPr>
                <w:sz w:val="22"/>
                <w:szCs w:val="22"/>
              </w:rPr>
              <w:t>None</w:t>
            </w:r>
          </w:p>
        </w:tc>
        <w:tc>
          <w:tcPr>
            <w:tcW w:w="796" w:type="pct"/>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85B9768" w14:textId="77777777" w:rsidR="00F04617" w:rsidRPr="004142BD" w:rsidRDefault="00F04617" w:rsidP="00EA09C7">
            <w:pPr>
              <w:widowControl w:val="0"/>
              <w:spacing w:line="240" w:lineRule="auto"/>
              <w:jc w:val="center"/>
              <w:rPr>
                <w:sz w:val="22"/>
                <w:szCs w:val="22"/>
              </w:rPr>
            </w:pPr>
            <w:r w:rsidRPr="004142BD">
              <w:rPr>
                <w:sz w:val="22"/>
                <w:szCs w:val="22"/>
              </w:rPr>
              <w:t>ANOVA</w:t>
            </w:r>
          </w:p>
        </w:tc>
      </w:tr>
      <w:tr w:rsidR="00F04617" w14:paraId="0F41092D" w14:textId="77777777" w:rsidTr="00EA09C7">
        <w:trPr>
          <w:trHeight w:val="144"/>
        </w:trPr>
        <w:tc>
          <w:tcPr>
            <w:tcW w:w="450" w:type="pct"/>
            <w:tcBorders>
              <w:top w:val="single" w:sz="8" w:space="0" w:color="FFFFFF"/>
              <w:left w:val="single" w:sz="8" w:space="0" w:color="FFFFFF"/>
              <w:bottom w:val="single" w:sz="8" w:space="0" w:color="333333"/>
              <w:right w:val="single" w:sz="8" w:space="0" w:color="FFFFFF"/>
            </w:tcBorders>
            <w:tcMar>
              <w:top w:w="20" w:type="dxa"/>
              <w:left w:w="20" w:type="dxa"/>
              <w:bottom w:w="100" w:type="dxa"/>
              <w:right w:w="20" w:type="dxa"/>
            </w:tcMar>
          </w:tcPr>
          <w:p w14:paraId="2385B0E0" w14:textId="77777777" w:rsidR="00F04617" w:rsidRPr="004142BD" w:rsidRDefault="00F04617" w:rsidP="00EA09C7">
            <w:pPr>
              <w:widowControl w:val="0"/>
              <w:spacing w:line="240" w:lineRule="auto"/>
              <w:jc w:val="center"/>
              <w:rPr>
                <w:sz w:val="22"/>
                <w:szCs w:val="22"/>
              </w:rPr>
            </w:pPr>
            <w:r w:rsidRPr="004142BD">
              <w:rPr>
                <w:sz w:val="22"/>
                <w:szCs w:val="22"/>
              </w:rPr>
              <w:t>Turkish</w:t>
            </w:r>
          </w:p>
        </w:tc>
        <w:tc>
          <w:tcPr>
            <w:tcW w:w="630" w:type="pct"/>
            <w:tcBorders>
              <w:top w:val="single" w:sz="8" w:space="0" w:color="FFFFFF"/>
              <w:left w:val="single" w:sz="8" w:space="0" w:color="FFFFFF"/>
              <w:bottom w:val="single" w:sz="8" w:space="0" w:color="333333"/>
              <w:right w:val="single" w:sz="8" w:space="0" w:color="FFFFFF"/>
            </w:tcBorders>
            <w:tcMar>
              <w:top w:w="20" w:type="dxa"/>
              <w:left w:w="20" w:type="dxa"/>
              <w:bottom w:w="100" w:type="dxa"/>
              <w:right w:w="20" w:type="dxa"/>
            </w:tcMar>
          </w:tcPr>
          <w:p w14:paraId="5ADF54B2" w14:textId="77777777" w:rsidR="00F04617" w:rsidRPr="004142BD" w:rsidRDefault="00F04617" w:rsidP="00EA09C7">
            <w:pPr>
              <w:widowControl w:val="0"/>
              <w:spacing w:line="240" w:lineRule="auto"/>
              <w:jc w:val="center"/>
              <w:rPr>
                <w:sz w:val="22"/>
                <w:szCs w:val="22"/>
              </w:rPr>
            </w:pPr>
            <w:r w:rsidRPr="004142BD">
              <w:rPr>
                <w:sz w:val="22"/>
                <w:szCs w:val="22"/>
              </w:rPr>
              <w:t>Turkey</w:t>
            </w:r>
          </w:p>
        </w:tc>
        <w:tc>
          <w:tcPr>
            <w:tcW w:w="304" w:type="pct"/>
            <w:tcBorders>
              <w:top w:val="single" w:sz="8" w:space="0" w:color="FFFFFF"/>
              <w:left w:val="single" w:sz="8" w:space="0" w:color="FFFFFF"/>
              <w:bottom w:val="single" w:sz="8" w:space="0" w:color="333333"/>
              <w:right w:val="single" w:sz="8" w:space="0" w:color="FFFFFF"/>
            </w:tcBorders>
            <w:tcMar>
              <w:top w:w="20" w:type="dxa"/>
              <w:left w:w="20" w:type="dxa"/>
              <w:bottom w:w="100" w:type="dxa"/>
              <w:right w:w="20" w:type="dxa"/>
            </w:tcMar>
          </w:tcPr>
          <w:p w14:paraId="44C109E7" w14:textId="77777777" w:rsidR="00F04617" w:rsidRPr="004142BD" w:rsidRDefault="00F04617" w:rsidP="00EA09C7">
            <w:pPr>
              <w:widowControl w:val="0"/>
              <w:spacing w:line="240" w:lineRule="auto"/>
              <w:jc w:val="center"/>
              <w:rPr>
                <w:sz w:val="22"/>
                <w:szCs w:val="22"/>
              </w:rPr>
            </w:pPr>
            <w:r w:rsidRPr="004142BD">
              <w:rPr>
                <w:sz w:val="22"/>
                <w:szCs w:val="22"/>
              </w:rPr>
              <w:t>1</w:t>
            </w:r>
          </w:p>
        </w:tc>
        <w:tc>
          <w:tcPr>
            <w:tcW w:w="270" w:type="pct"/>
            <w:tcBorders>
              <w:top w:val="single" w:sz="8" w:space="0" w:color="FFFFFF"/>
              <w:left w:val="single" w:sz="8" w:space="0" w:color="FFFFFF"/>
              <w:right w:val="single" w:sz="8" w:space="0" w:color="FFFFFF"/>
            </w:tcBorders>
            <w:tcMar>
              <w:top w:w="20" w:type="dxa"/>
              <w:left w:w="20" w:type="dxa"/>
              <w:bottom w:w="100" w:type="dxa"/>
              <w:right w:w="20" w:type="dxa"/>
            </w:tcMar>
          </w:tcPr>
          <w:p w14:paraId="3CA5C992" w14:textId="77777777" w:rsidR="00F04617" w:rsidRPr="004142BD" w:rsidRDefault="00F04617" w:rsidP="00EA09C7">
            <w:pPr>
              <w:widowControl w:val="0"/>
              <w:spacing w:line="240" w:lineRule="auto"/>
              <w:jc w:val="center"/>
              <w:rPr>
                <w:sz w:val="22"/>
                <w:szCs w:val="22"/>
              </w:rPr>
            </w:pPr>
            <w:r w:rsidRPr="004142BD">
              <w:rPr>
                <w:sz w:val="22"/>
                <w:szCs w:val="22"/>
              </w:rPr>
              <w:t>304</w:t>
            </w:r>
          </w:p>
        </w:tc>
        <w:tc>
          <w:tcPr>
            <w:tcW w:w="322" w:type="pct"/>
            <w:tcBorders>
              <w:top w:val="single" w:sz="8" w:space="0" w:color="FFFFFF"/>
              <w:left w:val="single" w:sz="8" w:space="0" w:color="FFFFFF"/>
              <w:right w:val="single" w:sz="8" w:space="0" w:color="FFFFFF"/>
            </w:tcBorders>
            <w:tcMar>
              <w:top w:w="20" w:type="dxa"/>
              <w:left w:w="20" w:type="dxa"/>
              <w:bottom w:w="100" w:type="dxa"/>
              <w:right w:w="20" w:type="dxa"/>
            </w:tcMar>
          </w:tcPr>
          <w:p w14:paraId="3F32BA09" w14:textId="77777777" w:rsidR="00F04617" w:rsidRPr="004142BD" w:rsidRDefault="00F04617" w:rsidP="00EA09C7">
            <w:pPr>
              <w:widowControl w:val="0"/>
              <w:spacing w:line="240" w:lineRule="auto"/>
              <w:jc w:val="center"/>
              <w:rPr>
                <w:sz w:val="22"/>
                <w:szCs w:val="22"/>
              </w:rPr>
            </w:pPr>
            <w:r w:rsidRPr="004142BD">
              <w:rPr>
                <w:sz w:val="22"/>
                <w:szCs w:val="22"/>
              </w:rPr>
              <w:t>77</w:t>
            </w:r>
          </w:p>
        </w:tc>
        <w:tc>
          <w:tcPr>
            <w:tcW w:w="554" w:type="pct"/>
            <w:tcBorders>
              <w:top w:val="single" w:sz="8" w:space="0" w:color="FFFFFF"/>
              <w:left w:val="single" w:sz="8" w:space="0" w:color="FFFFFF"/>
              <w:right w:val="single" w:sz="8" w:space="0" w:color="FFFFFF"/>
            </w:tcBorders>
            <w:tcMar>
              <w:top w:w="20" w:type="dxa"/>
              <w:left w:w="20" w:type="dxa"/>
              <w:bottom w:w="100" w:type="dxa"/>
              <w:right w:w="20" w:type="dxa"/>
            </w:tcMar>
          </w:tcPr>
          <w:p w14:paraId="1817B680" w14:textId="77777777" w:rsidR="00F04617" w:rsidRPr="004142BD" w:rsidRDefault="00F04617" w:rsidP="00EA09C7">
            <w:pPr>
              <w:widowControl w:val="0"/>
              <w:spacing w:line="240" w:lineRule="auto"/>
              <w:jc w:val="center"/>
              <w:rPr>
                <w:sz w:val="22"/>
                <w:szCs w:val="22"/>
              </w:rPr>
            </w:pPr>
            <w:r w:rsidRPr="004142BD">
              <w:rPr>
                <w:sz w:val="22"/>
                <w:szCs w:val="22"/>
              </w:rPr>
              <w:t>Undergraduates</w:t>
            </w:r>
          </w:p>
        </w:tc>
        <w:tc>
          <w:tcPr>
            <w:tcW w:w="372" w:type="pct"/>
            <w:tcBorders>
              <w:top w:val="single" w:sz="8" w:space="0" w:color="FFFFFF"/>
              <w:left w:val="single" w:sz="8" w:space="0" w:color="FFFFFF"/>
              <w:right w:val="single" w:sz="8" w:space="0" w:color="FFFFFF"/>
            </w:tcBorders>
            <w:tcMar>
              <w:top w:w="20" w:type="dxa"/>
              <w:left w:w="20" w:type="dxa"/>
              <w:bottom w:w="100" w:type="dxa"/>
              <w:right w:w="20" w:type="dxa"/>
            </w:tcMar>
          </w:tcPr>
          <w:p w14:paraId="60C10E10"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438" w:type="pct"/>
            <w:tcBorders>
              <w:top w:val="single" w:sz="8" w:space="0" w:color="FFFFFF"/>
              <w:left w:val="single" w:sz="8" w:space="0" w:color="FFFFFF"/>
              <w:right w:val="single" w:sz="8" w:space="0" w:color="FFFFFF"/>
            </w:tcBorders>
            <w:tcMar>
              <w:top w:w="20" w:type="dxa"/>
              <w:left w:w="20" w:type="dxa"/>
              <w:bottom w:w="100" w:type="dxa"/>
              <w:right w:w="20" w:type="dxa"/>
            </w:tcMar>
          </w:tcPr>
          <w:p w14:paraId="6945532D" w14:textId="77777777" w:rsidR="00F04617" w:rsidRPr="004142BD" w:rsidRDefault="00F04617" w:rsidP="00EA09C7">
            <w:pPr>
              <w:widowControl w:val="0"/>
              <w:spacing w:line="240" w:lineRule="auto"/>
              <w:jc w:val="center"/>
              <w:rPr>
                <w:sz w:val="22"/>
                <w:szCs w:val="22"/>
              </w:rPr>
            </w:pPr>
            <w:r w:rsidRPr="004142BD">
              <w:rPr>
                <w:sz w:val="22"/>
                <w:szCs w:val="22"/>
              </w:rPr>
              <w:t>No</w:t>
            </w:r>
          </w:p>
        </w:tc>
        <w:tc>
          <w:tcPr>
            <w:tcW w:w="866" w:type="pct"/>
            <w:tcBorders>
              <w:top w:val="single" w:sz="8" w:space="0" w:color="FFFFFF"/>
              <w:left w:val="single" w:sz="8" w:space="0" w:color="FFFFFF"/>
              <w:right w:val="single" w:sz="8" w:space="0" w:color="FFFFFF"/>
            </w:tcBorders>
            <w:tcMar>
              <w:top w:w="20" w:type="dxa"/>
              <w:left w:w="20" w:type="dxa"/>
              <w:bottom w:w="100" w:type="dxa"/>
              <w:right w:w="20" w:type="dxa"/>
            </w:tcMar>
          </w:tcPr>
          <w:p w14:paraId="2394DD9C" w14:textId="77777777" w:rsidR="00F04617" w:rsidRPr="004142BD" w:rsidRDefault="00F04617" w:rsidP="00EA09C7">
            <w:pPr>
              <w:widowControl w:val="0"/>
              <w:spacing w:line="240" w:lineRule="auto"/>
              <w:jc w:val="center"/>
              <w:rPr>
                <w:sz w:val="22"/>
                <w:szCs w:val="22"/>
              </w:rPr>
            </w:pPr>
            <w:r w:rsidRPr="004142BD">
              <w:rPr>
                <w:sz w:val="22"/>
                <w:szCs w:val="22"/>
              </w:rPr>
              <w:t>Credit</w:t>
            </w:r>
          </w:p>
        </w:tc>
        <w:tc>
          <w:tcPr>
            <w:tcW w:w="796" w:type="pct"/>
            <w:tcBorders>
              <w:top w:val="single" w:sz="8" w:space="0" w:color="FFFFFF"/>
              <w:left w:val="single" w:sz="8" w:space="0" w:color="FFFFFF"/>
              <w:right w:val="single" w:sz="8" w:space="0" w:color="FFFFFF"/>
            </w:tcBorders>
            <w:tcMar>
              <w:top w:w="20" w:type="dxa"/>
              <w:left w:w="20" w:type="dxa"/>
              <w:bottom w:w="100" w:type="dxa"/>
              <w:right w:w="20" w:type="dxa"/>
            </w:tcMar>
          </w:tcPr>
          <w:p w14:paraId="2106719B" w14:textId="77777777" w:rsidR="00F04617" w:rsidRPr="004142BD" w:rsidRDefault="00F04617" w:rsidP="00EA09C7">
            <w:pPr>
              <w:widowControl w:val="0"/>
              <w:spacing w:line="240" w:lineRule="auto"/>
              <w:jc w:val="center"/>
              <w:rPr>
                <w:sz w:val="22"/>
                <w:szCs w:val="22"/>
              </w:rPr>
            </w:pPr>
            <w:r w:rsidRPr="004142BD">
              <w:rPr>
                <w:sz w:val="22"/>
                <w:szCs w:val="22"/>
              </w:rPr>
              <w:t>None</w:t>
            </w:r>
          </w:p>
        </w:tc>
      </w:tr>
      <w:tr w:rsidR="00F04617" w14:paraId="18365683" w14:textId="77777777" w:rsidTr="00EA09C7">
        <w:trPr>
          <w:trHeight w:val="144"/>
        </w:trPr>
        <w:tc>
          <w:tcPr>
            <w:tcW w:w="1080" w:type="pct"/>
            <w:gridSpan w:val="2"/>
            <w:tcBorders>
              <w:left w:val="single" w:sz="8" w:space="0" w:color="FFFFFF"/>
              <w:right w:val="nil"/>
            </w:tcBorders>
            <w:tcMar>
              <w:top w:w="20" w:type="dxa"/>
              <w:left w:w="20" w:type="dxa"/>
              <w:bottom w:w="100" w:type="dxa"/>
              <w:right w:w="20" w:type="dxa"/>
            </w:tcMar>
          </w:tcPr>
          <w:p w14:paraId="4D09A9DC" w14:textId="77777777" w:rsidR="00F04617" w:rsidRPr="004142BD" w:rsidRDefault="00F04617" w:rsidP="00EA09C7">
            <w:pPr>
              <w:widowControl w:val="0"/>
              <w:spacing w:line="240" w:lineRule="auto"/>
              <w:jc w:val="center"/>
              <w:rPr>
                <w:b/>
                <w:sz w:val="22"/>
                <w:szCs w:val="22"/>
              </w:rPr>
            </w:pPr>
            <w:r w:rsidRPr="004142BD">
              <w:rPr>
                <w:b/>
                <w:sz w:val="22"/>
                <w:szCs w:val="22"/>
              </w:rPr>
              <w:t>Total</w:t>
            </w:r>
          </w:p>
        </w:tc>
        <w:tc>
          <w:tcPr>
            <w:tcW w:w="304" w:type="pct"/>
            <w:tcBorders>
              <w:left w:val="nil"/>
              <w:right w:val="single" w:sz="8" w:space="0" w:color="FFFFFF"/>
            </w:tcBorders>
            <w:tcMar>
              <w:top w:w="20" w:type="dxa"/>
              <w:left w:w="20" w:type="dxa"/>
              <w:bottom w:w="100" w:type="dxa"/>
              <w:right w:w="20" w:type="dxa"/>
            </w:tcMar>
          </w:tcPr>
          <w:p w14:paraId="06C644B4" w14:textId="77777777" w:rsidR="00F04617" w:rsidRPr="004142BD" w:rsidRDefault="00F04617" w:rsidP="00EA09C7">
            <w:pPr>
              <w:widowControl w:val="0"/>
              <w:spacing w:line="240" w:lineRule="auto"/>
              <w:jc w:val="center"/>
              <w:rPr>
                <w:sz w:val="22"/>
                <w:szCs w:val="22"/>
              </w:rPr>
            </w:pPr>
            <w:r w:rsidRPr="004142BD">
              <w:rPr>
                <w:sz w:val="22"/>
                <w:szCs w:val="22"/>
              </w:rPr>
              <w:t>46</w:t>
            </w:r>
          </w:p>
        </w:tc>
        <w:tc>
          <w:tcPr>
            <w:tcW w:w="270" w:type="pct"/>
            <w:tcBorders>
              <w:left w:val="single" w:sz="8" w:space="0" w:color="FFFFFF"/>
              <w:right w:val="single" w:sz="8" w:space="0" w:color="FFFFFF"/>
            </w:tcBorders>
            <w:tcMar>
              <w:top w:w="20" w:type="dxa"/>
              <w:left w:w="20" w:type="dxa"/>
              <w:bottom w:w="100" w:type="dxa"/>
              <w:right w:w="20" w:type="dxa"/>
            </w:tcMar>
          </w:tcPr>
          <w:p w14:paraId="7F465074" w14:textId="77777777" w:rsidR="00F04617" w:rsidRPr="004142BD" w:rsidRDefault="00F04617" w:rsidP="00EA09C7">
            <w:pPr>
              <w:widowControl w:val="0"/>
              <w:spacing w:line="240" w:lineRule="auto"/>
              <w:jc w:val="center"/>
              <w:rPr>
                <w:sz w:val="22"/>
                <w:szCs w:val="22"/>
              </w:rPr>
            </w:pPr>
            <w:r w:rsidRPr="004142BD">
              <w:rPr>
                <w:sz w:val="22"/>
                <w:szCs w:val="22"/>
              </w:rPr>
              <w:t>9440</w:t>
            </w:r>
          </w:p>
        </w:tc>
        <w:tc>
          <w:tcPr>
            <w:tcW w:w="322" w:type="pct"/>
            <w:tcBorders>
              <w:left w:val="single" w:sz="8" w:space="0" w:color="FFFFFF"/>
              <w:right w:val="single" w:sz="8" w:space="0" w:color="FFFFFF"/>
            </w:tcBorders>
            <w:tcMar>
              <w:top w:w="20" w:type="dxa"/>
              <w:left w:w="20" w:type="dxa"/>
              <w:bottom w:w="100" w:type="dxa"/>
              <w:right w:w="20" w:type="dxa"/>
            </w:tcMar>
          </w:tcPr>
          <w:p w14:paraId="478972A4" w14:textId="77777777" w:rsidR="00F04617" w:rsidRPr="004142BD" w:rsidRDefault="00F04617" w:rsidP="00EA09C7">
            <w:pPr>
              <w:widowControl w:val="0"/>
              <w:spacing w:line="240" w:lineRule="auto"/>
              <w:jc w:val="center"/>
              <w:rPr>
                <w:sz w:val="22"/>
                <w:szCs w:val="22"/>
              </w:rPr>
            </w:pPr>
            <w:r w:rsidRPr="004142BD">
              <w:rPr>
                <w:sz w:val="22"/>
                <w:szCs w:val="22"/>
              </w:rPr>
              <w:t>4826</w:t>
            </w:r>
          </w:p>
        </w:tc>
        <w:tc>
          <w:tcPr>
            <w:tcW w:w="554" w:type="pct"/>
            <w:tcBorders>
              <w:left w:val="single" w:sz="8" w:space="0" w:color="FFFFFF"/>
              <w:right w:val="single" w:sz="8" w:space="0" w:color="FFFFFF"/>
            </w:tcBorders>
            <w:tcMar>
              <w:top w:w="20" w:type="dxa"/>
              <w:left w:w="20" w:type="dxa"/>
              <w:bottom w:w="100" w:type="dxa"/>
              <w:right w:w="20" w:type="dxa"/>
            </w:tcMar>
          </w:tcPr>
          <w:p w14:paraId="7EFFEB32" w14:textId="77777777" w:rsidR="00F04617" w:rsidRPr="004142BD" w:rsidRDefault="00F04617" w:rsidP="00EA09C7">
            <w:pPr>
              <w:widowControl w:val="0"/>
              <w:spacing w:line="240" w:lineRule="auto"/>
              <w:jc w:val="center"/>
              <w:rPr>
                <w:sz w:val="22"/>
                <w:szCs w:val="22"/>
              </w:rPr>
            </w:pPr>
          </w:p>
        </w:tc>
        <w:tc>
          <w:tcPr>
            <w:tcW w:w="372" w:type="pct"/>
            <w:tcBorders>
              <w:left w:val="single" w:sz="8" w:space="0" w:color="FFFFFF"/>
              <w:right w:val="single" w:sz="8" w:space="0" w:color="FFFFFF"/>
            </w:tcBorders>
            <w:tcMar>
              <w:top w:w="20" w:type="dxa"/>
              <w:left w:w="20" w:type="dxa"/>
              <w:bottom w:w="100" w:type="dxa"/>
              <w:right w:w="20" w:type="dxa"/>
            </w:tcMar>
          </w:tcPr>
          <w:p w14:paraId="3AEED367" w14:textId="77777777" w:rsidR="00F04617" w:rsidRPr="004142BD" w:rsidRDefault="00F04617" w:rsidP="00EA09C7">
            <w:pPr>
              <w:widowControl w:val="0"/>
              <w:spacing w:line="240" w:lineRule="auto"/>
              <w:jc w:val="center"/>
              <w:rPr>
                <w:sz w:val="22"/>
                <w:szCs w:val="22"/>
              </w:rPr>
            </w:pPr>
          </w:p>
        </w:tc>
        <w:tc>
          <w:tcPr>
            <w:tcW w:w="438" w:type="pct"/>
            <w:tcBorders>
              <w:left w:val="single" w:sz="8" w:space="0" w:color="FFFFFF"/>
              <w:right w:val="single" w:sz="8" w:space="0" w:color="FFFFFF"/>
            </w:tcBorders>
            <w:tcMar>
              <w:top w:w="20" w:type="dxa"/>
              <w:left w:w="20" w:type="dxa"/>
              <w:bottom w:w="100" w:type="dxa"/>
              <w:right w:w="20" w:type="dxa"/>
            </w:tcMar>
          </w:tcPr>
          <w:p w14:paraId="7730E22B" w14:textId="77777777" w:rsidR="00F04617" w:rsidRPr="004142BD" w:rsidRDefault="00F04617" w:rsidP="00EA09C7">
            <w:pPr>
              <w:widowControl w:val="0"/>
              <w:spacing w:line="240" w:lineRule="auto"/>
              <w:jc w:val="center"/>
              <w:rPr>
                <w:sz w:val="22"/>
                <w:szCs w:val="22"/>
              </w:rPr>
            </w:pPr>
          </w:p>
        </w:tc>
        <w:tc>
          <w:tcPr>
            <w:tcW w:w="866" w:type="pct"/>
            <w:tcBorders>
              <w:left w:val="single" w:sz="8" w:space="0" w:color="FFFFFF"/>
              <w:right w:val="single" w:sz="8" w:space="0" w:color="FFFFFF"/>
            </w:tcBorders>
            <w:tcMar>
              <w:top w:w="20" w:type="dxa"/>
              <w:left w:w="20" w:type="dxa"/>
              <w:bottom w:w="100" w:type="dxa"/>
              <w:right w:w="20" w:type="dxa"/>
            </w:tcMar>
          </w:tcPr>
          <w:p w14:paraId="29617DF7" w14:textId="77777777" w:rsidR="00F04617" w:rsidRPr="004142BD" w:rsidRDefault="00F04617" w:rsidP="00EA09C7">
            <w:pPr>
              <w:widowControl w:val="0"/>
              <w:spacing w:line="240" w:lineRule="auto"/>
              <w:jc w:val="center"/>
              <w:rPr>
                <w:sz w:val="22"/>
                <w:szCs w:val="22"/>
              </w:rPr>
            </w:pPr>
          </w:p>
        </w:tc>
        <w:tc>
          <w:tcPr>
            <w:tcW w:w="796" w:type="pct"/>
            <w:tcBorders>
              <w:left w:val="single" w:sz="8" w:space="0" w:color="FFFFFF"/>
              <w:right w:val="single" w:sz="8" w:space="0" w:color="FFFFFF"/>
            </w:tcBorders>
            <w:tcMar>
              <w:top w:w="20" w:type="dxa"/>
              <w:left w:w="20" w:type="dxa"/>
              <w:bottom w:w="100" w:type="dxa"/>
              <w:right w:w="20" w:type="dxa"/>
            </w:tcMar>
          </w:tcPr>
          <w:p w14:paraId="1C2A2767" w14:textId="77777777" w:rsidR="00F04617" w:rsidRPr="004142BD" w:rsidRDefault="00F04617" w:rsidP="00EA09C7">
            <w:pPr>
              <w:widowControl w:val="0"/>
              <w:spacing w:line="240" w:lineRule="auto"/>
              <w:jc w:val="center"/>
              <w:rPr>
                <w:sz w:val="22"/>
                <w:szCs w:val="22"/>
              </w:rPr>
            </w:pPr>
          </w:p>
        </w:tc>
      </w:tr>
    </w:tbl>
    <w:p w14:paraId="77A1ACFD" w14:textId="77777777" w:rsidR="00F04617" w:rsidRPr="004142BD" w:rsidRDefault="00F04617" w:rsidP="00F04617">
      <w:pPr>
        <w:spacing w:after="160" w:line="240" w:lineRule="auto"/>
        <w:rPr>
          <w:sz w:val="22"/>
          <w:szCs w:val="22"/>
        </w:rPr>
      </w:pPr>
      <w:r w:rsidRPr="004142BD">
        <w:rPr>
          <w:i/>
          <w:sz w:val="22"/>
          <w:szCs w:val="22"/>
        </w:rPr>
        <w:t xml:space="preserve">Note. </w:t>
      </w:r>
      <w:r w:rsidRPr="004142BD">
        <w:rPr>
          <w:sz w:val="22"/>
          <w:szCs w:val="22"/>
        </w:rPr>
        <w:t xml:space="preserve">Full and Final </w:t>
      </w:r>
      <w:r w:rsidRPr="004142BD">
        <w:rPr>
          <w:i/>
          <w:sz w:val="22"/>
          <w:szCs w:val="22"/>
        </w:rPr>
        <w:t xml:space="preserve">N </w:t>
      </w:r>
      <w:r w:rsidRPr="004142BD">
        <w:rPr>
          <w:sz w:val="22"/>
          <w:szCs w:val="22"/>
        </w:rPr>
        <w:t xml:space="preserve">indicate sample size before and after exclusions. Data collection context variables were gleaned from OSF page documentation and confirmed by the team when possible. “Unclear” indicates lack of documentation. Team level analyses were conducted independently and not included in the analyses presented here. See </w:t>
      </w:r>
      <w:r>
        <w:rPr>
          <w:sz w:val="22"/>
          <w:szCs w:val="22"/>
        </w:rPr>
        <w:t xml:space="preserve">the team </w:t>
      </w:r>
      <w:r w:rsidRPr="004142BD">
        <w:rPr>
          <w:sz w:val="22"/>
          <w:szCs w:val="22"/>
        </w:rPr>
        <w:t>OSF pages for details and results.</w:t>
      </w:r>
    </w:p>
    <w:p w14:paraId="3D3B4A24" w14:textId="77777777" w:rsidR="00F04617" w:rsidRDefault="00F04617">
      <w:pPr>
        <w:rPr>
          <w:sz w:val="22"/>
          <w:szCs w:val="22"/>
        </w:rPr>
        <w:sectPr w:rsidR="00F04617" w:rsidSect="00F04617">
          <w:pgSz w:w="15840" w:h="12240" w:orient="landscape"/>
          <w:pgMar w:top="1440" w:right="1440" w:bottom="1440" w:left="1440" w:header="720" w:footer="720" w:gutter="0"/>
          <w:pgNumType w:start="1"/>
          <w:cols w:space="720"/>
          <w:docGrid w:linePitch="326"/>
        </w:sectPr>
      </w:pPr>
      <w:r w:rsidRPr="004142BD">
        <w:rPr>
          <w:sz w:val="22"/>
          <w:szCs w:val="22"/>
        </w:rPr>
        <w:t>*</w:t>
      </w:r>
      <w:r>
        <w:rPr>
          <w:sz w:val="22"/>
          <w:szCs w:val="22"/>
        </w:rPr>
        <w:t>Team</w:t>
      </w:r>
      <w:r w:rsidRPr="004142BD">
        <w:rPr>
          <w:sz w:val="22"/>
          <w:szCs w:val="22"/>
        </w:rPr>
        <w:t xml:space="preserve"> collected data using Qualtrics instead of </w:t>
      </w:r>
      <w:proofErr w:type="spellStart"/>
      <w:r w:rsidRPr="004142BD">
        <w:rPr>
          <w:sz w:val="22"/>
          <w:szCs w:val="22"/>
        </w:rPr>
        <w:t>SoSciSurvey</w:t>
      </w:r>
      <w:proofErr w:type="spellEnd"/>
    </w:p>
    <w:p w14:paraId="6C2F540E" w14:textId="77777777" w:rsidR="00E03554" w:rsidRDefault="00DF0CFA">
      <w:pPr>
        <w:pStyle w:val="Heading2"/>
        <w:spacing w:after="0"/>
        <w:rPr>
          <w:color w:val="000000"/>
        </w:rPr>
      </w:pPr>
      <w:bookmarkStart w:id="15" w:name="_vb8exyuxk4xe" w:colFirst="0" w:colLast="0"/>
      <w:bookmarkEnd w:id="15"/>
      <w:r>
        <w:rPr>
          <w:color w:val="000000"/>
        </w:rPr>
        <w:lastRenderedPageBreak/>
        <w:t>Participants</w:t>
      </w:r>
    </w:p>
    <w:p w14:paraId="6EB88C47" w14:textId="77777777" w:rsidR="00E03554" w:rsidRDefault="00DF0CFA">
      <w:pPr>
        <w:ind w:firstLine="720"/>
      </w:pPr>
      <w:r>
        <w:rPr>
          <w:rFonts w:ascii="Helvetica Neue" w:eastAsia="Helvetica Neue" w:hAnsi="Helvetica Neue" w:cs="Helvetica Neue"/>
          <w:sz w:val="21"/>
          <w:szCs w:val="21"/>
        </w:rPr>
        <w:t>I</w:t>
      </w:r>
      <w:r>
        <w:t xml:space="preserve">n the analysis sample (i.e., after the exclusions described below), participants were 4826 adults recruited to participate by student researchers at 37 data collection sites in various geopolitical contexts across geographical </w:t>
      </w:r>
      <w:proofErr w:type="spellStart"/>
      <w:r>
        <w:t>regiοns</w:t>
      </w:r>
      <w:proofErr w:type="spellEnd"/>
      <w:r>
        <w:t xml:space="preserve"> (i.e., Northern America, Eastern Europe, Western Europe, Northern Europe, Southern Europe, Australia and New Zealand, Western Asia, Southeastern Asia, Eastern Asia). See Table 2 for sample sizes by region. Data collection took place between January 1, 2019 and June 1, 2021.</w:t>
      </w:r>
      <w:r>
        <w:rPr>
          <w:vertAlign w:val="superscript"/>
        </w:rPr>
        <w:footnoteReference w:id="2"/>
      </w:r>
      <w:r>
        <w:t xml:space="preserve"> Data collection sites contributed a median of 81 participants to the analysis sample (min = 28, max = 588); 6 sites collected fewer participants than the target of 50. On average, participants were young (</w:t>
      </w:r>
      <w:r>
        <w:rPr>
          <w:i/>
        </w:rPr>
        <w:t>M</w:t>
      </w:r>
      <w:r>
        <w:rPr>
          <w:i/>
          <w:vertAlign w:val="subscript"/>
        </w:rPr>
        <w:t>age</w:t>
      </w:r>
      <w:r>
        <w:t xml:space="preserve"> = 24.84, </w:t>
      </w:r>
      <w:r>
        <w:rPr>
          <w:i/>
        </w:rPr>
        <w:t xml:space="preserve">SD </w:t>
      </w:r>
      <w:r>
        <w:t xml:space="preserve">= 9.91, </w:t>
      </w:r>
      <w:r>
        <w:rPr>
          <w:i/>
        </w:rPr>
        <w:t xml:space="preserve">n </w:t>
      </w:r>
      <w:r>
        <w:t>= 4826) and had completed some college as measured by years of education (</w:t>
      </w:r>
      <w:proofErr w:type="spellStart"/>
      <w:r>
        <w:rPr>
          <w:i/>
        </w:rPr>
        <w:t>M</w:t>
      </w:r>
      <w:r>
        <w:rPr>
          <w:i/>
          <w:vertAlign w:val="subscript"/>
        </w:rPr>
        <w:t>education</w:t>
      </w:r>
      <w:proofErr w:type="spellEnd"/>
      <w:r>
        <w:t xml:space="preserve"> = 13.84, </w:t>
      </w:r>
      <w:r>
        <w:rPr>
          <w:i/>
        </w:rPr>
        <w:t xml:space="preserve">SD </w:t>
      </w:r>
      <w:r>
        <w:t xml:space="preserve">= 2.59, </w:t>
      </w:r>
      <w:r>
        <w:rPr>
          <w:i/>
        </w:rPr>
        <w:t>n</w:t>
      </w:r>
      <w:r>
        <w:t xml:space="preserve"> = 4771).</w:t>
      </w:r>
      <w:r>
        <w:rPr>
          <w:vertAlign w:val="superscript"/>
        </w:rPr>
        <w:footnoteReference w:id="3"/>
      </w:r>
      <w:r>
        <w:t xml:space="preserve"> Most participants (70.37%; </w:t>
      </w:r>
      <w:r>
        <w:rPr>
          <w:i/>
        </w:rPr>
        <w:t>n</w:t>
      </w:r>
      <w:r>
        <w:t xml:space="preserve"> = 3396) identified as White.</w:t>
      </w:r>
      <w:r>
        <w:rPr>
          <w:vertAlign w:val="superscript"/>
        </w:rPr>
        <w:footnoteReference w:id="4"/>
      </w:r>
      <w:r>
        <w:rPr>
          <w:color w:val="333333"/>
        </w:rPr>
        <w:t xml:space="preserve"> Over half of participants identified as female (70.56%; </w:t>
      </w:r>
      <w:r>
        <w:rPr>
          <w:i/>
          <w:color w:val="333333"/>
        </w:rPr>
        <w:t>n</w:t>
      </w:r>
      <w:r>
        <w:rPr>
          <w:color w:val="333333"/>
        </w:rPr>
        <w:t xml:space="preserve"> = 3405) and most other participants identified as male (29.01%; </w:t>
      </w:r>
      <w:proofErr w:type="spellStart"/>
      <w:r>
        <w:rPr>
          <w:i/>
          <w:color w:val="333333"/>
        </w:rPr>
        <w:t>n</w:t>
      </w:r>
      <w:r>
        <w:rPr>
          <w:i/>
          <w:color w:val="333333"/>
          <w:vertAlign w:val="subscript"/>
        </w:rPr>
        <w:t>male</w:t>
      </w:r>
      <w:proofErr w:type="spellEnd"/>
      <w:r>
        <w:rPr>
          <w:color w:val="333333"/>
        </w:rPr>
        <w:t xml:space="preserve"> = 1400; </w:t>
      </w:r>
      <w:proofErr w:type="spellStart"/>
      <w:r>
        <w:rPr>
          <w:i/>
          <w:color w:val="333333"/>
        </w:rPr>
        <w:t>n</w:t>
      </w:r>
      <w:r>
        <w:rPr>
          <w:i/>
          <w:color w:val="333333"/>
          <w:vertAlign w:val="subscript"/>
        </w:rPr>
        <w:t>neither</w:t>
      </w:r>
      <w:proofErr w:type="spellEnd"/>
      <w:r>
        <w:rPr>
          <w:color w:val="333333"/>
        </w:rPr>
        <w:t xml:space="preserve"> = 21). The plurality of participants completed the survey in English (47.53%; </w:t>
      </w:r>
      <w:r>
        <w:rPr>
          <w:i/>
          <w:color w:val="333333"/>
        </w:rPr>
        <w:t>n</w:t>
      </w:r>
      <w:r>
        <w:rPr>
          <w:color w:val="333333"/>
        </w:rPr>
        <w:t xml:space="preserve"> = 2294).</w:t>
      </w:r>
      <w:r>
        <w:t xml:space="preserve"> Participation details, like compensation and the sampled population, varied by data collection site. See Table 3 for summary.</w:t>
      </w:r>
    </w:p>
    <w:p w14:paraId="38EA6EEA" w14:textId="77777777" w:rsidR="00E03554" w:rsidRDefault="00DF0CFA">
      <w:r>
        <w:br w:type="page"/>
      </w:r>
    </w:p>
    <w:p w14:paraId="14ADC8DF" w14:textId="77777777" w:rsidR="00E03554" w:rsidRDefault="00DF0CFA">
      <w:pPr>
        <w:rPr>
          <w:b/>
        </w:rPr>
      </w:pPr>
      <w:r>
        <w:rPr>
          <w:b/>
        </w:rPr>
        <w:lastRenderedPageBreak/>
        <w:t>Table 2</w:t>
      </w:r>
    </w:p>
    <w:p w14:paraId="69FFDFE3" w14:textId="77777777" w:rsidR="00E03554" w:rsidRDefault="00DF0CFA">
      <w:pPr>
        <w:rPr>
          <w:i/>
        </w:rPr>
      </w:pPr>
      <w:r>
        <w:rPr>
          <w:i/>
        </w:rPr>
        <w:t>Number and Percentage of Participants in the Analysis Dataset by Geopolitical Region</w:t>
      </w:r>
    </w:p>
    <w:tbl>
      <w:tblPr>
        <w:tblW w:w="9360" w:type="dxa"/>
        <w:tblLayout w:type="fixed"/>
        <w:tblLook w:val="0600" w:firstRow="0" w:lastRow="0" w:firstColumn="0" w:lastColumn="0" w:noHBand="1" w:noVBand="1"/>
      </w:tblPr>
      <w:tblGrid>
        <w:gridCol w:w="5415"/>
        <w:gridCol w:w="1590"/>
        <w:gridCol w:w="2355"/>
      </w:tblGrid>
      <w:tr w:rsidR="00882514" w14:paraId="4976BF03" w14:textId="77777777" w:rsidTr="00EA09C7">
        <w:tc>
          <w:tcPr>
            <w:tcW w:w="5415" w:type="dxa"/>
            <w:tcBorders>
              <w:top w:val="single" w:sz="8" w:space="0" w:color="auto"/>
              <w:bottom w:val="single" w:sz="8" w:space="0" w:color="auto"/>
            </w:tcBorders>
            <w:tcMar>
              <w:top w:w="28" w:type="dxa"/>
              <w:left w:w="28" w:type="dxa"/>
              <w:bottom w:w="28" w:type="dxa"/>
              <w:right w:w="28" w:type="dxa"/>
            </w:tcMar>
            <w:vAlign w:val="bottom"/>
          </w:tcPr>
          <w:p w14:paraId="10B96D0E" w14:textId="77777777" w:rsidR="00882514" w:rsidRDefault="00882514" w:rsidP="00882514">
            <w:pPr>
              <w:spacing w:line="240" w:lineRule="auto"/>
            </w:pPr>
            <w:r>
              <w:t>Geopolitical Region</w:t>
            </w:r>
          </w:p>
        </w:tc>
        <w:tc>
          <w:tcPr>
            <w:tcW w:w="1590" w:type="dxa"/>
            <w:tcBorders>
              <w:top w:val="single" w:sz="8" w:space="0" w:color="auto"/>
              <w:bottom w:val="single" w:sz="8" w:space="0" w:color="auto"/>
            </w:tcBorders>
            <w:tcMar>
              <w:top w:w="28" w:type="dxa"/>
              <w:left w:w="28" w:type="dxa"/>
              <w:bottom w:w="28" w:type="dxa"/>
              <w:right w:w="28" w:type="dxa"/>
            </w:tcMar>
            <w:vAlign w:val="bottom"/>
          </w:tcPr>
          <w:p w14:paraId="34996424" w14:textId="77777777" w:rsidR="00882514" w:rsidRDefault="00882514" w:rsidP="00882514">
            <w:pPr>
              <w:spacing w:line="240" w:lineRule="auto"/>
              <w:jc w:val="center"/>
              <w:rPr>
                <w:i/>
              </w:rPr>
            </w:pPr>
            <w:r>
              <w:rPr>
                <w:i/>
              </w:rPr>
              <w:t>n</w:t>
            </w:r>
          </w:p>
        </w:tc>
        <w:tc>
          <w:tcPr>
            <w:tcW w:w="2355" w:type="dxa"/>
            <w:tcBorders>
              <w:top w:val="single" w:sz="8" w:space="0" w:color="auto"/>
              <w:bottom w:val="single" w:sz="8" w:space="0" w:color="auto"/>
            </w:tcBorders>
            <w:tcMar>
              <w:top w:w="28" w:type="dxa"/>
              <w:left w:w="28" w:type="dxa"/>
              <w:bottom w:w="28" w:type="dxa"/>
              <w:right w:w="28" w:type="dxa"/>
            </w:tcMar>
            <w:vAlign w:val="bottom"/>
          </w:tcPr>
          <w:p w14:paraId="7BA37970" w14:textId="77777777" w:rsidR="00882514" w:rsidRDefault="00882514" w:rsidP="00882514">
            <w:pPr>
              <w:spacing w:line="240" w:lineRule="auto"/>
              <w:jc w:val="center"/>
            </w:pPr>
            <w:r>
              <w:t>% of total</w:t>
            </w:r>
          </w:p>
        </w:tc>
      </w:tr>
      <w:tr w:rsidR="00882514" w14:paraId="59371085" w14:textId="77777777" w:rsidTr="00EA09C7">
        <w:trPr>
          <w:trHeight w:val="402"/>
        </w:trPr>
        <w:tc>
          <w:tcPr>
            <w:tcW w:w="5415" w:type="dxa"/>
            <w:tcBorders>
              <w:top w:val="single" w:sz="8" w:space="0" w:color="auto"/>
              <w:left w:val="nil"/>
              <w:bottom w:val="nil"/>
              <w:right w:val="nil"/>
            </w:tcBorders>
            <w:tcMar>
              <w:top w:w="0" w:type="dxa"/>
              <w:left w:w="0" w:type="dxa"/>
              <w:bottom w:w="0" w:type="dxa"/>
              <w:right w:w="0" w:type="dxa"/>
            </w:tcMar>
            <w:vAlign w:val="center"/>
          </w:tcPr>
          <w:p w14:paraId="6B8AC3B5"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spacing w:line="240" w:lineRule="auto"/>
            </w:pPr>
            <w:r>
              <w:t>United States</w:t>
            </w:r>
          </w:p>
        </w:tc>
        <w:tc>
          <w:tcPr>
            <w:tcW w:w="1590" w:type="dxa"/>
            <w:tcBorders>
              <w:top w:val="single" w:sz="8" w:space="0" w:color="auto"/>
              <w:left w:val="nil"/>
              <w:bottom w:val="nil"/>
              <w:right w:val="nil"/>
            </w:tcBorders>
            <w:tcMar>
              <w:top w:w="0" w:type="dxa"/>
              <w:left w:w="0" w:type="dxa"/>
              <w:bottom w:w="0" w:type="dxa"/>
              <w:right w:w="0" w:type="dxa"/>
            </w:tcMar>
            <w:vAlign w:val="center"/>
          </w:tcPr>
          <w:p w14:paraId="4582ECFE"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250"/>
              </w:tabs>
              <w:spacing w:line="240" w:lineRule="auto"/>
              <w:jc w:val="center"/>
            </w:pPr>
            <w:r>
              <w:t>1558</w:t>
            </w:r>
          </w:p>
        </w:tc>
        <w:tc>
          <w:tcPr>
            <w:tcW w:w="2355" w:type="dxa"/>
            <w:tcBorders>
              <w:top w:val="single" w:sz="8" w:space="0" w:color="auto"/>
              <w:left w:val="nil"/>
              <w:bottom w:val="nil"/>
              <w:right w:val="nil"/>
            </w:tcBorders>
            <w:tcMar>
              <w:top w:w="0" w:type="dxa"/>
              <w:left w:w="0" w:type="dxa"/>
              <w:bottom w:w="0" w:type="dxa"/>
              <w:right w:w="0" w:type="dxa"/>
            </w:tcMar>
            <w:vAlign w:val="center"/>
          </w:tcPr>
          <w:p w14:paraId="4ACA9807"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374"/>
              </w:tabs>
              <w:spacing w:line="240" w:lineRule="auto"/>
              <w:jc w:val="center"/>
            </w:pPr>
            <w:r>
              <w:t>32.28</w:t>
            </w:r>
          </w:p>
        </w:tc>
      </w:tr>
      <w:tr w:rsidR="00882514" w14:paraId="0691E785" w14:textId="77777777" w:rsidTr="00EA09C7">
        <w:trPr>
          <w:trHeight w:val="144"/>
        </w:trPr>
        <w:tc>
          <w:tcPr>
            <w:tcW w:w="5415" w:type="dxa"/>
            <w:tcBorders>
              <w:top w:val="nil"/>
              <w:left w:val="nil"/>
              <w:bottom w:val="nil"/>
              <w:right w:val="nil"/>
            </w:tcBorders>
            <w:tcMar>
              <w:top w:w="0" w:type="dxa"/>
              <w:left w:w="0" w:type="dxa"/>
              <w:bottom w:w="0" w:type="dxa"/>
              <w:right w:w="0" w:type="dxa"/>
            </w:tcMar>
            <w:vAlign w:val="center"/>
          </w:tcPr>
          <w:p w14:paraId="30819F33"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spacing w:line="240" w:lineRule="auto"/>
            </w:pPr>
            <w:r>
              <w:t>Germany</w:t>
            </w:r>
          </w:p>
        </w:tc>
        <w:tc>
          <w:tcPr>
            <w:tcW w:w="1590" w:type="dxa"/>
            <w:tcBorders>
              <w:top w:val="nil"/>
              <w:left w:val="nil"/>
              <w:bottom w:val="nil"/>
              <w:right w:val="nil"/>
            </w:tcBorders>
            <w:tcMar>
              <w:top w:w="0" w:type="dxa"/>
              <w:left w:w="0" w:type="dxa"/>
              <w:bottom w:w="0" w:type="dxa"/>
              <w:right w:w="0" w:type="dxa"/>
            </w:tcMar>
            <w:vAlign w:val="center"/>
          </w:tcPr>
          <w:p w14:paraId="77C53C0B"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250"/>
              </w:tabs>
              <w:spacing w:line="240" w:lineRule="auto"/>
              <w:jc w:val="center"/>
            </w:pPr>
            <w:r>
              <w:t>772</w:t>
            </w:r>
          </w:p>
        </w:tc>
        <w:tc>
          <w:tcPr>
            <w:tcW w:w="2355" w:type="dxa"/>
            <w:tcBorders>
              <w:top w:val="nil"/>
              <w:left w:val="nil"/>
              <w:bottom w:val="nil"/>
              <w:right w:val="nil"/>
            </w:tcBorders>
            <w:tcMar>
              <w:top w:w="0" w:type="dxa"/>
              <w:left w:w="0" w:type="dxa"/>
              <w:bottom w:w="0" w:type="dxa"/>
              <w:right w:w="0" w:type="dxa"/>
            </w:tcMar>
            <w:vAlign w:val="center"/>
          </w:tcPr>
          <w:p w14:paraId="649D6E00"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374"/>
              </w:tabs>
              <w:spacing w:line="240" w:lineRule="auto"/>
              <w:jc w:val="center"/>
            </w:pPr>
            <w:r>
              <w:t>16.00</w:t>
            </w:r>
          </w:p>
        </w:tc>
      </w:tr>
      <w:tr w:rsidR="00882514" w14:paraId="64E856D3" w14:textId="77777777" w:rsidTr="00EA09C7">
        <w:trPr>
          <w:trHeight w:val="144"/>
        </w:trPr>
        <w:tc>
          <w:tcPr>
            <w:tcW w:w="5415" w:type="dxa"/>
            <w:tcBorders>
              <w:top w:val="nil"/>
              <w:left w:val="nil"/>
              <w:bottom w:val="nil"/>
              <w:right w:val="nil"/>
            </w:tcBorders>
            <w:tcMar>
              <w:top w:w="0" w:type="dxa"/>
              <w:left w:w="0" w:type="dxa"/>
              <w:bottom w:w="0" w:type="dxa"/>
              <w:right w:w="0" w:type="dxa"/>
            </w:tcMar>
            <w:vAlign w:val="center"/>
          </w:tcPr>
          <w:p w14:paraId="266B93EA"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spacing w:line="240" w:lineRule="auto"/>
            </w:pPr>
            <w:r>
              <w:t>Hungary</w:t>
            </w:r>
          </w:p>
        </w:tc>
        <w:tc>
          <w:tcPr>
            <w:tcW w:w="1590" w:type="dxa"/>
            <w:tcBorders>
              <w:top w:val="nil"/>
              <w:left w:val="nil"/>
              <w:bottom w:val="nil"/>
              <w:right w:val="nil"/>
            </w:tcBorders>
            <w:tcMar>
              <w:top w:w="0" w:type="dxa"/>
              <w:left w:w="0" w:type="dxa"/>
              <w:bottom w:w="0" w:type="dxa"/>
              <w:right w:w="0" w:type="dxa"/>
            </w:tcMar>
            <w:vAlign w:val="center"/>
          </w:tcPr>
          <w:p w14:paraId="08162D23"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250"/>
              </w:tabs>
              <w:spacing w:line="240" w:lineRule="auto"/>
              <w:jc w:val="center"/>
            </w:pPr>
            <w:r>
              <w:t>449</w:t>
            </w:r>
          </w:p>
        </w:tc>
        <w:tc>
          <w:tcPr>
            <w:tcW w:w="2355" w:type="dxa"/>
            <w:tcBorders>
              <w:top w:val="nil"/>
              <w:left w:val="nil"/>
              <w:bottom w:val="nil"/>
              <w:right w:val="nil"/>
            </w:tcBorders>
            <w:tcMar>
              <w:top w:w="0" w:type="dxa"/>
              <w:left w:w="0" w:type="dxa"/>
              <w:bottom w:w="0" w:type="dxa"/>
              <w:right w:w="0" w:type="dxa"/>
            </w:tcMar>
            <w:vAlign w:val="center"/>
          </w:tcPr>
          <w:p w14:paraId="55CE42DF"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374"/>
              </w:tabs>
              <w:spacing w:line="240" w:lineRule="auto"/>
              <w:jc w:val="center"/>
            </w:pPr>
            <w:r>
              <w:t>9.30</w:t>
            </w:r>
          </w:p>
        </w:tc>
      </w:tr>
      <w:tr w:rsidR="00882514" w14:paraId="74868AC0" w14:textId="77777777" w:rsidTr="00EA09C7">
        <w:trPr>
          <w:trHeight w:val="144"/>
        </w:trPr>
        <w:tc>
          <w:tcPr>
            <w:tcW w:w="5415" w:type="dxa"/>
            <w:tcBorders>
              <w:top w:val="nil"/>
              <w:left w:val="nil"/>
              <w:bottom w:val="nil"/>
              <w:right w:val="nil"/>
            </w:tcBorders>
            <w:tcMar>
              <w:top w:w="0" w:type="dxa"/>
              <w:left w:w="0" w:type="dxa"/>
              <w:bottom w:w="0" w:type="dxa"/>
              <w:right w:w="0" w:type="dxa"/>
            </w:tcMar>
            <w:vAlign w:val="center"/>
          </w:tcPr>
          <w:p w14:paraId="4057D97C"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spacing w:line="240" w:lineRule="auto"/>
            </w:pPr>
            <w:r>
              <w:t>Romania</w:t>
            </w:r>
          </w:p>
        </w:tc>
        <w:tc>
          <w:tcPr>
            <w:tcW w:w="1590" w:type="dxa"/>
            <w:tcBorders>
              <w:top w:val="nil"/>
              <w:left w:val="nil"/>
              <w:bottom w:val="nil"/>
              <w:right w:val="nil"/>
            </w:tcBorders>
            <w:tcMar>
              <w:top w:w="0" w:type="dxa"/>
              <w:left w:w="0" w:type="dxa"/>
              <w:bottom w:w="0" w:type="dxa"/>
              <w:right w:w="0" w:type="dxa"/>
            </w:tcMar>
            <w:vAlign w:val="center"/>
          </w:tcPr>
          <w:p w14:paraId="053F350E"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250"/>
              </w:tabs>
              <w:spacing w:line="240" w:lineRule="auto"/>
              <w:jc w:val="center"/>
            </w:pPr>
            <w:r>
              <w:t>371</w:t>
            </w:r>
          </w:p>
        </w:tc>
        <w:tc>
          <w:tcPr>
            <w:tcW w:w="2355" w:type="dxa"/>
            <w:tcBorders>
              <w:top w:val="nil"/>
              <w:left w:val="nil"/>
              <w:bottom w:val="nil"/>
              <w:right w:val="nil"/>
            </w:tcBorders>
            <w:tcMar>
              <w:top w:w="0" w:type="dxa"/>
              <w:left w:w="0" w:type="dxa"/>
              <w:bottom w:w="0" w:type="dxa"/>
              <w:right w:w="0" w:type="dxa"/>
            </w:tcMar>
            <w:vAlign w:val="center"/>
          </w:tcPr>
          <w:p w14:paraId="64E306BE"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374"/>
              </w:tabs>
              <w:spacing w:line="240" w:lineRule="auto"/>
              <w:jc w:val="center"/>
            </w:pPr>
            <w:r>
              <w:t>7.69</w:t>
            </w:r>
          </w:p>
        </w:tc>
      </w:tr>
      <w:tr w:rsidR="00882514" w14:paraId="69984EC3" w14:textId="77777777" w:rsidTr="00EA09C7">
        <w:trPr>
          <w:trHeight w:val="144"/>
        </w:trPr>
        <w:tc>
          <w:tcPr>
            <w:tcW w:w="5415" w:type="dxa"/>
            <w:tcBorders>
              <w:top w:val="nil"/>
              <w:left w:val="nil"/>
              <w:bottom w:val="nil"/>
              <w:right w:val="nil"/>
            </w:tcBorders>
            <w:tcMar>
              <w:top w:w="0" w:type="dxa"/>
              <w:left w:w="0" w:type="dxa"/>
              <w:bottom w:w="0" w:type="dxa"/>
              <w:right w:w="0" w:type="dxa"/>
            </w:tcMar>
            <w:vAlign w:val="center"/>
          </w:tcPr>
          <w:p w14:paraId="6885DEE2"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spacing w:line="240" w:lineRule="auto"/>
            </w:pPr>
            <w:r>
              <w:t>Canada</w:t>
            </w:r>
          </w:p>
        </w:tc>
        <w:tc>
          <w:tcPr>
            <w:tcW w:w="1590" w:type="dxa"/>
            <w:tcBorders>
              <w:top w:val="nil"/>
              <w:left w:val="nil"/>
              <w:bottom w:val="nil"/>
              <w:right w:val="nil"/>
            </w:tcBorders>
            <w:tcMar>
              <w:top w:w="0" w:type="dxa"/>
              <w:left w:w="0" w:type="dxa"/>
              <w:bottom w:w="0" w:type="dxa"/>
              <w:right w:w="0" w:type="dxa"/>
            </w:tcMar>
            <w:vAlign w:val="center"/>
          </w:tcPr>
          <w:p w14:paraId="72C47D1C"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250"/>
              </w:tabs>
              <w:spacing w:line="240" w:lineRule="auto"/>
              <w:jc w:val="center"/>
            </w:pPr>
            <w:r>
              <w:t>258</w:t>
            </w:r>
          </w:p>
        </w:tc>
        <w:tc>
          <w:tcPr>
            <w:tcW w:w="2355" w:type="dxa"/>
            <w:tcBorders>
              <w:top w:val="nil"/>
              <w:left w:val="nil"/>
              <w:bottom w:val="nil"/>
              <w:right w:val="nil"/>
            </w:tcBorders>
            <w:tcMar>
              <w:top w:w="0" w:type="dxa"/>
              <w:left w:w="0" w:type="dxa"/>
              <w:bottom w:w="0" w:type="dxa"/>
              <w:right w:w="0" w:type="dxa"/>
            </w:tcMar>
            <w:vAlign w:val="center"/>
          </w:tcPr>
          <w:p w14:paraId="7700826C"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374"/>
              </w:tabs>
              <w:spacing w:line="240" w:lineRule="auto"/>
              <w:jc w:val="center"/>
            </w:pPr>
            <w:r>
              <w:t>5.35</w:t>
            </w:r>
          </w:p>
        </w:tc>
      </w:tr>
      <w:tr w:rsidR="00882514" w14:paraId="59CF43F9" w14:textId="77777777" w:rsidTr="00EA09C7">
        <w:trPr>
          <w:trHeight w:val="144"/>
        </w:trPr>
        <w:tc>
          <w:tcPr>
            <w:tcW w:w="5415" w:type="dxa"/>
            <w:tcBorders>
              <w:top w:val="nil"/>
              <w:left w:val="nil"/>
              <w:bottom w:val="nil"/>
              <w:right w:val="nil"/>
            </w:tcBorders>
            <w:tcMar>
              <w:top w:w="0" w:type="dxa"/>
              <w:left w:w="0" w:type="dxa"/>
              <w:bottom w:w="0" w:type="dxa"/>
              <w:right w:w="0" w:type="dxa"/>
            </w:tcMar>
            <w:vAlign w:val="center"/>
          </w:tcPr>
          <w:p w14:paraId="13126D7A"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spacing w:line="240" w:lineRule="auto"/>
            </w:pPr>
            <w:r>
              <w:t>Australia</w:t>
            </w:r>
          </w:p>
        </w:tc>
        <w:tc>
          <w:tcPr>
            <w:tcW w:w="1590" w:type="dxa"/>
            <w:tcBorders>
              <w:top w:val="nil"/>
              <w:left w:val="nil"/>
              <w:bottom w:val="nil"/>
              <w:right w:val="nil"/>
            </w:tcBorders>
            <w:tcMar>
              <w:top w:w="0" w:type="dxa"/>
              <w:left w:w="0" w:type="dxa"/>
              <w:bottom w:w="0" w:type="dxa"/>
              <w:right w:w="0" w:type="dxa"/>
            </w:tcMar>
            <w:vAlign w:val="center"/>
          </w:tcPr>
          <w:p w14:paraId="44FEA49B"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250"/>
              </w:tabs>
              <w:spacing w:line="240" w:lineRule="auto"/>
              <w:jc w:val="center"/>
            </w:pPr>
            <w:r>
              <w:t>241</w:t>
            </w:r>
          </w:p>
        </w:tc>
        <w:tc>
          <w:tcPr>
            <w:tcW w:w="2355" w:type="dxa"/>
            <w:tcBorders>
              <w:top w:val="nil"/>
              <w:left w:val="nil"/>
              <w:bottom w:val="nil"/>
              <w:right w:val="nil"/>
            </w:tcBorders>
            <w:tcMar>
              <w:top w:w="0" w:type="dxa"/>
              <w:left w:w="0" w:type="dxa"/>
              <w:bottom w:w="0" w:type="dxa"/>
              <w:right w:w="0" w:type="dxa"/>
            </w:tcMar>
            <w:vAlign w:val="center"/>
          </w:tcPr>
          <w:p w14:paraId="77FDAC7E"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374"/>
              </w:tabs>
              <w:spacing w:line="240" w:lineRule="auto"/>
              <w:jc w:val="center"/>
            </w:pPr>
            <w:r>
              <w:t>4.99</w:t>
            </w:r>
          </w:p>
        </w:tc>
      </w:tr>
      <w:tr w:rsidR="00882514" w14:paraId="11B17094" w14:textId="77777777" w:rsidTr="00EA09C7">
        <w:trPr>
          <w:trHeight w:val="144"/>
        </w:trPr>
        <w:tc>
          <w:tcPr>
            <w:tcW w:w="5415" w:type="dxa"/>
            <w:tcBorders>
              <w:top w:val="nil"/>
              <w:left w:val="nil"/>
              <w:bottom w:val="nil"/>
              <w:right w:val="nil"/>
            </w:tcBorders>
            <w:tcMar>
              <w:top w:w="0" w:type="dxa"/>
              <w:left w:w="0" w:type="dxa"/>
              <w:bottom w:w="0" w:type="dxa"/>
              <w:right w:w="0" w:type="dxa"/>
            </w:tcMar>
            <w:vAlign w:val="center"/>
          </w:tcPr>
          <w:p w14:paraId="7F6F9E5D"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spacing w:line="240" w:lineRule="auto"/>
            </w:pPr>
            <w:r>
              <w:t>Poland</w:t>
            </w:r>
          </w:p>
        </w:tc>
        <w:tc>
          <w:tcPr>
            <w:tcW w:w="1590" w:type="dxa"/>
            <w:tcBorders>
              <w:top w:val="nil"/>
              <w:left w:val="nil"/>
              <w:bottom w:val="nil"/>
              <w:right w:val="nil"/>
            </w:tcBorders>
            <w:tcMar>
              <w:top w:w="0" w:type="dxa"/>
              <w:left w:w="0" w:type="dxa"/>
              <w:bottom w:w="0" w:type="dxa"/>
              <w:right w:w="0" w:type="dxa"/>
            </w:tcMar>
            <w:vAlign w:val="center"/>
          </w:tcPr>
          <w:p w14:paraId="781B601A"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250"/>
              </w:tabs>
              <w:spacing w:line="240" w:lineRule="auto"/>
              <w:jc w:val="center"/>
            </w:pPr>
            <w:r>
              <w:t>193</w:t>
            </w:r>
          </w:p>
        </w:tc>
        <w:tc>
          <w:tcPr>
            <w:tcW w:w="2355" w:type="dxa"/>
            <w:tcBorders>
              <w:top w:val="nil"/>
              <w:left w:val="nil"/>
              <w:bottom w:val="nil"/>
              <w:right w:val="nil"/>
            </w:tcBorders>
            <w:tcMar>
              <w:top w:w="0" w:type="dxa"/>
              <w:left w:w="0" w:type="dxa"/>
              <w:bottom w:w="0" w:type="dxa"/>
              <w:right w:w="0" w:type="dxa"/>
            </w:tcMar>
            <w:vAlign w:val="center"/>
          </w:tcPr>
          <w:p w14:paraId="4D42AB46"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374"/>
              </w:tabs>
              <w:spacing w:line="240" w:lineRule="auto"/>
              <w:jc w:val="center"/>
            </w:pPr>
            <w:r>
              <w:t>4.00</w:t>
            </w:r>
          </w:p>
        </w:tc>
      </w:tr>
      <w:tr w:rsidR="00882514" w14:paraId="642BAFFC" w14:textId="77777777" w:rsidTr="00EA09C7">
        <w:trPr>
          <w:trHeight w:val="144"/>
        </w:trPr>
        <w:tc>
          <w:tcPr>
            <w:tcW w:w="5415" w:type="dxa"/>
            <w:tcBorders>
              <w:top w:val="nil"/>
              <w:left w:val="nil"/>
              <w:bottom w:val="nil"/>
              <w:right w:val="nil"/>
            </w:tcBorders>
            <w:tcMar>
              <w:top w:w="0" w:type="dxa"/>
              <w:left w:w="0" w:type="dxa"/>
              <w:bottom w:w="0" w:type="dxa"/>
              <w:right w:w="0" w:type="dxa"/>
            </w:tcMar>
            <w:vAlign w:val="center"/>
          </w:tcPr>
          <w:p w14:paraId="5F389091"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spacing w:line="240" w:lineRule="auto"/>
            </w:pPr>
            <w:r>
              <w:t>Austria</w:t>
            </w:r>
          </w:p>
        </w:tc>
        <w:tc>
          <w:tcPr>
            <w:tcW w:w="1590" w:type="dxa"/>
            <w:tcBorders>
              <w:top w:val="nil"/>
              <w:left w:val="nil"/>
              <w:bottom w:val="nil"/>
              <w:right w:val="nil"/>
            </w:tcBorders>
            <w:tcMar>
              <w:top w:w="0" w:type="dxa"/>
              <w:left w:w="0" w:type="dxa"/>
              <w:bottom w:w="0" w:type="dxa"/>
              <w:right w:w="0" w:type="dxa"/>
            </w:tcMar>
            <w:vAlign w:val="center"/>
          </w:tcPr>
          <w:p w14:paraId="180EEA5D"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250"/>
              </w:tabs>
              <w:spacing w:line="240" w:lineRule="auto"/>
              <w:jc w:val="center"/>
            </w:pPr>
            <w:r>
              <w:t>151</w:t>
            </w:r>
          </w:p>
        </w:tc>
        <w:tc>
          <w:tcPr>
            <w:tcW w:w="2355" w:type="dxa"/>
            <w:tcBorders>
              <w:top w:val="nil"/>
              <w:left w:val="nil"/>
              <w:bottom w:val="nil"/>
              <w:right w:val="nil"/>
            </w:tcBorders>
            <w:tcMar>
              <w:top w:w="0" w:type="dxa"/>
              <w:left w:w="0" w:type="dxa"/>
              <w:bottom w:w="0" w:type="dxa"/>
              <w:right w:w="0" w:type="dxa"/>
            </w:tcMar>
            <w:vAlign w:val="center"/>
          </w:tcPr>
          <w:p w14:paraId="0F41A38A"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374"/>
              </w:tabs>
              <w:spacing w:line="240" w:lineRule="auto"/>
              <w:jc w:val="center"/>
            </w:pPr>
            <w:r>
              <w:t>3.13</w:t>
            </w:r>
          </w:p>
        </w:tc>
      </w:tr>
      <w:tr w:rsidR="00882514" w14:paraId="07DC0522" w14:textId="77777777" w:rsidTr="00EA09C7">
        <w:trPr>
          <w:trHeight w:val="144"/>
        </w:trPr>
        <w:tc>
          <w:tcPr>
            <w:tcW w:w="5415" w:type="dxa"/>
            <w:tcBorders>
              <w:top w:val="nil"/>
              <w:left w:val="nil"/>
              <w:bottom w:val="nil"/>
              <w:right w:val="nil"/>
            </w:tcBorders>
            <w:tcMar>
              <w:top w:w="0" w:type="dxa"/>
              <w:left w:w="0" w:type="dxa"/>
              <w:bottom w:w="0" w:type="dxa"/>
              <w:right w:w="0" w:type="dxa"/>
            </w:tcMar>
            <w:vAlign w:val="center"/>
          </w:tcPr>
          <w:p w14:paraId="7B0B41FE"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spacing w:line="240" w:lineRule="auto"/>
            </w:pPr>
            <w:r>
              <w:t>United Kingdom</w:t>
            </w:r>
          </w:p>
        </w:tc>
        <w:tc>
          <w:tcPr>
            <w:tcW w:w="1590" w:type="dxa"/>
            <w:tcBorders>
              <w:top w:val="nil"/>
              <w:left w:val="nil"/>
              <w:bottom w:val="nil"/>
              <w:right w:val="nil"/>
            </w:tcBorders>
            <w:tcMar>
              <w:top w:w="0" w:type="dxa"/>
              <w:left w:w="0" w:type="dxa"/>
              <w:bottom w:w="0" w:type="dxa"/>
              <w:right w:w="0" w:type="dxa"/>
            </w:tcMar>
            <w:vAlign w:val="center"/>
          </w:tcPr>
          <w:p w14:paraId="79EF993E"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250"/>
              </w:tabs>
              <w:spacing w:line="240" w:lineRule="auto"/>
              <w:jc w:val="center"/>
            </w:pPr>
            <w:r>
              <w:t>132</w:t>
            </w:r>
          </w:p>
        </w:tc>
        <w:tc>
          <w:tcPr>
            <w:tcW w:w="2355" w:type="dxa"/>
            <w:tcBorders>
              <w:top w:val="nil"/>
              <w:left w:val="nil"/>
              <w:bottom w:val="nil"/>
              <w:right w:val="nil"/>
            </w:tcBorders>
            <w:tcMar>
              <w:top w:w="0" w:type="dxa"/>
              <w:left w:w="0" w:type="dxa"/>
              <w:bottom w:w="0" w:type="dxa"/>
              <w:right w:w="0" w:type="dxa"/>
            </w:tcMar>
            <w:vAlign w:val="center"/>
          </w:tcPr>
          <w:p w14:paraId="77D6D5FB"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374"/>
              </w:tabs>
              <w:spacing w:line="240" w:lineRule="auto"/>
              <w:jc w:val="center"/>
            </w:pPr>
            <w:r>
              <w:t>2.74</w:t>
            </w:r>
          </w:p>
        </w:tc>
      </w:tr>
      <w:tr w:rsidR="00882514" w14:paraId="2C00DA03" w14:textId="77777777" w:rsidTr="00EA09C7">
        <w:trPr>
          <w:trHeight w:val="144"/>
        </w:trPr>
        <w:tc>
          <w:tcPr>
            <w:tcW w:w="5415" w:type="dxa"/>
            <w:tcBorders>
              <w:top w:val="nil"/>
              <w:left w:val="nil"/>
              <w:bottom w:val="nil"/>
              <w:right w:val="nil"/>
            </w:tcBorders>
            <w:tcMar>
              <w:top w:w="0" w:type="dxa"/>
              <w:left w:w="0" w:type="dxa"/>
              <w:bottom w:w="0" w:type="dxa"/>
              <w:right w:w="0" w:type="dxa"/>
            </w:tcMar>
            <w:vAlign w:val="center"/>
          </w:tcPr>
          <w:p w14:paraId="1EBDA213"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spacing w:line="240" w:lineRule="auto"/>
            </w:pPr>
            <w:r>
              <w:t>Slovakia</w:t>
            </w:r>
          </w:p>
        </w:tc>
        <w:tc>
          <w:tcPr>
            <w:tcW w:w="1590" w:type="dxa"/>
            <w:tcBorders>
              <w:top w:val="nil"/>
              <w:left w:val="nil"/>
              <w:bottom w:val="nil"/>
              <w:right w:val="nil"/>
            </w:tcBorders>
            <w:tcMar>
              <w:top w:w="0" w:type="dxa"/>
              <w:left w:w="0" w:type="dxa"/>
              <w:bottom w:w="0" w:type="dxa"/>
              <w:right w:w="0" w:type="dxa"/>
            </w:tcMar>
            <w:vAlign w:val="center"/>
          </w:tcPr>
          <w:p w14:paraId="6BFF79A2"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250"/>
              </w:tabs>
              <w:spacing w:line="240" w:lineRule="auto"/>
              <w:jc w:val="center"/>
            </w:pPr>
            <w:r>
              <w:t>105</w:t>
            </w:r>
          </w:p>
        </w:tc>
        <w:tc>
          <w:tcPr>
            <w:tcW w:w="2355" w:type="dxa"/>
            <w:tcBorders>
              <w:top w:val="nil"/>
              <w:left w:val="nil"/>
              <w:bottom w:val="nil"/>
              <w:right w:val="nil"/>
            </w:tcBorders>
            <w:tcMar>
              <w:top w:w="0" w:type="dxa"/>
              <w:left w:w="0" w:type="dxa"/>
              <w:bottom w:w="0" w:type="dxa"/>
              <w:right w:w="0" w:type="dxa"/>
            </w:tcMar>
            <w:vAlign w:val="center"/>
          </w:tcPr>
          <w:p w14:paraId="42EA27AC"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374"/>
              </w:tabs>
              <w:spacing w:line="240" w:lineRule="auto"/>
              <w:jc w:val="center"/>
            </w:pPr>
            <w:r>
              <w:t>2.18</w:t>
            </w:r>
          </w:p>
        </w:tc>
      </w:tr>
      <w:tr w:rsidR="00882514" w14:paraId="4DCD96C8" w14:textId="77777777" w:rsidTr="00EA09C7">
        <w:trPr>
          <w:trHeight w:val="144"/>
        </w:trPr>
        <w:tc>
          <w:tcPr>
            <w:tcW w:w="5415" w:type="dxa"/>
            <w:tcBorders>
              <w:top w:val="nil"/>
              <w:left w:val="nil"/>
              <w:bottom w:val="nil"/>
              <w:right w:val="nil"/>
            </w:tcBorders>
            <w:tcMar>
              <w:top w:w="0" w:type="dxa"/>
              <w:left w:w="0" w:type="dxa"/>
              <w:bottom w:w="0" w:type="dxa"/>
              <w:right w:w="0" w:type="dxa"/>
            </w:tcMar>
            <w:vAlign w:val="center"/>
          </w:tcPr>
          <w:p w14:paraId="37B8677A"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spacing w:line="240" w:lineRule="auto"/>
            </w:pPr>
            <w:r>
              <w:t>Russia</w:t>
            </w:r>
          </w:p>
        </w:tc>
        <w:tc>
          <w:tcPr>
            <w:tcW w:w="1590" w:type="dxa"/>
            <w:tcBorders>
              <w:top w:val="nil"/>
              <w:left w:val="nil"/>
              <w:bottom w:val="nil"/>
              <w:right w:val="nil"/>
            </w:tcBorders>
            <w:tcMar>
              <w:top w:w="0" w:type="dxa"/>
              <w:left w:w="0" w:type="dxa"/>
              <w:bottom w:w="0" w:type="dxa"/>
              <w:right w:w="0" w:type="dxa"/>
            </w:tcMar>
            <w:vAlign w:val="center"/>
          </w:tcPr>
          <w:p w14:paraId="38668A9D"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250"/>
              </w:tabs>
              <w:spacing w:line="240" w:lineRule="auto"/>
              <w:jc w:val="center"/>
            </w:pPr>
            <w:r>
              <w:t>99</w:t>
            </w:r>
          </w:p>
        </w:tc>
        <w:tc>
          <w:tcPr>
            <w:tcW w:w="2355" w:type="dxa"/>
            <w:tcBorders>
              <w:top w:val="nil"/>
              <w:left w:val="nil"/>
              <w:bottom w:val="nil"/>
              <w:right w:val="nil"/>
            </w:tcBorders>
            <w:tcMar>
              <w:top w:w="0" w:type="dxa"/>
              <w:left w:w="0" w:type="dxa"/>
              <w:bottom w:w="0" w:type="dxa"/>
              <w:right w:w="0" w:type="dxa"/>
            </w:tcMar>
            <w:vAlign w:val="center"/>
          </w:tcPr>
          <w:p w14:paraId="50E073F6"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374"/>
              </w:tabs>
              <w:spacing w:line="240" w:lineRule="auto"/>
              <w:jc w:val="center"/>
            </w:pPr>
            <w:r>
              <w:t>2.05</w:t>
            </w:r>
          </w:p>
        </w:tc>
      </w:tr>
      <w:tr w:rsidR="00882514" w14:paraId="2A139C00" w14:textId="77777777" w:rsidTr="00EA09C7">
        <w:trPr>
          <w:trHeight w:val="144"/>
        </w:trPr>
        <w:tc>
          <w:tcPr>
            <w:tcW w:w="5415" w:type="dxa"/>
            <w:tcBorders>
              <w:top w:val="nil"/>
              <w:left w:val="nil"/>
              <w:bottom w:val="nil"/>
              <w:right w:val="nil"/>
            </w:tcBorders>
            <w:tcMar>
              <w:top w:w="0" w:type="dxa"/>
              <w:left w:w="0" w:type="dxa"/>
              <w:bottom w:w="0" w:type="dxa"/>
              <w:right w:w="0" w:type="dxa"/>
            </w:tcMar>
            <w:vAlign w:val="center"/>
          </w:tcPr>
          <w:p w14:paraId="631E5E81"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spacing w:line="240" w:lineRule="auto"/>
            </w:pPr>
            <w:r>
              <w:t>Taiwan</w:t>
            </w:r>
          </w:p>
        </w:tc>
        <w:tc>
          <w:tcPr>
            <w:tcW w:w="1590" w:type="dxa"/>
            <w:tcBorders>
              <w:top w:val="nil"/>
              <w:left w:val="nil"/>
              <w:bottom w:val="nil"/>
              <w:right w:val="nil"/>
            </w:tcBorders>
            <w:tcMar>
              <w:top w:w="0" w:type="dxa"/>
              <w:left w:w="0" w:type="dxa"/>
              <w:bottom w:w="0" w:type="dxa"/>
              <w:right w:w="0" w:type="dxa"/>
            </w:tcMar>
            <w:vAlign w:val="center"/>
          </w:tcPr>
          <w:p w14:paraId="1F1C71A1"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250"/>
              </w:tabs>
              <w:spacing w:line="240" w:lineRule="auto"/>
              <w:jc w:val="center"/>
            </w:pPr>
            <w:r>
              <w:t>89</w:t>
            </w:r>
          </w:p>
        </w:tc>
        <w:tc>
          <w:tcPr>
            <w:tcW w:w="2355" w:type="dxa"/>
            <w:tcBorders>
              <w:top w:val="nil"/>
              <w:left w:val="nil"/>
              <w:bottom w:val="nil"/>
              <w:right w:val="nil"/>
            </w:tcBorders>
            <w:tcMar>
              <w:top w:w="0" w:type="dxa"/>
              <w:left w:w="0" w:type="dxa"/>
              <w:bottom w:w="0" w:type="dxa"/>
              <w:right w:w="0" w:type="dxa"/>
            </w:tcMar>
            <w:vAlign w:val="center"/>
          </w:tcPr>
          <w:p w14:paraId="213FDD25"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374"/>
              </w:tabs>
              <w:spacing w:line="240" w:lineRule="auto"/>
              <w:jc w:val="center"/>
            </w:pPr>
            <w:r>
              <w:t>1.84</w:t>
            </w:r>
          </w:p>
        </w:tc>
      </w:tr>
      <w:tr w:rsidR="00882514" w14:paraId="41374972" w14:textId="77777777" w:rsidTr="00EA09C7">
        <w:trPr>
          <w:trHeight w:val="144"/>
        </w:trPr>
        <w:tc>
          <w:tcPr>
            <w:tcW w:w="5415" w:type="dxa"/>
            <w:tcBorders>
              <w:top w:val="nil"/>
              <w:left w:val="nil"/>
              <w:bottom w:val="nil"/>
              <w:right w:val="nil"/>
            </w:tcBorders>
            <w:tcMar>
              <w:top w:w="0" w:type="dxa"/>
              <w:left w:w="0" w:type="dxa"/>
              <w:bottom w:w="0" w:type="dxa"/>
              <w:right w:w="0" w:type="dxa"/>
            </w:tcMar>
            <w:vAlign w:val="center"/>
          </w:tcPr>
          <w:p w14:paraId="4D547162"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spacing w:line="240" w:lineRule="auto"/>
            </w:pPr>
            <w:r>
              <w:t>Portugal</w:t>
            </w:r>
          </w:p>
        </w:tc>
        <w:tc>
          <w:tcPr>
            <w:tcW w:w="1590" w:type="dxa"/>
            <w:tcBorders>
              <w:top w:val="nil"/>
              <w:left w:val="nil"/>
              <w:bottom w:val="nil"/>
              <w:right w:val="nil"/>
            </w:tcBorders>
            <w:tcMar>
              <w:top w:w="0" w:type="dxa"/>
              <w:left w:w="0" w:type="dxa"/>
              <w:bottom w:w="0" w:type="dxa"/>
              <w:right w:w="0" w:type="dxa"/>
            </w:tcMar>
            <w:vAlign w:val="center"/>
          </w:tcPr>
          <w:p w14:paraId="3B8E9E15"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250"/>
              </w:tabs>
              <w:spacing w:line="240" w:lineRule="auto"/>
              <w:jc w:val="center"/>
            </w:pPr>
            <w:r>
              <w:t>81</w:t>
            </w:r>
          </w:p>
        </w:tc>
        <w:tc>
          <w:tcPr>
            <w:tcW w:w="2355" w:type="dxa"/>
            <w:tcBorders>
              <w:top w:val="nil"/>
              <w:left w:val="nil"/>
              <w:bottom w:val="nil"/>
              <w:right w:val="nil"/>
            </w:tcBorders>
            <w:tcMar>
              <w:top w:w="0" w:type="dxa"/>
              <w:left w:w="0" w:type="dxa"/>
              <w:bottom w:w="0" w:type="dxa"/>
              <w:right w:w="0" w:type="dxa"/>
            </w:tcMar>
            <w:vAlign w:val="center"/>
          </w:tcPr>
          <w:p w14:paraId="69537187"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374"/>
              </w:tabs>
              <w:spacing w:line="240" w:lineRule="auto"/>
              <w:jc w:val="center"/>
            </w:pPr>
            <w:r>
              <w:t>1.68</w:t>
            </w:r>
          </w:p>
        </w:tc>
      </w:tr>
      <w:tr w:rsidR="00882514" w14:paraId="15F52481" w14:textId="77777777" w:rsidTr="00EA09C7">
        <w:trPr>
          <w:trHeight w:val="144"/>
        </w:trPr>
        <w:tc>
          <w:tcPr>
            <w:tcW w:w="5415" w:type="dxa"/>
            <w:tcBorders>
              <w:top w:val="nil"/>
              <w:left w:val="nil"/>
              <w:bottom w:val="nil"/>
              <w:right w:val="nil"/>
            </w:tcBorders>
            <w:tcMar>
              <w:top w:w="0" w:type="dxa"/>
              <w:left w:w="0" w:type="dxa"/>
              <w:bottom w:w="0" w:type="dxa"/>
              <w:right w:w="0" w:type="dxa"/>
            </w:tcMar>
            <w:vAlign w:val="center"/>
          </w:tcPr>
          <w:p w14:paraId="0109687E"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spacing w:line="240" w:lineRule="auto"/>
            </w:pPr>
            <w:r>
              <w:t>Turkey</w:t>
            </w:r>
          </w:p>
        </w:tc>
        <w:tc>
          <w:tcPr>
            <w:tcW w:w="1590" w:type="dxa"/>
            <w:tcBorders>
              <w:top w:val="nil"/>
              <w:left w:val="nil"/>
              <w:bottom w:val="nil"/>
              <w:right w:val="nil"/>
            </w:tcBorders>
            <w:tcMar>
              <w:top w:w="0" w:type="dxa"/>
              <w:left w:w="0" w:type="dxa"/>
              <w:bottom w:w="0" w:type="dxa"/>
              <w:right w:w="0" w:type="dxa"/>
            </w:tcMar>
            <w:vAlign w:val="center"/>
          </w:tcPr>
          <w:p w14:paraId="60FA6796"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250"/>
              </w:tabs>
              <w:spacing w:line="240" w:lineRule="auto"/>
              <w:jc w:val="center"/>
            </w:pPr>
            <w:r>
              <w:t>77</w:t>
            </w:r>
          </w:p>
        </w:tc>
        <w:tc>
          <w:tcPr>
            <w:tcW w:w="2355" w:type="dxa"/>
            <w:tcBorders>
              <w:top w:val="nil"/>
              <w:left w:val="nil"/>
              <w:bottom w:val="nil"/>
              <w:right w:val="nil"/>
            </w:tcBorders>
            <w:tcMar>
              <w:top w:w="0" w:type="dxa"/>
              <w:left w:w="0" w:type="dxa"/>
              <w:bottom w:w="0" w:type="dxa"/>
              <w:right w:w="0" w:type="dxa"/>
            </w:tcMar>
            <w:vAlign w:val="center"/>
          </w:tcPr>
          <w:p w14:paraId="0164E015"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374"/>
              </w:tabs>
              <w:spacing w:line="240" w:lineRule="auto"/>
              <w:jc w:val="center"/>
            </w:pPr>
            <w:r>
              <w:t>1.60</w:t>
            </w:r>
          </w:p>
        </w:tc>
      </w:tr>
      <w:tr w:rsidR="00882514" w14:paraId="70D45E6B" w14:textId="77777777" w:rsidTr="00EA09C7">
        <w:trPr>
          <w:trHeight w:val="144"/>
        </w:trPr>
        <w:tc>
          <w:tcPr>
            <w:tcW w:w="5415" w:type="dxa"/>
            <w:tcBorders>
              <w:top w:val="nil"/>
              <w:left w:val="nil"/>
              <w:bottom w:val="nil"/>
              <w:right w:val="nil"/>
            </w:tcBorders>
            <w:tcMar>
              <w:top w:w="0" w:type="dxa"/>
              <w:left w:w="0" w:type="dxa"/>
              <w:bottom w:w="0" w:type="dxa"/>
              <w:right w:w="0" w:type="dxa"/>
            </w:tcMar>
            <w:vAlign w:val="center"/>
          </w:tcPr>
          <w:p w14:paraId="7886160B"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spacing w:line="240" w:lineRule="auto"/>
            </w:pPr>
            <w:r>
              <w:t>Norway</w:t>
            </w:r>
          </w:p>
        </w:tc>
        <w:tc>
          <w:tcPr>
            <w:tcW w:w="1590" w:type="dxa"/>
            <w:tcBorders>
              <w:top w:val="nil"/>
              <w:left w:val="nil"/>
              <w:bottom w:val="nil"/>
              <w:right w:val="nil"/>
            </w:tcBorders>
            <w:tcMar>
              <w:top w:w="0" w:type="dxa"/>
              <w:left w:w="0" w:type="dxa"/>
              <w:bottom w:w="0" w:type="dxa"/>
              <w:right w:w="0" w:type="dxa"/>
            </w:tcMar>
            <w:vAlign w:val="center"/>
          </w:tcPr>
          <w:p w14:paraId="4B089DA4"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250"/>
              </w:tabs>
              <w:spacing w:line="240" w:lineRule="auto"/>
              <w:jc w:val="center"/>
            </w:pPr>
            <w:r>
              <w:t>76</w:t>
            </w:r>
          </w:p>
        </w:tc>
        <w:tc>
          <w:tcPr>
            <w:tcW w:w="2355" w:type="dxa"/>
            <w:tcBorders>
              <w:top w:val="nil"/>
              <w:left w:val="nil"/>
              <w:bottom w:val="nil"/>
              <w:right w:val="nil"/>
            </w:tcBorders>
            <w:tcMar>
              <w:top w:w="0" w:type="dxa"/>
              <w:left w:w="0" w:type="dxa"/>
              <w:bottom w:w="0" w:type="dxa"/>
              <w:right w:w="0" w:type="dxa"/>
            </w:tcMar>
            <w:vAlign w:val="center"/>
          </w:tcPr>
          <w:p w14:paraId="2494858E"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374"/>
              </w:tabs>
              <w:spacing w:line="240" w:lineRule="auto"/>
              <w:jc w:val="center"/>
            </w:pPr>
            <w:r>
              <w:t>1.57</w:t>
            </w:r>
          </w:p>
        </w:tc>
      </w:tr>
      <w:tr w:rsidR="00882514" w14:paraId="78755F0D" w14:textId="77777777" w:rsidTr="00EA09C7">
        <w:trPr>
          <w:trHeight w:val="144"/>
        </w:trPr>
        <w:tc>
          <w:tcPr>
            <w:tcW w:w="5415" w:type="dxa"/>
            <w:tcBorders>
              <w:top w:val="nil"/>
              <w:left w:val="nil"/>
              <w:bottom w:val="nil"/>
              <w:right w:val="nil"/>
            </w:tcBorders>
            <w:tcMar>
              <w:top w:w="0" w:type="dxa"/>
              <w:left w:w="0" w:type="dxa"/>
              <w:bottom w:w="0" w:type="dxa"/>
              <w:right w:w="0" w:type="dxa"/>
            </w:tcMar>
            <w:vAlign w:val="center"/>
          </w:tcPr>
          <w:p w14:paraId="1E3713CD"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spacing w:line="240" w:lineRule="auto"/>
            </w:pPr>
            <w:r>
              <w:t>Greece</w:t>
            </w:r>
          </w:p>
        </w:tc>
        <w:tc>
          <w:tcPr>
            <w:tcW w:w="1590" w:type="dxa"/>
            <w:tcBorders>
              <w:top w:val="nil"/>
              <w:left w:val="nil"/>
              <w:bottom w:val="nil"/>
              <w:right w:val="nil"/>
            </w:tcBorders>
            <w:tcMar>
              <w:top w:w="0" w:type="dxa"/>
              <w:left w:w="0" w:type="dxa"/>
              <w:bottom w:w="0" w:type="dxa"/>
              <w:right w:w="0" w:type="dxa"/>
            </w:tcMar>
            <w:vAlign w:val="center"/>
          </w:tcPr>
          <w:p w14:paraId="41FF6CB9"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250"/>
              </w:tabs>
              <w:spacing w:line="240" w:lineRule="auto"/>
              <w:jc w:val="center"/>
            </w:pPr>
            <w:r>
              <w:t>52</w:t>
            </w:r>
          </w:p>
        </w:tc>
        <w:tc>
          <w:tcPr>
            <w:tcW w:w="2355" w:type="dxa"/>
            <w:tcBorders>
              <w:top w:val="nil"/>
              <w:left w:val="nil"/>
              <w:bottom w:val="nil"/>
              <w:right w:val="nil"/>
            </w:tcBorders>
            <w:tcMar>
              <w:top w:w="0" w:type="dxa"/>
              <w:left w:w="0" w:type="dxa"/>
              <w:bottom w:w="0" w:type="dxa"/>
              <w:right w:w="0" w:type="dxa"/>
            </w:tcMar>
            <w:vAlign w:val="center"/>
          </w:tcPr>
          <w:p w14:paraId="7EFAD975"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374"/>
              </w:tabs>
              <w:spacing w:line="240" w:lineRule="auto"/>
              <w:jc w:val="center"/>
            </w:pPr>
            <w:r>
              <w:t>1.08</w:t>
            </w:r>
          </w:p>
        </w:tc>
      </w:tr>
      <w:tr w:rsidR="00882514" w14:paraId="22DB8134" w14:textId="77777777" w:rsidTr="00EA09C7">
        <w:trPr>
          <w:trHeight w:val="144"/>
        </w:trPr>
        <w:tc>
          <w:tcPr>
            <w:tcW w:w="5415" w:type="dxa"/>
            <w:tcBorders>
              <w:top w:val="nil"/>
              <w:left w:val="nil"/>
              <w:bottom w:val="nil"/>
              <w:right w:val="nil"/>
            </w:tcBorders>
            <w:tcMar>
              <w:top w:w="0" w:type="dxa"/>
              <w:left w:w="0" w:type="dxa"/>
              <w:bottom w:w="0" w:type="dxa"/>
              <w:right w:w="0" w:type="dxa"/>
            </w:tcMar>
            <w:vAlign w:val="center"/>
          </w:tcPr>
          <w:p w14:paraId="49CC782C"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spacing w:line="240" w:lineRule="auto"/>
            </w:pPr>
            <w:r>
              <w:t>Singapore</w:t>
            </w:r>
          </w:p>
        </w:tc>
        <w:tc>
          <w:tcPr>
            <w:tcW w:w="1590" w:type="dxa"/>
            <w:tcBorders>
              <w:top w:val="nil"/>
              <w:left w:val="nil"/>
              <w:bottom w:val="nil"/>
              <w:right w:val="nil"/>
            </w:tcBorders>
            <w:tcMar>
              <w:top w:w="0" w:type="dxa"/>
              <w:left w:w="0" w:type="dxa"/>
              <w:bottom w:w="0" w:type="dxa"/>
              <w:right w:w="0" w:type="dxa"/>
            </w:tcMar>
            <w:vAlign w:val="center"/>
          </w:tcPr>
          <w:p w14:paraId="442B12F7"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250"/>
              </w:tabs>
              <w:spacing w:line="240" w:lineRule="auto"/>
              <w:jc w:val="center"/>
            </w:pPr>
            <w:r>
              <w:t>52</w:t>
            </w:r>
          </w:p>
        </w:tc>
        <w:tc>
          <w:tcPr>
            <w:tcW w:w="2355" w:type="dxa"/>
            <w:tcBorders>
              <w:top w:val="nil"/>
              <w:left w:val="nil"/>
              <w:bottom w:val="nil"/>
              <w:right w:val="nil"/>
            </w:tcBorders>
            <w:tcMar>
              <w:top w:w="0" w:type="dxa"/>
              <w:left w:w="0" w:type="dxa"/>
              <w:bottom w:w="0" w:type="dxa"/>
              <w:right w:w="0" w:type="dxa"/>
            </w:tcMar>
            <w:vAlign w:val="center"/>
          </w:tcPr>
          <w:p w14:paraId="4383658C"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374"/>
              </w:tabs>
              <w:spacing w:line="240" w:lineRule="auto"/>
              <w:jc w:val="center"/>
            </w:pPr>
            <w:r>
              <w:t>1.08</w:t>
            </w:r>
          </w:p>
        </w:tc>
      </w:tr>
      <w:tr w:rsidR="00882514" w14:paraId="328500B2" w14:textId="77777777" w:rsidTr="00EA09C7">
        <w:trPr>
          <w:trHeight w:val="144"/>
        </w:trPr>
        <w:tc>
          <w:tcPr>
            <w:tcW w:w="5415" w:type="dxa"/>
            <w:tcBorders>
              <w:top w:val="nil"/>
              <w:left w:val="nil"/>
              <w:right w:val="nil"/>
            </w:tcBorders>
            <w:tcMar>
              <w:top w:w="0" w:type="dxa"/>
              <w:left w:w="0" w:type="dxa"/>
              <w:bottom w:w="0" w:type="dxa"/>
              <w:right w:w="0" w:type="dxa"/>
            </w:tcMar>
            <w:vAlign w:val="center"/>
          </w:tcPr>
          <w:p w14:paraId="59F87D75"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spacing w:line="240" w:lineRule="auto"/>
            </w:pPr>
            <w:r>
              <w:t>New Zealand</w:t>
            </w:r>
          </w:p>
        </w:tc>
        <w:tc>
          <w:tcPr>
            <w:tcW w:w="1590" w:type="dxa"/>
            <w:tcBorders>
              <w:top w:val="nil"/>
              <w:left w:val="nil"/>
              <w:right w:val="nil"/>
            </w:tcBorders>
            <w:tcMar>
              <w:top w:w="0" w:type="dxa"/>
              <w:left w:w="0" w:type="dxa"/>
              <w:bottom w:w="0" w:type="dxa"/>
              <w:right w:w="0" w:type="dxa"/>
            </w:tcMar>
            <w:vAlign w:val="center"/>
          </w:tcPr>
          <w:p w14:paraId="2CF1DBFA"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250"/>
              </w:tabs>
              <w:spacing w:line="240" w:lineRule="auto"/>
              <w:jc w:val="center"/>
            </w:pPr>
            <w:r>
              <w:t>42</w:t>
            </w:r>
          </w:p>
        </w:tc>
        <w:tc>
          <w:tcPr>
            <w:tcW w:w="2355" w:type="dxa"/>
            <w:tcBorders>
              <w:top w:val="nil"/>
              <w:left w:val="nil"/>
              <w:right w:val="nil"/>
            </w:tcBorders>
            <w:tcMar>
              <w:top w:w="0" w:type="dxa"/>
              <w:left w:w="0" w:type="dxa"/>
              <w:bottom w:w="0" w:type="dxa"/>
              <w:right w:w="0" w:type="dxa"/>
            </w:tcMar>
            <w:vAlign w:val="center"/>
          </w:tcPr>
          <w:p w14:paraId="5590E3EE"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374"/>
              </w:tabs>
              <w:spacing w:line="240" w:lineRule="auto"/>
              <w:jc w:val="center"/>
            </w:pPr>
            <w:r>
              <w:t>0.87</w:t>
            </w:r>
          </w:p>
        </w:tc>
      </w:tr>
      <w:tr w:rsidR="00882514" w14:paraId="055E0622" w14:textId="77777777" w:rsidTr="00EA09C7">
        <w:tc>
          <w:tcPr>
            <w:tcW w:w="5415" w:type="dxa"/>
            <w:tcBorders>
              <w:top w:val="nil"/>
              <w:left w:val="nil"/>
              <w:bottom w:val="single" w:sz="8" w:space="0" w:color="auto"/>
              <w:right w:val="nil"/>
            </w:tcBorders>
            <w:tcMar>
              <w:top w:w="0" w:type="dxa"/>
              <w:left w:w="0" w:type="dxa"/>
              <w:bottom w:w="0" w:type="dxa"/>
              <w:right w:w="0" w:type="dxa"/>
            </w:tcMar>
            <w:vAlign w:val="center"/>
          </w:tcPr>
          <w:p w14:paraId="33788156"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spacing w:line="240" w:lineRule="auto"/>
            </w:pPr>
            <w:r>
              <w:t>Switzerland</w:t>
            </w:r>
          </w:p>
        </w:tc>
        <w:tc>
          <w:tcPr>
            <w:tcW w:w="1590" w:type="dxa"/>
            <w:tcBorders>
              <w:top w:val="nil"/>
              <w:left w:val="nil"/>
              <w:bottom w:val="single" w:sz="8" w:space="0" w:color="auto"/>
              <w:right w:val="nil"/>
            </w:tcBorders>
            <w:tcMar>
              <w:top w:w="0" w:type="dxa"/>
              <w:left w:w="0" w:type="dxa"/>
              <w:bottom w:w="0" w:type="dxa"/>
              <w:right w:w="0" w:type="dxa"/>
            </w:tcMar>
            <w:vAlign w:val="center"/>
          </w:tcPr>
          <w:p w14:paraId="31067D76"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250"/>
              </w:tabs>
              <w:spacing w:line="240" w:lineRule="auto"/>
              <w:jc w:val="center"/>
            </w:pPr>
            <w:r>
              <w:t>28</w:t>
            </w:r>
          </w:p>
        </w:tc>
        <w:tc>
          <w:tcPr>
            <w:tcW w:w="2355" w:type="dxa"/>
            <w:tcBorders>
              <w:top w:val="nil"/>
              <w:left w:val="nil"/>
              <w:bottom w:val="single" w:sz="8" w:space="0" w:color="auto"/>
              <w:right w:val="nil"/>
            </w:tcBorders>
            <w:tcMar>
              <w:top w:w="0" w:type="dxa"/>
              <w:left w:w="0" w:type="dxa"/>
              <w:bottom w:w="0" w:type="dxa"/>
              <w:right w:w="0" w:type="dxa"/>
            </w:tcMar>
            <w:vAlign w:val="center"/>
          </w:tcPr>
          <w:p w14:paraId="6107DAB4" w14:textId="77777777" w:rsidR="00882514" w:rsidRDefault="00882514" w:rsidP="00882514">
            <w:pPr>
              <w:pBdr>
                <w:top w:val="none" w:sz="0" w:space="5" w:color="000000"/>
                <w:left w:val="none" w:sz="0" w:space="5" w:color="000000"/>
                <w:bottom w:val="none" w:sz="0" w:space="5" w:color="000000"/>
                <w:right w:val="none" w:sz="0" w:space="5" w:color="000000"/>
                <w:between w:val="none" w:sz="0" w:space="5" w:color="000000"/>
              </w:pBdr>
              <w:tabs>
                <w:tab w:val="decimal" w:pos="374"/>
              </w:tabs>
              <w:spacing w:line="240" w:lineRule="auto"/>
              <w:jc w:val="center"/>
            </w:pPr>
            <w:r>
              <w:t>0.58</w:t>
            </w:r>
          </w:p>
        </w:tc>
      </w:tr>
    </w:tbl>
    <w:p w14:paraId="031DF88F" w14:textId="77777777" w:rsidR="00882514" w:rsidRDefault="00882514" w:rsidP="00882514">
      <w:pPr>
        <w:spacing w:after="160" w:line="240" w:lineRule="auto"/>
        <w:rPr>
          <w:b/>
        </w:rPr>
      </w:pPr>
      <w:r>
        <w:rPr>
          <w:i/>
        </w:rPr>
        <w:t>Note</w:t>
      </w:r>
      <w:r>
        <w:t>. Geopolitical region refers to the location of the data collection site except for one team that collected data through Amazon Mechanical Turk (</w:t>
      </w:r>
      <w:proofErr w:type="spellStart"/>
      <w:r>
        <w:t>MTurk</w:t>
      </w:r>
      <w:proofErr w:type="spellEnd"/>
      <w:r>
        <w:t>) in another geopolitical region (i.e., the United States). For all other data collection sites, participants were recruited from the geopolitical region of the site.</w:t>
      </w:r>
    </w:p>
    <w:p w14:paraId="74B2E6F3" w14:textId="77777777" w:rsidR="00E03554" w:rsidRDefault="00E03554">
      <w:pPr>
        <w:rPr>
          <w:b/>
        </w:rPr>
      </w:pPr>
    </w:p>
    <w:p w14:paraId="0E52F8C8" w14:textId="77777777" w:rsidR="00E03554" w:rsidRDefault="00DF0CFA">
      <w:pPr>
        <w:rPr>
          <w:b/>
        </w:rPr>
      </w:pPr>
      <w:r>
        <w:br w:type="page"/>
      </w:r>
    </w:p>
    <w:p w14:paraId="201ED7EA" w14:textId="77777777" w:rsidR="00E03554" w:rsidRDefault="00DF0CFA">
      <w:pPr>
        <w:rPr>
          <w:b/>
        </w:rPr>
      </w:pPr>
      <w:r>
        <w:rPr>
          <w:b/>
        </w:rPr>
        <w:lastRenderedPageBreak/>
        <w:t>Table 3</w:t>
      </w:r>
    </w:p>
    <w:p w14:paraId="26BA55CC" w14:textId="56D031C5" w:rsidR="00E03554" w:rsidRDefault="00DF0CFA" w:rsidP="00E03554">
      <w:pPr>
        <w:rPr>
          <w:i/>
        </w:rPr>
      </w:pPr>
      <w:r>
        <w:rPr>
          <w:i/>
        </w:rPr>
        <w:t>Number and Percentage of Participants by Data Collection Context Variables</w:t>
      </w:r>
      <w:bookmarkStart w:id="16" w:name="_99w3fqoqv2f0" w:colFirst="0" w:colLast="0"/>
      <w:bookmarkEnd w:id="16"/>
    </w:p>
    <w:tbl>
      <w:tblPr>
        <w:tblW w:w="9360" w:type="dxa"/>
        <w:tblLayout w:type="fixed"/>
        <w:tblLook w:val="0600" w:firstRow="0" w:lastRow="0" w:firstColumn="0" w:lastColumn="0" w:noHBand="1" w:noVBand="1"/>
      </w:tblPr>
      <w:tblGrid>
        <w:gridCol w:w="3120"/>
        <w:gridCol w:w="3120"/>
        <w:gridCol w:w="3120"/>
      </w:tblGrid>
      <w:tr w:rsidR="00882514" w:rsidRPr="00327936" w14:paraId="72FAA26F" w14:textId="77777777" w:rsidTr="00EA09C7">
        <w:trPr>
          <w:tblHeader/>
        </w:trPr>
        <w:tc>
          <w:tcPr>
            <w:tcW w:w="3120" w:type="dxa"/>
            <w:tcBorders>
              <w:top w:val="single" w:sz="8" w:space="0" w:color="auto"/>
              <w:bottom w:val="single" w:sz="8" w:space="0" w:color="auto"/>
            </w:tcBorders>
            <w:tcMar>
              <w:top w:w="0" w:type="dxa"/>
              <w:left w:w="0" w:type="dxa"/>
              <w:bottom w:w="0" w:type="dxa"/>
              <w:right w:w="0" w:type="dxa"/>
            </w:tcMar>
            <w:vAlign w:val="bottom"/>
          </w:tcPr>
          <w:p w14:paraId="4F45B4E7" w14:textId="77777777" w:rsidR="00882514" w:rsidRPr="00327936" w:rsidRDefault="00882514" w:rsidP="00EA09C7">
            <w:pPr>
              <w:spacing w:line="240" w:lineRule="auto"/>
            </w:pPr>
            <w:r w:rsidRPr="00327936">
              <w:t>Variable</w:t>
            </w:r>
          </w:p>
        </w:tc>
        <w:tc>
          <w:tcPr>
            <w:tcW w:w="3120" w:type="dxa"/>
            <w:tcBorders>
              <w:top w:val="single" w:sz="8" w:space="0" w:color="auto"/>
              <w:bottom w:val="single" w:sz="8" w:space="0" w:color="auto"/>
            </w:tcBorders>
            <w:tcMar>
              <w:top w:w="0" w:type="dxa"/>
              <w:left w:w="0" w:type="dxa"/>
              <w:bottom w:w="0" w:type="dxa"/>
              <w:right w:w="0" w:type="dxa"/>
            </w:tcMar>
            <w:vAlign w:val="bottom"/>
          </w:tcPr>
          <w:p w14:paraId="4039EAAB" w14:textId="77777777" w:rsidR="00882514" w:rsidRPr="00327936" w:rsidRDefault="00882514" w:rsidP="00EA09C7">
            <w:pPr>
              <w:spacing w:line="240" w:lineRule="auto"/>
              <w:jc w:val="center"/>
              <w:rPr>
                <w:i/>
                <w:iCs/>
              </w:rPr>
            </w:pPr>
            <w:r w:rsidRPr="00327936">
              <w:rPr>
                <w:i/>
                <w:iCs/>
              </w:rPr>
              <w:t>n</w:t>
            </w:r>
          </w:p>
        </w:tc>
        <w:tc>
          <w:tcPr>
            <w:tcW w:w="3120" w:type="dxa"/>
            <w:tcBorders>
              <w:top w:val="single" w:sz="8" w:space="0" w:color="auto"/>
              <w:bottom w:val="single" w:sz="8" w:space="0" w:color="auto"/>
            </w:tcBorders>
            <w:tcMar>
              <w:top w:w="0" w:type="dxa"/>
              <w:left w:w="0" w:type="dxa"/>
              <w:bottom w:w="0" w:type="dxa"/>
              <w:right w:w="0" w:type="dxa"/>
            </w:tcMar>
            <w:vAlign w:val="bottom"/>
          </w:tcPr>
          <w:p w14:paraId="08EC796B" w14:textId="77777777" w:rsidR="00882514" w:rsidRPr="00E53072" w:rsidRDefault="00882514" w:rsidP="00EA09C7">
            <w:pPr>
              <w:spacing w:line="240" w:lineRule="auto"/>
              <w:jc w:val="center"/>
            </w:pPr>
            <w:r w:rsidRPr="00E53072">
              <w:t>% of total</w:t>
            </w:r>
          </w:p>
        </w:tc>
      </w:tr>
      <w:tr w:rsidR="00882514" w:rsidRPr="00327936" w14:paraId="5338E6D1" w14:textId="77777777" w:rsidTr="00EA09C7">
        <w:trPr>
          <w:tblHeader/>
        </w:trPr>
        <w:tc>
          <w:tcPr>
            <w:tcW w:w="3120" w:type="dxa"/>
            <w:tcBorders>
              <w:top w:val="single" w:sz="8" w:space="0" w:color="auto"/>
              <w:bottom w:val="single" w:sz="6" w:space="0" w:color="FFFFFF"/>
            </w:tcBorders>
            <w:tcMar>
              <w:top w:w="0" w:type="dxa"/>
              <w:left w:w="0" w:type="dxa"/>
              <w:bottom w:w="0" w:type="dxa"/>
              <w:right w:w="0" w:type="dxa"/>
            </w:tcMar>
          </w:tcPr>
          <w:p w14:paraId="14366EBE" w14:textId="77777777" w:rsidR="00882514" w:rsidRPr="00327936" w:rsidRDefault="00882514" w:rsidP="00EA09C7">
            <w:pPr>
              <w:spacing w:line="240" w:lineRule="auto"/>
            </w:pPr>
            <w:r w:rsidRPr="00327936">
              <w:t>Compensated for participation</w:t>
            </w:r>
          </w:p>
        </w:tc>
        <w:tc>
          <w:tcPr>
            <w:tcW w:w="3120" w:type="dxa"/>
            <w:tcBorders>
              <w:top w:val="single" w:sz="8" w:space="0" w:color="auto"/>
              <w:bottom w:val="single" w:sz="6" w:space="0" w:color="FFFFFF"/>
            </w:tcBorders>
            <w:tcMar>
              <w:top w:w="0" w:type="dxa"/>
              <w:left w:w="0" w:type="dxa"/>
              <w:bottom w:w="0" w:type="dxa"/>
              <w:right w:w="0" w:type="dxa"/>
            </w:tcMar>
          </w:tcPr>
          <w:p w14:paraId="07433097" w14:textId="77777777" w:rsidR="00882514" w:rsidRPr="00327936" w:rsidRDefault="00882514" w:rsidP="00EA09C7">
            <w:pPr>
              <w:spacing w:line="240" w:lineRule="auto"/>
              <w:jc w:val="center"/>
            </w:pPr>
            <w:r w:rsidRPr="00327936">
              <w:t>3533</w:t>
            </w:r>
          </w:p>
        </w:tc>
        <w:tc>
          <w:tcPr>
            <w:tcW w:w="3120" w:type="dxa"/>
            <w:tcBorders>
              <w:top w:val="single" w:sz="8" w:space="0" w:color="auto"/>
              <w:bottom w:val="single" w:sz="6" w:space="0" w:color="FFFFFF"/>
            </w:tcBorders>
            <w:tcMar>
              <w:top w:w="0" w:type="dxa"/>
              <w:left w:w="0" w:type="dxa"/>
              <w:bottom w:w="0" w:type="dxa"/>
              <w:right w:w="0" w:type="dxa"/>
            </w:tcMar>
          </w:tcPr>
          <w:p w14:paraId="37ABC1DC" w14:textId="77777777" w:rsidR="00882514" w:rsidRPr="00327936" w:rsidRDefault="00882514" w:rsidP="00EA09C7">
            <w:pPr>
              <w:spacing w:line="240" w:lineRule="auto"/>
              <w:jc w:val="center"/>
            </w:pPr>
            <w:r w:rsidRPr="00327936">
              <w:t>73.21</w:t>
            </w:r>
          </w:p>
        </w:tc>
      </w:tr>
      <w:tr w:rsidR="00882514" w:rsidRPr="00327936" w14:paraId="3D2683EF" w14:textId="77777777" w:rsidTr="00EA09C7">
        <w:trPr>
          <w:tblHeader/>
        </w:trPr>
        <w:tc>
          <w:tcPr>
            <w:tcW w:w="3120" w:type="dxa"/>
            <w:tcBorders>
              <w:top w:val="single" w:sz="6" w:space="0" w:color="FFFFFF"/>
              <w:bottom w:val="single" w:sz="6" w:space="0" w:color="FFFFFF"/>
            </w:tcBorders>
            <w:tcMar>
              <w:top w:w="0" w:type="dxa"/>
              <w:left w:w="0" w:type="dxa"/>
              <w:bottom w:w="0" w:type="dxa"/>
              <w:right w:w="0" w:type="dxa"/>
            </w:tcMar>
          </w:tcPr>
          <w:p w14:paraId="48FBCE38" w14:textId="77777777" w:rsidR="00882514" w:rsidRPr="00327936" w:rsidRDefault="00882514" w:rsidP="00EA09C7">
            <w:pPr>
              <w:spacing w:line="240" w:lineRule="auto"/>
            </w:pPr>
            <w:r w:rsidRPr="00327936">
              <w:t xml:space="preserve">Recruited through </w:t>
            </w:r>
            <w:proofErr w:type="spellStart"/>
            <w:r w:rsidRPr="00327936">
              <w:t>mTurk</w:t>
            </w:r>
            <w:proofErr w:type="spellEnd"/>
          </w:p>
        </w:tc>
        <w:tc>
          <w:tcPr>
            <w:tcW w:w="3120" w:type="dxa"/>
            <w:tcBorders>
              <w:top w:val="single" w:sz="6" w:space="0" w:color="FFFFFF"/>
              <w:bottom w:val="single" w:sz="6" w:space="0" w:color="FFFFFF"/>
            </w:tcBorders>
            <w:tcMar>
              <w:top w:w="0" w:type="dxa"/>
              <w:left w:w="0" w:type="dxa"/>
              <w:bottom w:w="0" w:type="dxa"/>
              <w:right w:w="0" w:type="dxa"/>
            </w:tcMar>
          </w:tcPr>
          <w:p w14:paraId="7F232291" w14:textId="77777777" w:rsidR="00882514" w:rsidRPr="00327936" w:rsidRDefault="00882514" w:rsidP="00EA09C7">
            <w:pPr>
              <w:spacing w:line="240" w:lineRule="auto"/>
              <w:jc w:val="center"/>
            </w:pPr>
            <w:r w:rsidRPr="00327936">
              <w:t>356</w:t>
            </w:r>
          </w:p>
        </w:tc>
        <w:tc>
          <w:tcPr>
            <w:tcW w:w="3120" w:type="dxa"/>
            <w:tcBorders>
              <w:top w:val="single" w:sz="6" w:space="0" w:color="FFFFFF"/>
              <w:bottom w:val="single" w:sz="6" w:space="0" w:color="FFFFFF"/>
            </w:tcBorders>
            <w:tcMar>
              <w:top w:w="0" w:type="dxa"/>
              <w:left w:w="0" w:type="dxa"/>
              <w:bottom w:w="0" w:type="dxa"/>
              <w:right w:w="0" w:type="dxa"/>
            </w:tcMar>
          </w:tcPr>
          <w:p w14:paraId="01F207EB" w14:textId="77777777" w:rsidR="00882514" w:rsidRPr="00327936" w:rsidRDefault="00882514" w:rsidP="00EA09C7">
            <w:pPr>
              <w:spacing w:line="240" w:lineRule="auto"/>
              <w:jc w:val="center"/>
            </w:pPr>
            <w:r w:rsidRPr="00327936">
              <w:t>7.38</w:t>
            </w:r>
          </w:p>
        </w:tc>
      </w:tr>
      <w:tr w:rsidR="00882514" w:rsidRPr="00327936" w14:paraId="2253F9AA" w14:textId="77777777" w:rsidTr="00EA09C7">
        <w:trPr>
          <w:trHeight w:val="240"/>
        </w:trPr>
        <w:tc>
          <w:tcPr>
            <w:tcW w:w="3120" w:type="dxa"/>
            <w:tcBorders>
              <w:top w:val="single" w:sz="6" w:space="0" w:color="FFFFFF"/>
              <w:bottom w:val="single" w:sz="8" w:space="0" w:color="auto"/>
            </w:tcBorders>
            <w:tcMar>
              <w:top w:w="0" w:type="dxa"/>
              <w:left w:w="0" w:type="dxa"/>
              <w:bottom w:w="0" w:type="dxa"/>
              <w:right w:w="0" w:type="dxa"/>
            </w:tcMar>
          </w:tcPr>
          <w:p w14:paraId="09A03F32" w14:textId="77777777" w:rsidR="00882514" w:rsidRPr="00327936" w:rsidRDefault="00882514" w:rsidP="00EA09C7">
            <w:pPr>
              <w:spacing w:line="240" w:lineRule="auto"/>
            </w:pPr>
            <w:r w:rsidRPr="00327936">
              <w:t>Took the centralized survey</w:t>
            </w:r>
          </w:p>
        </w:tc>
        <w:tc>
          <w:tcPr>
            <w:tcW w:w="3120" w:type="dxa"/>
            <w:tcBorders>
              <w:top w:val="single" w:sz="6" w:space="0" w:color="FFFFFF"/>
              <w:bottom w:val="single" w:sz="8" w:space="0" w:color="auto"/>
            </w:tcBorders>
            <w:tcMar>
              <w:top w:w="0" w:type="dxa"/>
              <w:left w:w="0" w:type="dxa"/>
              <w:bottom w:w="0" w:type="dxa"/>
              <w:right w:w="0" w:type="dxa"/>
            </w:tcMar>
          </w:tcPr>
          <w:p w14:paraId="63A523B3" w14:textId="77777777" w:rsidR="00882514" w:rsidRPr="00327936" w:rsidRDefault="00882514" w:rsidP="00EA09C7">
            <w:pPr>
              <w:spacing w:line="240" w:lineRule="auto"/>
              <w:jc w:val="center"/>
            </w:pPr>
            <w:r w:rsidRPr="00327936">
              <w:t>4270</w:t>
            </w:r>
          </w:p>
        </w:tc>
        <w:tc>
          <w:tcPr>
            <w:tcW w:w="3120" w:type="dxa"/>
            <w:tcBorders>
              <w:top w:val="single" w:sz="6" w:space="0" w:color="FFFFFF"/>
              <w:bottom w:val="single" w:sz="8" w:space="0" w:color="auto"/>
            </w:tcBorders>
            <w:tcMar>
              <w:top w:w="0" w:type="dxa"/>
              <w:left w:w="0" w:type="dxa"/>
              <w:bottom w:w="0" w:type="dxa"/>
              <w:right w:w="0" w:type="dxa"/>
            </w:tcMar>
          </w:tcPr>
          <w:p w14:paraId="51576F41" w14:textId="77777777" w:rsidR="00882514" w:rsidRPr="00327936" w:rsidRDefault="00882514" w:rsidP="00EA09C7">
            <w:pPr>
              <w:spacing w:line="240" w:lineRule="auto"/>
              <w:jc w:val="center"/>
            </w:pPr>
            <w:r w:rsidRPr="00327936">
              <w:t>88.48</w:t>
            </w:r>
          </w:p>
        </w:tc>
      </w:tr>
    </w:tbl>
    <w:p w14:paraId="0A9DBB90" w14:textId="77777777" w:rsidR="00882514" w:rsidRDefault="00882514" w:rsidP="00882514">
      <w:pPr>
        <w:spacing w:line="240" w:lineRule="auto"/>
        <w:rPr>
          <w:i/>
        </w:rPr>
      </w:pPr>
      <w:r>
        <w:rPr>
          <w:i/>
        </w:rPr>
        <w:t xml:space="preserve">Note. </w:t>
      </w:r>
      <w:r>
        <w:t xml:space="preserve">Variables are not exclusive. Information about the compensation method was obtained by examining each student-led team’s IRB approval, confirming with the students or PIs at each site, and making inferences based on the data collection site specific surveys when neither source was available. Three data collection teams included in analyses used Qualtrics to distribute their surveys instead of the centralized survey programmed in </w:t>
      </w:r>
      <w:proofErr w:type="spellStart"/>
      <w:r>
        <w:t>SoSciSurvey</w:t>
      </w:r>
      <w:proofErr w:type="spellEnd"/>
      <w:r>
        <w:t>.</w:t>
      </w:r>
    </w:p>
    <w:p w14:paraId="0C12456F" w14:textId="77777777" w:rsidR="00882514" w:rsidRPr="00882514" w:rsidRDefault="00882514" w:rsidP="00882514">
      <w:pPr>
        <w:rPr>
          <w:rFonts w:ascii="Helvetica Neue" w:eastAsia="Helvetica Neue" w:hAnsi="Helvetica Neue" w:cs="Helvetica Neue"/>
          <w:sz w:val="21"/>
          <w:szCs w:val="21"/>
        </w:rPr>
      </w:pPr>
    </w:p>
    <w:p w14:paraId="557A35DF" w14:textId="77777777" w:rsidR="00E03554" w:rsidRDefault="00DF0CFA">
      <w:pPr>
        <w:pStyle w:val="Heading3"/>
        <w:spacing w:after="0"/>
        <w:rPr>
          <w:color w:val="000000"/>
        </w:rPr>
      </w:pPr>
      <w:bookmarkStart w:id="17" w:name="_2k8k3vlqel2n" w:colFirst="0" w:colLast="0"/>
      <w:bookmarkEnd w:id="17"/>
      <w:r>
        <w:rPr>
          <w:color w:val="000000"/>
        </w:rPr>
        <w:t>Exclusions</w:t>
      </w:r>
    </w:p>
    <w:p w14:paraId="4C717FC8" w14:textId="77777777" w:rsidR="00E03554" w:rsidRDefault="00DF0CFA">
      <w:pPr>
        <w:spacing w:after="160"/>
        <w:ind w:firstLine="720"/>
      </w:pPr>
      <w:r>
        <w:t>Of the 9440 participants who completed the survey, data from 48.9% (</w:t>
      </w:r>
      <w:r>
        <w:rPr>
          <w:i/>
        </w:rPr>
        <w:t>n</w:t>
      </w:r>
      <w:r>
        <w:t xml:space="preserve"> = 4614) were excluded from the analytic sample. Of this total, 2187 participants (23.17%) were flagged for exclusion based on multiple criteria. All listed exclusions were pre-registered with one exception (i.e., maximum age).</w:t>
      </w:r>
      <w:r>
        <w:rPr>
          <w:vertAlign w:val="superscript"/>
        </w:rPr>
        <w:footnoteReference w:id="5"/>
      </w:r>
      <w:r>
        <w:t xml:space="preserve"> Participants were excluded for the following reasons:</w:t>
      </w:r>
    </w:p>
    <w:p w14:paraId="393FF858" w14:textId="77777777" w:rsidR="00E03554" w:rsidRDefault="00DF0CFA">
      <w:pPr>
        <w:numPr>
          <w:ilvl w:val="0"/>
          <w:numId w:val="1"/>
        </w:numPr>
        <w:rPr>
          <w:color w:val="000000"/>
        </w:rPr>
      </w:pPr>
      <w:r>
        <w:t xml:space="preserve">Age: the participant did not provide an age, listed an age greater than or equal to 100, or was not the age of majority of their geopolitical region, operationalized as at least 18 in all regions except Taiwan, where the age of consent is 20 (total excluded: </w:t>
      </w:r>
      <w:r>
        <w:rPr>
          <w:i/>
        </w:rPr>
        <w:t>n</w:t>
      </w:r>
      <w:r>
        <w:t xml:space="preserve"> = 2118; missing: </w:t>
      </w:r>
      <w:r>
        <w:rPr>
          <w:i/>
        </w:rPr>
        <w:t xml:space="preserve">n </w:t>
      </w:r>
      <w:r>
        <w:t>= 2040; 22.44% of participants met this exclusion criterion).</w:t>
      </w:r>
    </w:p>
    <w:p w14:paraId="662715E4" w14:textId="77777777" w:rsidR="00E03554" w:rsidRDefault="00DF0CFA">
      <w:pPr>
        <w:numPr>
          <w:ilvl w:val="0"/>
          <w:numId w:val="1"/>
        </w:numPr>
        <w:rPr>
          <w:color w:val="000000"/>
        </w:rPr>
      </w:pPr>
      <w:r>
        <w:t>Prior participation: the participant had taken part in a previous version of this study or in another contributors’ replication of the same study (</w:t>
      </w:r>
      <w:r>
        <w:rPr>
          <w:i/>
        </w:rPr>
        <w:t>n</w:t>
      </w:r>
      <w:r>
        <w:t xml:space="preserve"> = 238; 2.52% of participants met this exclusion criterion).</w:t>
      </w:r>
    </w:p>
    <w:p w14:paraId="047FC870" w14:textId="77777777" w:rsidR="00E03554" w:rsidRDefault="00DF0CFA">
      <w:pPr>
        <w:numPr>
          <w:ilvl w:val="0"/>
          <w:numId w:val="1"/>
        </w:numPr>
        <w:rPr>
          <w:color w:val="000000"/>
        </w:rPr>
      </w:pPr>
      <w:r>
        <w:lastRenderedPageBreak/>
        <w:t xml:space="preserve">Comprehension: the participant failed to answer all three of the vignette comprehension questions correctly (e.g., did not correctly identify whether Darrel was looking at a squirrel or a prairie dog; total excluded: </w:t>
      </w:r>
      <w:r>
        <w:rPr>
          <w:i/>
        </w:rPr>
        <w:t>n</w:t>
      </w:r>
      <w:r>
        <w:t xml:space="preserve"> = 4376; missing: </w:t>
      </w:r>
      <w:r>
        <w:rPr>
          <w:i/>
        </w:rPr>
        <w:t>n</w:t>
      </w:r>
      <w:r>
        <w:t xml:space="preserve"> = 1490; 46.36% of participants met this exclusion criterion).</w:t>
      </w:r>
      <w:r>
        <w:rPr>
          <w:vertAlign w:val="superscript"/>
        </w:rPr>
        <w:footnoteReference w:id="6"/>
      </w:r>
    </w:p>
    <w:p w14:paraId="353926C9" w14:textId="77777777" w:rsidR="00E03554" w:rsidRDefault="00DF0CFA">
      <w:pPr>
        <w:numPr>
          <w:ilvl w:val="0"/>
          <w:numId w:val="1"/>
        </w:numPr>
        <w:rPr>
          <w:color w:val="000000"/>
        </w:rPr>
      </w:pPr>
      <w:r>
        <w:t>Knowledge of hypothesis: the participant correctly and explicitly articulated knowledge of the specific hypotheses or specific conditions of this study when asked what they thought the study hypothesis was (</w:t>
      </w:r>
      <w:r>
        <w:rPr>
          <w:i/>
        </w:rPr>
        <w:t>n</w:t>
      </w:r>
      <w:r>
        <w:t xml:space="preserve"> = 203; 2.15% of participants met this exclusion criterion).</w:t>
      </w:r>
    </w:p>
    <w:p w14:paraId="6C91CC67" w14:textId="77777777" w:rsidR="00E03554" w:rsidRDefault="00DF0CFA">
      <w:pPr>
        <w:numPr>
          <w:ilvl w:val="0"/>
          <w:numId w:val="1"/>
        </w:numPr>
        <w:spacing w:after="160"/>
        <w:rPr>
          <w:color w:val="000000"/>
        </w:rPr>
      </w:pPr>
      <w:r>
        <w:t xml:space="preserve">Language proficiency: the participant reported their understanding of the language the survey was presented in as “not well” or “not well at all” (total excluded: </w:t>
      </w:r>
      <w:r>
        <w:rPr>
          <w:i/>
        </w:rPr>
        <w:t>n</w:t>
      </w:r>
      <w:r>
        <w:t xml:space="preserve"> = 2093; missing: </w:t>
      </w:r>
      <w:r>
        <w:rPr>
          <w:i/>
        </w:rPr>
        <w:t>n</w:t>
      </w:r>
      <w:r>
        <w:t xml:space="preserve"> = 2003; 22.17% of participants met this exclusion criterion; see </w:t>
      </w:r>
      <w:proofErr w:type="spellStart"/>
      <w:r>
        <w:t>Vickstrom</w:t>
      </w:r>
      <w:proofErr w:type="spellEnd"/>
      <w:r>
        <w:t xml:space="preserve"> et al., 2015 for criteria).</w:t>
      </w:r>
    </w:p>
    <w:p w14:paraId="305B6E06" w14:textId="794F1843" w:rsidR="00E03554" w:rsidRDefault="00DF0CFA">
      <w:pPr>
        <w:spacing w:after="160"/>
        <w:ind w:firstLine="720"/>
      </w:pPr>
      <w:r>
        <w:t>See Materials and Measures section below for item details. The rate at which participants were excluded due to failed comprehension in the present study (46%) was consistent with prior cross-cultural Gettier intuition research (e.g., rates between 21% [</w:t>
      </w:r>
      <w:proofErr w:type="spellStart"/>
      <w:r>
        <w:t>Machery</w:t>
      </w:r>
      <w:proofErr w:type="spellEnd"/>
      <w:r>
        <w:t xml:space="preserve"> et al., 2017</w:t>
      </w:r>
      <w:r w:rsidR="000C2969">
        <w:t>b</w:t>
      </w:r>
      <w:r>
        <w:t>] and 47% [</w:t>
      </w:r>
      <w:proofErr w:type="spellStart"/>
      <w:r>
        <w:t>Machery</w:t>
      </w:r>
      <w:proofErr w:type="spellEnd"/>
      <w:r>
        <w:t xml:space="preserve"> et al., 201</w:t>
      </w:r>
      <w:r w:rsidR="000C2969">
        <w:t>7a</w:t>
      </w:r>
      <w:r>
        <w:t xml:space="preserve">]). Across Gettier intuition studies more broadly, such exclusions have rarely had an impact on results (for review, see </w:t>
      </w:r>
      <w:proofErr w:type="spellStart"/>
      <w:r>
        <w:t>Popiel</w:t>
      </w:r>
      <w:proofErr w:type="spellEnd"/>
      <w:r>
        <w:t xml:space="preserve">, 2016). </w:t>
      </w:r>
    </w:p>
    <w:p w14:paraId="3E98B785" w14:textId="77777777" w:rsidR="00E03554" w:rsidRDefault="00DF0CFA">
      <w:pPr>
        <w:pStyle w:val="Heading3"/>
        <w:spacing w:after="0"/>
        <w:rPr>
          <w:color w:val="000000"/>
        </w:rPr>
      </w:pPr>
      <w:bookmarkStart w:id="18" w:name="_oobtrgo2ej73" w:colFirst="0" w:colLast="0"/>
      <w:bookmarkEnd w:id="18"/>
      <w:r>
        <w:rPr>
          <w:color w:val="000000"/>
        </w:rPr>
        <w:t>Power Analysis</w:t>
      </w:r>
    </w:p>
    <w:p w14:paraId="03C52CE8" w14:textId="77777777" w:rsidR="00E03554" w:rsidRDefault="00DF0CFA">
      <w:pPr>
        <w:spacing w:after="160"/>
        <w:ind w:firstLine="720"/>
      </w:pPr>
      <w:r>
        <w:t xml:space="preserve">We conducted an </w:t>
      </w:r>
      <w:r>
        <w:rPr>
          <w:i/>
        </w:rPr>
        <w:t>a priori</w:t>
      </w:r>
      <w:r>
        <w:t xml:space="preserve"> power analysis, using the </w:t>
      </w:r>
      <w:proofErr w:type="spellStart"/>
      <w:r>
        <w:rPr>
          <w:i/>
        </w:rPr>
        <w:t>powerCurve</w:t>
      </w:r>
      <w:proofErr w:type="spellEnd"/>
      <w:r>
        <w:t xml:space="preserve"> function in the </w:t>
      </w:r>
      <w:proofErr w:type="spellStart"/>
      <w:r>
        <w:rPr>
          <w:i/>
        </w:rPr>
        <w:t>simr</w:t>
      </w:r>
      <w:proofErr w:type="spellEnd"/>
      <w:r>
        <w:t xml:space="preserve"> package (Green &amp; MacLeod, 2016) in </w:t>
      </w:r>
      <w:r>
        <w:rPr>
          <w:i/>
        </w:rPr>
        <w:t>R</w:t>
      </w:r>
      <w:r>
        <w:t xml:space="preserve"> to estimate the sample size required to detect an effect </w:t>
      </w:r>
      <w:r>
        <w:lastRenderedPageBreak/>
        <w:t>of knowledge condition on participants’ knowledge attributions with 90% power at α = .05.</w:t>
      </w:r>
      <w:r>
        <w:rPr>
          <w:vertAlign w:val="superscript"/>
        </w:rPr>
        <w:footnoteReference w:id="7"/>
      </w:r>
      <w:r>
        <w:t xml:space="preserve"> To estimate the effect size, we considered 1) the effects observed in our pilot-test data (difference between Gettier and knowledge, β = 0.32; difference between Gettier and ignorance, β = -0.44), 2) both the difference between the Gettier condition and knowledge condition (</w:t>
      </w:r>
      <w:proofErr w:type="spellStart"/>
      <w:r>
        <w:t>Cramér’s</w:t>
      </w:r>
      <w:proofErr w:type="spellEnd"/>
      <w:r>
        <w:t xml:space="preserve"> </w:t>
      </w:r>
      <w:r>
        <w:rPr>
          <w:i/>
        </w:rPr>
        <w:t>V</w:t>
      </w:r>
      <w:r>
        <w:t xml:space="preserve"> = .509) and the small non-significant difference between the Gettier condition and ignorance condition (which we manually calculated using the reported statistics; </w:t>
      </w:r>
      <w:proofErr w:type="spellStart"/>
      <w:r>
        <w:t>Cramér’s</w:t>
      </w:r>
      <w:proofErr w:type="spellEnd"/>
      <w:r>
        <w:t xml:space="preserve"> </w:t>
      </w:r>
      <w:r>
        <w:rPr>
          <w:i/>
        </w:rPr>
        <w:t>V</w:t>
      </w:r>
      <w:r>
        <w:t xml:space="preserve"> = .16) from Experiment 1 of </w:t>
      </w:r>
      <w:proofErr w:type="spellStart"/>
      <w:r>
        <w:t>Turri</w:t>
      </w:r>
      <w:proofErr w:type="spellEnd"/>
      <w:r>
        <w:t xml:space="preserve"> et al. (2015), and 3) the Gettier intuition effect size from </w:t>
      </w:r>
      <w:proofErr w:type="spellStart"/>
      <w:r>
        <w:t>Starmans</w:t>
      </w:r>
      <w:proofErr w:type="spellEnd"/>
      <w:r>
        <w:t xml:space="preserve"> and Friedman (2012, Experiment 1; Cohen’s </w:t>
      </w:r>
      <w:r>
        <w:rPr>
          <w:i/>
        </w:rPr>
        <w:t>d</w:t>
      </w:r>
      <w:r>
        <w:t xml:space="preserve"> = 0.4). To be conservative, we selected a standardized fixed effect within the multilevel model analysis described below of .1 for our power analyses.</w:t>
      </w:r>
    </w:p>
    <w:p w14:paraId="3E586D9D" w14:textId="77777777" w:rsidR="00E03554" w:rsidRDefault="00DF0CFA">
      <w:pPr>
        <w:spacing w:after="160"/>
        <w:ind w:firstLine="720"/>
      </w:pPr>
      <w:r>
        <w:t>The model tested included random intercepts for data collection site, vignette, and participants, such that vignettes were nested within participants who were nested within sites. We simulated data using a standardized fixed effect regression parameter of .1. In these simulations, the number of participants per site was allowed to vary, but the number of vignettes (3) and the number of collection sites (9) were held constant. Results suggested that at least 32 participants per data collection site (i.e., 288 total participants; 864 total observations) would be necessary to detect the identified fixed effect regression parameter (.1) 90% of the time with an alpha of .05. Considering the potential for attrition (e.g., due to lack of comprehension) and effect size heterogeneity between data collection sites (Kenny &amp; Judd, 2019), we set a target sample size of 50 participants per data collection site. Of the 46 data collection sites included in analyses, 45 met this target prior to exclusions, and 40 met the target after exclusions.</w:t>
      </w:r>
    </w:p>
    <w:p w14:paraId="6171F5C0" w14:textId="77777777" w:rsidR="00E03554" w:rsidRDefault="00DF0CFA">
      <w:pPr>
        <w:pStyle w:val="Heading2"/>
        <w:spacing w:after="0"/>
        <w:rPr>
          <w:color w:val="000000"/>
        </w:rPr>
      </w:pPr>
      <w:bookmarkStart w:id="19" w:name="_l1o214ehf8pn" w:colFirst="0" w:colLast="0"/>
      <w:bookmarkEnd w:id="19"/>
      <w:r>
        <w:rPr>
          <w:color w:val="000000"/>
        </w:rPr>
        <w:lastRenderedPageBreak/>
        <w:t>Materials and Measures</w:t>
      </w:r>
    </w:p>
    <w:p w14:paraId="6BEDBF28" w14:textId="77777777" w:rsidR="00E03554" w:rsidRDefault="00DF0CFA">
      <w:pPr>
        <w:spacing w:after="160"/>
        <w:ind w:firstLine="720"/>
      </w:pPr>
      <w:r>
        <w:t xml:space="preserve">As described in the approved protocol, we planned to collect all data using a single </w:t>
      </w:r>
      <w:proofErr w:type="spellStart"/>
      <w:r>
        <w:t>SocSciSurvey</w:t>
      </w:r>
      <w:proofErr w:type="spellEnd"/>
      <w:r>
        <w:t xml:space="preserve"> survey programmed to accommodate lab-specific variations. However, eight student-lead teams used Qualtrics surveys programmed by student researchers; some Qualtrics teams used versions created by other Qualtrics teams. The majority of the data collected via Qualtrics was not included in the full data set due to logistical challenges (e.g., no access to raw survey data); only three of the teams included in the analysis dataset used Qualtrics surveys. Four student teams whose data were included in the analysis dataset collected data from all participants in-person (from an on-campus computer), five student teams collected data from some participants in-person, and for one student team, whether data collection took place in-person was not clearly documented. All participants completed an online consent form. Deviations that labs made from the materials and procedure described here are summarized in Table 1. All materials used in this replication, including the details of the vignettes and related pretests, are available in the Appendix and at osf.io/n5b3w.</w:t>
      </w:r>
    </w:p>
    <w:p w14:paraId="1ACB5DC4" w14:textId="77777777" w:rsidR="00E03554" w:rsidRDefault="00DF0CFA">
      <w:pPr>
        <w:pStyle w:val="Heading3"/>
        <w:spacing w:after="0"/>
        <w:rPr>
          <w:color w:val="000000"/>
        </w:rPr>
      </w:pPr>
      <w:bookmarkStart w:id="20" w:name="_qd2jnnz4z2r6" w:colFirst="0" w:colLast="0"/>
      <w:bookmarkEnd w:id="20"/>
      <w:r>
        <w:rPr>
          <w:color w:val="000000"/>
        </w:rPr>
        <w:t>Vignettes</w:t>
      </w:r>
    </w:p>
    <w:p w14:paraId="06D8E1FA" w14:textId="7F8147C7" w:rsidR="00E03554" w:rsidRDefault="00DF0CFA">
      <w:pPr>
        <w:spacing w:after="160"/>
        <w:ind w:firstLine="720"/>
      </w:pPr>
      <w:r>
        <w:t xml:space="preserve">In addition to the “Squirrel/Darrel” vignette from </w:t>
      </w:r>
      <w:proofErr w:type="spellStart"/>
      <w:r>
        <w:t>Turri</w:t>
      </w:r>
      <w:proofErr w:type="spellEnd"/>
      <w:r>
        <w:t xml:space="preserve"> et al. (2015), two vignettes were selected on the basis of their similarity to the original vignette, their quality, and their prevalence in the literature: the “Fake Barn/Gerald” vignette (</w:t>
      </w:r>
      <w:proofErr w:type="spellStart"/>
      <w:r>
        <w:t>Cola</w:t>
      </w:r>
      <w:r w:rsidR="00CA24CF">
        <w:t>ço</w:t>
      </w:r>
      <w:proofErr w:type="spellEnd"/>
      <w:r>
        <w:t xml:space="preserve"> et al., 2014; altered to more closely match the “Squirrel/Darrel” vignette), and the “Diamond/Emma” vignette (Nagel, San Juan, et al., 2013). The vignettes as administered in this study are reported in full in Appendix B. The vignettes were pretested for how effectively they manipulated the target construct and how much participants comprehended them (see </w:t>
      </w:r>
      <w:hyperlink r:id="rId15">
        <w:r>
          <w:rPr>
            <w:color w:val="1155CC"/>
            <w:u w:val="single"/>
          </w:rPr>
          <w:t>https://osf.io/3ygsk/</w:t>
        </w:r>
      </w:hyperlink>
      <w:r>
        <w:t xml:space="preserve">). Four student-lead teams participated in an optional extension that included a fourth vignette after the main study protocol to test the </w:t>
      </w:r>
      <w:r>
        <w:lastRenderedPageBreak/>
        <w:t xml:space="preserve">effects of perceived expertise on Gettier intuitions (see Larkin &amp; </w:t>
      </w:r>
      <w:proofErr w:type="spellStart"/>
      <w:r>
        <w:t>Andreychik</w:t>
      </w:r>
      <w:proofErr w:type="spellEnd"/>
      <w:r>
        <w:t>, 2019). However, we did not use the data from this extension in any of the analyses reported in this paper.</w:t>
      </w:r>
    </w:p>
    <w:p w14:paraId="4961E905" w14:textId="77777777" w:rsidR="00E03554" w:rsidRDefault="00DF0CFA">
      <w:pPr>
        <w:spacing w:after="160"/>
        <w:ind w:firstLine="720"/>
      </w:pPr>
      <w:r>
        <w:t xml:space="preserve">For each vignette, participants were randomly assigned without replacement to one of three conditions: a Gettier-type case condition in which the vignette subject correctly identified the target, but not due to the reason they thought it to be true (i.e., the “Threat” condition for </w:t>
      </w:r>
      <w:proofErr w:type="spellStart"/>
      <w:r>
        <w:t>Turri</w:t>
      </w:r>
      <w:proofErr w:type="spellEnd"/>
      <w:r>
        <w:t xml:space="preserve"> et al., 2015), a knowledge control condition in which the subject correctly identified the target due to their knowledge (i.e., the “No Threat” condition for </w:t>
      </w:r>
      <w:proofErr w:type="spellStart"/>
      <w:r>
        <w:t>Turri</w:t>
      </w:r>
      <w:proofErr w:type="spellEnd"/>
      <w:r>
        <w:t xml:space="preserve"> et al.), and an ignorance control condition in which the protagonist incorrectly identified the target (i.e., the “No Detection” condition for </w:t>
      </w:r>
      <w:proofErr w:type="spellStart"/>
      <w:r>
        <w:t>Turri</w:t>
      </w:r>
      <w:proofErr w:type="spellEnd"/>
      <w:r>
        <w:t xml:space="preserve"> et al.).</w:t>
      </w:r>
    </w:p>
    <w:p w14:paraId="4C353D4E" w14:textId="77777777" w:rsidR="00E03554" w:rsidRDefault="00DF0CFA">
      <w:pPr>
        <w:pStyle w:val="Heading3"/>
        <w:rPr>
          <w:color w:val="000000"/>
        </w:rPr>
      </w:pPr>
      <w:bookmarkStart w:id="21" w:name="_h2wgcmwor9bg" w:colFirst="0" w:colLast="0"/>
      <w:bookmarkEnd w:id="21"/>
      <w:r>
        <w:rPr>
          <w:color w:val="000000"/>
        </w:rPr>
        <w:t>Dependent Measures</w:t>
      </w:r>
    </w:p>
    <w:p w14:paraId="317DC708" w14:textId="77777777" w:rsidR="00E03554" w:rsidRDefault="00DF0CFA">
      <w:pPr>
        <w:spacing w:after="160"/>
        <w:ind w:firstLine="720"/>
      </w:pPr>
      <w:r>
        <w:t>After each vignette, two primary and two exploratory dependent variables were measured. In line with the approved protocol, all student-led teams included the default visual analog scale ranging from 0 to 100 for three of these variables (i.e., knowledge attributions, reasonableness judgments, and attributions to luck vs. ability). However, six teams also participated in an optional extension that randomly assigned participants to take the study with either entirely continuous scale measures or entirely binary choice measures for these variables.</w:t>
      </w:r>
      <w:r>
        <w:rPr>
          <w:vertAlign w:val="superscript"/>
        </w:rPr>
        <w:footnoteReference w:id="8"/>
      </w:r>
      <w:r>
        <w:t xml:space="preserve"> Overall, for each of the three measures, 86.52% of responses used in analyses were originally measured on the continuous scale. Exact question text is reported in Appendix B.</w:t>
      </w:r>
    </w:p>
    <w:p w14:paraId="414954C0" w14:textId="77777777" w:rsidR="00E03554" w:rsidRDefault="00DF0CFA">
      <w:pPr>
        <w:spacing w:after="160"/>
        <w:ind w:firstLine="720"/>
      </w:pPr>
      <w:r>
        <w:rPr>
          <w:b/>
        </w:rPr>
        <w:lastRenderedPageBreak/>
        <w:t>Knowledge Attributions</w:t>
      </w:r>
      <w:r>
        <w:rPr>
          <w:i/>
        </w:rPr>
        <w:t>.</w:t>
      </w:r>
      <w:r>
        <w:t xml:space="preserve"> Participants were asked whether the protagonist believes or knows the stated proposition.</w:t>
      </w:r>
    </w:p>
    <w:p w14:paraId="3545113C" w14:textId="77777777" w:rsidR="00E03554" w:rsidRDefault="00DF0CFA">
      <w:pPr>
        <w:spacing w:after="160"/>
        <w:ind w:firstLine="720"/>
      </w:pPr>
      <w:r>
        <w:rPr>
          <w:b/>
        </w:rPr>
        <w:t>Reasonableness Judgments</w:t>
      </w:r>
      <w:r>
        <w:rPr>
          <w:i/>
        </w:rPr>
        <w:t>.</w:t>
      </w:r>
      <w:r>
        <w:t xml:space="preserve"> Participants were asked to rate the extent to which the protagonist’s belief was unreasonable or reasonable.</w:t>
      </w:r>
    </w:p>
    <w:p w14:paraId="35B2E937" w14:textId="77777777" w:rsidR="00E03554" w:rsidRDefault="00DF0CFA">
      <w:pPr>
        <w:spacing w:after="160"/>
        <w:ind w:firstLine="720"/>
      </w:pPr>
      <w:r>
        <w:rPr>
          <w:b/>
        </w:rPr>
        <w:t>Luck/Ability Attributions.</w:t>
      </w:r>
      <w:r>
        <w:t xml:space="preserve"> For this exploratory measure, participants were asked two questions relevant for evaluating their attributions of outcomes to luck or ability. First, participants were asked whether or not the protagonist got the “right” or “wrong” answer (binary choice in all cases). Then, participants were asked whether the protagonist’s “right” or “wrong” answer was due to their ability/inability or their good luck/bad luck on one of the two scales. If participants selected the incorrect answer to the first part of the question, they were subsequently excluded from the luck attribution analyses only - given that their response indicated that they did not comprehend whether or not the protagonist held the given true belief.</w:t>
      </w:r>
    </w:p>
    <w:p w14:paraId="2BA9A239" w14:textId="77777777" w:rsidR="00E03554" w:rsidRDefault="00DF0CFA">
      <w:pPr>
        <w:spacing w:after="160"/>
        <w:ind w:firstLine="720"/>
      </w:pPr>
      <w:r>
        <w:rPr>
          <w:b/>
        </w:rPr>
        <w:t>Alternative Knowledge Attribution</w:t>
      </w:r>
      <w:r>
        <w:rPr>
          <w:i/>
        </w:rPr>
        <w:t>.</w:t>
      </w:r>
      <w:r>
        <w:t xml:space="preserve"> In addition, participants were asked an alternative knowledge probe in which participants chose whether the protagonist either knew what the target of identification was or felt like they knew what the target was but did not actually know (binary choice in all cases). For example, participants were asked, “In your view, which of the following sentences better describes Darrel’s situation?” after the Darrel vignette. Participants could then select one of two response options: “Darrel knows that the animal he saw is a red speckled ground squirrel.” or “Darrel feels like he knows that the animal he saw is a red speckled ground squirrel, but he doesn’t actually know that it is.”</w:t>
      </w:r>
    </w:p>
    <w:p w14:paraId="25C123E0" w14:textId="77777777" w:rsidR="00E03554" w:rsidRDefault="00DF0CFA">
      <w:pPr>
        <w:pStyle w:val="Heading3"/>
        <w:rPr>
          <w:color w:val="000000"/>
        </w:rPr>
      </w:pPr>
      <w:bookmarkStart w:id="22" w:name="_19xijewvumrz" w:colFirst="0" w:colLast="0"/>
      <w:bookmarkEnd w:id="22"/>
      <w:r>
        <w:rPr>
          <w:color w:val="000000"/>
        </w:rPr>
        <w:lastRenderedPageBreak/>
        <w:t>Demographics and Participation Characteristics</w:t>
      </w:r>
    </w:p>
    <w:p w14:paraId="7D8A0091" w14:textId="77777777" w:rsidR="00E03554" w:rsidRDefault="00DF0CFA">
      <w:pPr>
        <w:spacing w:after="160"/>
        <w:ind w:firstLine="720"/>
      </w:pPr>
      <w:r>
        <w:t>Participants were asked to report their age, gender, geopolitical region (i.e., “What country do you currently live in?”, “What is your country of birth?”), the number of years they had attended school, and their race or ethnicity. Because of differences in how student-led teams measured these items, we matched item answers across different implementations of the survey. Participants also completed a 12-question study experience questionnaire that was not used in analyses (see Appendix C).</w:t>
      </w:r>
    </w:p>
    <w:p w14:paraId="3244C3B9" w14:textId="77777777" w:rsidR="00E03554" w:rsidRDefault="00DF0CFA">
      <w:pPr>
        <w:spacing w:after="160"/>
        <w:ind w:firstLine="720"/>
      </w:pPr>
      <w:r>
        <w:rPr>
          <w:b/>
        </w:rPr>
        <w:t>Education Level</w:t>
      </w:r>
      <w:r>
        <w:rPr>
          <w:i/>
        </w:rPr>
        <w:t>.</w:t>
      </w:r>
      <w:r>
        <w:t xml:space="preserve"> All participants were asked a question about their education. Participants who completed the survey in </w:t>
      </w:r>
      <w:proofErr w:type="spellStart"/>
      <w:r>
        <w:t>SocSciSurvey</w:t>
      </w:r>
      <w:proofErr w:type="spellEnd"/>
      <w:r>
        <w:t xml:space="preserve"> were asked about the number of years they had been in school (truncated at 18). Participants who completed the survey in Qualtrics were asked about their educational attainment. Education (in years) was imputed for participants who reported their educational attainment </w:t>
      </w:r>
      <w:proofErr w:type="gramStart"/>
      <w:r>
        <w:t>from  these</w:t>
      </w:r>
      <w:proofErr w:type="gramEnd"/>
      <w:r>
        <w:t xml:space="preserve"> three sites (</w:t>
      </w:r>
      <w:r>
        <w:rPr>
          <w:i/>
        </w:rPr>
        <w:t>n</w:t>
      </w:r>
      <w:r>
        <w:t xml:space="preserve"> = 553).</w:t>
      </w:r>
      <w:r>
        <w:rPr>
          <w:vertAlign w:val="superscript"/>
        </w:rPr>
        <w:footnoteReference w:id="9"/>
      </w:r>
      <w:r>
        <w:t xml:space="preserve"> The years of education for these sites was also truncated to match how this item was measured in </w:t>
      </w:r>
      <w:proofErr w:type="spellStart"/>
      <w:r>
        <w:t>SocSciSurvey</w:t>
      </w:r>
      <w:proofErr w:type="spellEnd"/>
      <w:r>
        <w:t>, such that any value above 17 was recoded as 18.</w:t>
      </w:r>
    </w:p>
    <w:p w14:paraId="13154C3A" w14:textId="77777777" w:rsidR="00E03554" w:rsidRDefault="00DF0CFA">
      <w:pPr>
        <w:spacing w:after="160"/>
        <w:ind w:firstLine="720"/>
      </w:pPr>
      <w:r>
        <w:rPr>
          <w:b/>
        </w:rPr>
        <w:t>Compensation</w:t>
      </w:r>
      <w:r>
        <w:rPr>
          <w:i/>
        </w:rPr>
        <w:t>.</w:t>
      </w:r>
      <w:r>
        <w:t xml:space="preserve"> Participants were asked whether or not they were compensated for their participation (“Will you receive any kind of compensation or reward for taking part in this study?”), and indicated the type of compensation (e.g., the number of course credits, the amount of money). Some student-led teams opted not to include this question in their survey because all participants were compensated the same way. The method of compensation described in the </w:t>
      </w:r>
      <w:r>
        <w:lastRenderedPageBreak/>
        <w:t>protocol was imputed for those missing responses for the compensation question for these reasons. Among participants who were asked about their compensation, responses were sometimes missing or discrepant with the documented method of compensation. For student-led teams where fewer than 50% of participants in the final dataset agreed on a method of compensation, the method of compensation described in the data collection site’s approved IRB protocol was imputed for all participants (if a single method of compensation was described).</w:t>
      </w:r>
    </w:p>
    <w:p w14:paraId="331A1381" w14:textId="77777777" w:rsidR="00E03554" w:rsidRDefault="00DF0CFA">
      <w:pPr>
        <w:spacing w:after="160"/>
        <w:ind w:firstLine="720"/>
      </w:pPr>
      <w:r>
        <w:rPr>
          <w:b/>
        </w:rPr>
        <w:t xml:space="preserve">Comprehension and Language Proficiency. </w:t>
      </w:r>
      <w:r>
        <w:t>Participants were asked to indicate the true correct answer for each vignette as a comprehension check that was used for listwise exclusions. Participants were also asked to rate their proficiency for the survey language. The original paper asked participants whether they were native English speakers, but did not seem to exclude participants on this basis. Given that the tasks in the present study were highly dependent on language comprehension and proficiency, and that participants had a 12.5% chance (i.e., 1 in 8) of passing all three comprehension questions based on guesses, we decided an additional check of self-reported language proficiency would be helpful in excluding participants who did not or may not have understood the task completely.</w:t>
      </w:r>
    </w:p>
    <w:p w14:paraId="0A6B0BD1" w14:textId="77777777" w:rsidR="00E03554" w:rsidRDefault="00DF0CFA">
      <w:pPr>
        <w:spacing w:after="160"/>
        <w:ind w:firstLine="720"/>
        <w:rPr>
          <w:rFonts w:ascii="Helvetica Neue" w:eastAsia="Helvetica Neue" w:hAnsi="Helvetica Neue" w:cs="Helvetica Neue"/>
          <w:sz w:val="21"/>
          <w:szCs w:val="21"/>
        </w:rPr>
      </w:pPr>
      <w:r>
        <w:rPr>
          <w:b/>
        </w:rPr>
        <w:t xml:space="preserve">Prior Participation and Knowledge of Study. </w:t>
      </w:r>
      <w:r>
        <w:t xml:space="preserve">We also asked participants to describe what they thought the hypothesis of the study was (used for exclusions), to provide their impression of study materials (not used in any analyses), and whether they had participated in a similar study (used for exclusions). The original study did not contain these three questions, but the researchers completely excluded Amazon Mechanical Turk workers if they had already participated. Evaluating the hypothesis and prior participation exclusion criterion required subjective judgments about open-ended responses. Each non-missing observation was evaluated by three raters who spoke the language of the provided response. These three raters did not </w:t>
      </w:r>
      <w:r>
        <w:lastRenderedPageBreak/>
        <w:t xml:space="preserve">translate responses, but instead directly evaluated responses with respect to the exclusion criteria. Responses marked “yes” (i.e., meets criteria) were assigned 2 points, responses marked “maybe” (i.e., may meet criteria) were assigned 1 point, and responses marked as “no” (i.e., does not meet criteria) were assigned 0 points. After summing points for each response across the three raters, we excluded cases with 4 or more points on either response. See Appendix D for the instructions given to raters and </w:t>
      </w:r>
      <w:hyperlink r:id="rId16">
        <w:r>
          <w:t>http://osf.io/gs29c</w:t>
        </w:r>
      </w:hyperlink>
      <w:r>
        <w:t xml:space="preserve"> for the ratings data. Responses identified by raters as test cases (e.g., “TEST”) were excluded (study purpose </w:t>
      </w:r>
      <w:r>
        <w:rPr>
          <w:i/>
        </w:rPr>
        <w:t xml:space="preserve">n </w:t>
      </w:r>
      <w:r>
        <w:t xml:space="preserve">= 222; previously participated </w:t>
      </w:r>
      <w:r>
        <w:rPr>
          <w:i/>
        </w:rPr>
        <w:t>n</w:t>
      </w:r>
      <w:r>
        <w:t xml:space="preserve"> = 170).</w:t>
      </w:r>
      <w:r>
        <w:rPr>
          <w:vertAlign w:val="superscript"/>
        </w:rPr>
        <w:footnoteReference w:id="10"/>
      </w:r>
      <w:r>
        <w:t xml:space="preserve"> Responses that were not coherent were labeled, but not excluded (study purpose </w:t>
      </w:r>
      <w:r>
        <w:rPr>
          <w:i/>
        </w:rPr>
        <w:t xml:space="preserve">n </w:t>
      </w:r>
      <w:r>
        <w:t xml:space="preserve">= 5; previously participated </w:t>
      </w:r>
      <w:r>
        <w:rPr>
          <w:i/>
        </w:rPr>
        <w:t xml:space="preserve">n </w:t>
      </w:r>
      <w:r>
        <w:t>= 3).</w:t>
      </w:r>
    </w:p>
    <w:p w14:paraId="47B0FD22" w14:textId="77777777" w:rsidR="00E03554" w:rsidRDefault="00DF0CFA">
      <w:pPr>
        <w:pStyle w:val="Heading2"/>
        <w:keepNext w:val="0"/>
        <w:keepLines w:val="0"/>
        <w:spacing w:before="300" w:line="264" w:lineRule="auto"/>
        <w:rPr>
          <w:color w:val="000000"/>
        </w:rPr>
      </w:pPr>
      <w:bookmarkStart w:id="23" w:name="_ro43x49am8he" w:colFirst="0" w:colLast="0"/>
      <w:bookmarkEnd w:id="23"/>
      <w:r>
        <w:rPr>
          <w:color w:val="000000"/>
        </w:rPr>
        <w:t>Procedure</w:t>
      </w:r>
    </w:p>
    <w:p w14:paraId="6BEBE1A2" w14:textId="77777777" w:rsidR="00E03554" w:rsidRDefault="00DF0CFA">
      <w:pPr>
        <w:spacing w:before="300"/>
        <w:ind w:firstLine="720"/>
      </w:pPr>
      <w:r>
        <w:t xml:space="preserve">After providing informed consent, participants read and answered questions about three vignettes that described counterfeit object cases. Each participant read and responded to one vignette for each protagonist and one for each knowledge condition. The random assignment of vignette and knowledge condition was executed by random presentation features in </w:t>
      </w:r>
      <w:proofErr w:type="spellStart"/>
      <w:r>
        <w:t>SocSciSurvey</w:t>
      </w:r>
      <w:proofErr w:type="spellEnd"/>
      <w:r>
        <w:t xml:space="preserve"> and Qualtrics. For each vignette, participants evaluated the protagonist’s knowledge on the knowledge attribution, reasonableness judgment, luck attribution, and other measures. Next, participants answered questions related to data exclusion criteria, demographics, and their experience completing the study. Finally, participants were debriefed and compensated if applicable.</w:t>
      </w:r>
    </w:p>
    <w:p w14:paraId="533BED5A" w14:textId="77777777" w:rsidR="00E03554" w:rsidRDefault="00DF0CFA">
      <w:pPr>
        <w:pStyle w:val="Heading2"/>
        <w:keepNext w:val="0"/>
        <w:keepLines w:val="0"/>
        <w:spacing w:before="300" w:line="264" w:lineRule="auto"/>
        <w:rPr>
          <w:color w:val="000000"/>
        </w:rPr>
      </w:pPr>
      <w:bookmarkStart w:id="24" w:name="_v7w7cdmgy1kp" w:colFirst="0" w:colLast="0"/>
      <w:bookmarkEnd w:id="24"/>
      <w:r>
        <w:rPr>
          <w:color w:val="000000"/>
        </w:rPr>
        <w:t>Analytic Approach</w:t>
      </w:r>
    </w:p>
    <w:p w14:paraId="3D0D65F2" w14:textId="77777777" w:rsidR="00E03554" w:rsidRDefault="00DF0CFA">
      <w:pPr>
        <w:spacing w:after="160"/>
        <w:ind w:firstLine="720"/>
      </w:pPr>
      <w:r>
        <w:lastRenderedPageBreak/>
        <w:t xml:space="preserve">Analyses were conducted on combined raw data collected in </w:t>
      </w:r>
      <w:proofErr w:type="spellStart"/>
      <w:r>
        <w:t>SocSciSurvey</w:t>
      </w:r>
      <w:proofErr w:type="spellEnd"/>
      <w:r>
        <w:t xml:space="preserve"> and Qualtrics. In the original protocol, we planned to evaluate the quality of each student-led team’s data, including the raw data, analysis scripts, codebooks, cleaned data sets, and narrative summaries of results. We also planned that data would be included in analyses only if these products passed a quality check; however, the original protocol did not describe clear criteria that would be used to detect and correct errors. In order to conduct reproducible, transparent analyses, we chose not to exclude data from teams who failed to meet the target sample size or did not submit their work for final CREP review. Because of the strict data quality exclusions implemented at the level of participant, we were not concerned about team level variation in data quality. A summary of how the teams independently analyzed their data (i.e., the test used for the effect of condition on knowledge attribution) is reported in the last column of Table 1, and those results can be found on their OSF pages.</w:t>
      </w:r>
    </w:p>
    <w:p w14:paraId="460CBCFF" w14:textId="77777777" w:rsidR="00E03554" w:rsidRDefault="00DF0CFA">
      <w:pPr>
        <w:pStyle w:val="Heading3"/>
        <w:rPr>
          <w:color w:val="000000"/>
        </w:rPr>
      </w:pPr>
      <w:bookmarkStart w:id="25" w:name="_b3op5mtqqhey" w:colFirst="0" w:colLast="0"/>
      <w:bookmarkEnd w:id="25"/>
      <w:r>
        <w:rPr>
          <w:color w:val="000000"/>
        </w:rPr>
        <w:t>Multilevel Models</w:t>
      </w:r>
    </w:p>
    <w:p w14:paraId="71BB526F" w14:textId="77777777" w:rsidR="00E03554" w:rsidRDefault="00DF0CFA">
      <w:pPr>
        <w:spacing w:after="160"/>
        <w:ind w:firstLine="720"/>
      </w:pPr>
      <w:r>
        <w:t>Multilevel models were used to evaluate our hypotheses. The unit of analysis was the question response, and cross-classified random intercepts for the vignette, participant, and data collection site were included to account for the nesting of responses within these groups.</w:t>
      </w:r>
      <w:r>
        <w:rPr>
          <w:vertAlign w:val="superscript"/>
        </w:rPr>
        <w:footnoteReference w:id="11"/>
      </w:r>
      <w:r>
        <w:t xml:space="preserve"> Exact model specification can be found at </w:t>
      </w:r>
      <w:hyperlink r:id="rId17">
        <w:r>
          <w:t>https://osf.io/8ut6e/</w:t>
        </w:r>
      </w:hyperlink>
      <w:r>
        <w:t>.</w:t>
      </w:r>
    </w:p>
    <w:p w14:paraId="3A565753" w14:textId="77777777" w:rsidR="00E03554" w:rsidRDefault="00DF0CFA">
      <w:pPr>
        <w:pStyle w:val="Heading3"/>
        <w:ind w:firstLine="720"/>
        <w:rPr>
          <w:b w:val="0"/>
          <w:i w:val="0"/>
          <w:color w:val="000000"/>
        </w:rPr>
      </w:pPr>
      <w:bookmarkStart w:id="26" w:name="_da24205o2vkx" w:colFirst="0" w:colLast="0"/>
      <w:bookmarkEnd w:id="26"/>
      <w:r>
        <w:rPr>
          <w:i w:val="0"/>
          <w:color w:val="000000"/>
        </w:rPr>
        <w:lastRenderedPageBreak/>
        <w:t xml:space="preserve">Assumptions and Transformations. </w:t>
      </w:r>
      <w:r>
        <w:rPr>
          <w:b w:val="0"/>
          <w:i w:val="0"/>
          <w:color w:val="000000"/>
        </w:rPr>
        <w:t>While the approved protocol described testing assumptions before conducting analyses, it did not detail criteria that would be used for testing assumptions or approaches to handling model convergence issues. No convergence issues emerged during analyses. Here we describe the approach taken to test assumptions. Assumptions of and related to linearity are primarily relevant for the analysis of the continuously measured dependent variables. The continuous knowledge attribution variable was dramatically bimodal (see Figure 2).</w:t>
      </w:r>
    </w:p>
    <w:p w14:paraId="1D60CD51" w14:textId="77777777" w:rsidR="00E03554" w:rsidRDefault="00DF0CFA">
      <w:pPr>
        <w:spacing w:after="160"/>
        <w:ind w:firstLine="720"/>
        <w:rPr>
          <w:color w:val="333333"/>
        </w:rPr>
      </w:pPr>
      <w:r>
        <w:t>Distributions of knowledge attribution by vignette and experimental condition were also dramatically bimodal. A linear model that predicted continuously measured knowledge attribution as a function of condition, with covariates of compensation, age, gender, and education, produced a bimodal residual distribution, indicating a violation of the residual normality assumption. Further, a plot of residuals by fitted values suggested that residuals varied as a function of predicted values, suggesting a violation of the homoscedasticity assumption. Similar patterns of results suggested that the assumptions of linear regression were also not met for continuously measured reasonableness (bimodal) or luck/ability variables (heavily skewed).</w:t>
      </w:r>
    </w:p>
    <w:p w14:paraId="25B15ED0" w14:textId="77777777" w:rsidR="00E03554" w:rsidRDefault="00DF0CFA">
      <w:pPr>
        <w:rPr>
          <w:b/>
        </w:rPr>
      </w:pPr>
      <w:r>
        <w:rPr>
          <w:b/>
        </w:rPr>
        <w:t>Figure 2</w:t>
      </w:r>
    </w:p>
    <w:p w14:paraId="208F28DB" w14:textId="77777777" w:rsidR="00E03554" w:rsidRDefault="00DF0CFA">
      <w:pPr>
        <w:rPr>
          <w:i/>
        </w:rPr>
      </w:pPr>
      <w:r>
        <w:rPr>
          <w:i/>
        </w:rPr>
        <w:t>Knowledge Attribution Visual Analogue Scores by Vignette and Condition</w:t>
      </w:r>
    </w:p>
    <w:p w14:paraId="2F1F247D" w14:textId="77777777" w:rsidR="00E03554" w:rsidRDefault="00DF0CFA">
      <w:pPr>
        <w:rPr>
          <w:i/>
        </w:rPr>
      </w:pPr>
      <w:r>
        <w:rPr>
          <w:i/>
          <w:noProof/>
          <w:lang w:val="en-US"/>
        </w:rPr>
        <w:lastRenderedPageBreak/>
        <w:drawing>
          <wp:inline distT="114300" distB="114300" distL="114300" distR="114300" wp14:anchorId="660AD449" wp14:editId="487EF0D3">
            <wp:extent cx="5943600" cy="4241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43600" cy="4241800"/>
                    </a:xfrm>
                    <a:prstGeom prst="rect">
                      <a:avLst/>
                    </a:prstGeom>
                    <a:ln/>
                  </pic:spPr>
                </pic:pic>
              </a:graphicData>
            </a:graphic>
          </wp:inline>
        </w:drawing>
      </w:r>
    </w:p>
    <w:p w14:paraId="58C79B76" w14:textId="77777777" w:rsidR="00E03554" w:rsidRDefault="00E03554">
      <w:pPr>
        <w:spacing w:after="160"/>
        <w:ind w:firstLine="720"/>
      </w:pPr>
    </w:p>
    <w:p w14:paraId="7CA3E5B7" w14:textId="77777777" w:rsidR="00E03554" w:rsidRDefault="00DF0CFA">
      <w:pPr>
        <w:spacing w:after="160"/>
        <w:ind w:firstLine="720"/>
      </w:pPr>
      <w:r>
        <w:t>Transforming continuous variables into discrete variables for analysis is not generally recommended (MacCallum et al., 2002; Maxwell &amp; Delaney, 1993). For the present analyses, however, this approach was necessary due to the already bimodal distribution of the dependent variables. Thus, we split the continuously measured versions of the three dependent variables such that scores at and below 40 and scores at and above 60 were classified into discrete categories. Higher scores were coded as 1 to indicate knowledge, reasonableness, or ability, and lower scores were coded as 0 to indicate belief, unreasonableness, or luck. Using this approach resulted in minimal data loss. Of non-missing responses on each continuous measure, 359 (2.87</w:t>
      </w:r>
      <w:proofErr w:type="gramStart"/>
      <w:r>
        <w:t>%)  responses</w:t>
      </w:r>
      <w:proofErr w:type="gramEnd"/>
      <w:r>
        <w:t xml:space="preserve"> were dropped for the knowledge attribution variable, 279 (2.23%) responses were dropped for the reasonableness attribution variable, and 683 (5.85%) responses were </w:t>
      </w:r>
      <w:r>
        <w:lastRenderedPageBreak/>
        <w:t>dropped for the luck attribution variable. This approach allowed us to validly interpret model results and also test whether the method of measurement (continuous or binary) affected results.</w:t>
      </w:r>
    </w:p>
    <w:p w14:paraId="36B0943E" w14:textId="77777777" w:rsidR="00E03554" w:rsidRDefault="00DF0CFA">
      <w:pPr>
        <w:spacing w:after="160"/>
        <w:ind w:firstLine="720"/>
      </w:pPr>
      <w:r>
        <w:rPr>
          <w:b/>
        </w:rPr>
        <w:t>Model Steps</w:t>
      </w:r>
      <w:r>
        <w:rPr>
          <w:i/>
        </w:rPr>
        <w:t>.</w:t>
      </w:r>
      <w:r>
        <w:t xml:space="preserve"> A series of multilevel logistic regression models were fit predicting knowledge attributions and reasonableness judgments. Transformed and originally binary responses were analyzed together. Each model was fit including all participants with no missing data on that model’s variables. After estimating a baseline intercept-only model (Model 1), we fit models with random intercepts for vignette (Model 2), person (Model 3), and data collection site (Model 4) added sequentially. In Model 5, participant age, compensation, gender, and education (in years) were added as fixed effects. These variables served as covariates and were included in our original analysis plan due to previous research that demonstrated their impact on knowledge attribution. Finally, the knowledge condition variable was added in Model 6. To see if the effect of condition varied by vignette, the interaction between vignette and condition was added as a fixed effect in Model 6A. Additional models were fit to test the moderating effects of participant source (Model 6B; </w:t>
      </w:r>
      <w:proofErr w:type="spellStart"/>
      <w:r>
        <w:t>mTurk</w:t>
      </w:r>
      <w:proofErr w:type="spellEnd"/>
      <w:r>
        <w:t xml:space="preserve"> vs. lab), luck attributions (Model 6C; luck vs. ability), and the original measurement scale (Model 6D; binary vs. continuous). The conceptual models presented in 1-6B were pre-registered, maintaining independent and random effects variables in the updated analysis plan. Model 6D was added when the data screening indicated the VAS results were not continuous as expected and the dependent variables were dichotomized. The exact implementation of the multilevel models (i.e., model order, interpretation) were updated from our pre-registered plan to ensure appropriate statistical inference (see Appendix A for full details).</w:t>
      </w:r>
    </w:p>
    <w:p w14:paraId="2F33E49E" w14:textId="77777777" w:rsidR="00E03554" w:rsidRDefault="00DF0CFA">
      <w:pPr>
        <w:pStyle w:val="Heading1"/>
        <w:spacing w:after="160"/>
      </w:pPr>
      <w:bookmarkStart w:id="27" w:name="_h3ij8i2xcg85" w:colFirst="0" w:colLast="0"/>
      <w:bookmarkEnd w:id="27"/>
      <w:r>
        <w:lastRenderedPageBreak/>
        <w:t>Results</w:t>
      </w:r>
    </w:p>
    <w:p w14:paraId="74D64FEC" w14:textId="64512AAC" w:rsidR="00E03554" w:rsidRDefault="00DF0CFA">
      <w:pPr>
        <w:spacing w:after="160"/>
        <w:ind w:firstLine="720"/>
      </w:pPr>
      <w:r>
        <w:t xml:space="preserve"> To better test our research questions, we implemented analyses that differed from those we originally planned.</w:t>
      </w:r>
      <w:r>
        <w:rPr>
          <w:vertAlign w:val="superscript"/>
        </w:rPr>
        <w:footnoteReference w:id="12"/>
      </w:r>
      <w:r>
        <w:t xml:space="preserve"> All deviations are summarized in Appendix A. The results section as it appeared in the approved protocol is also included in Appendix A with updated statistics where possible. While the results below indicate components of the random structure (i.e., intercepts of participant and site) do not add or improve the model, we included these facets to match the pre-registered plan and to maintain independence of observations (i.e., participant intercepts are arguably necessary for a repeated measures design). For each focal model, we report the model fit statistics and parameter estimates. Parameter estimates for logistic models can be interpreted in a similar fashion to linear regression models: negative values indicate that increasing the predictor decreases the likelihood of the dependent variable (e.g., the choice coded as one, therefore, increasing the likelihood of the choice coded as zero), and positive values indicate increasing the predictor correspondingly increases the likelihood of the dependent variable (e.g., the choice coded as one). When predictors are also categorical, increasing the predictor indicates a comparison between the predictor group coded as zero and the predictor group coded as one. All pseudo-</w:t>
      </w:r>
      <w:r>
        <w:rPr>
          <w:i/>
        </w:rPr>
        <w:t>R</w:t>
      </w:r>
      <w:r>
        <w:rPr>
          <w:i/>
          <w:vertAlign w:val="superscript"/>
        </w:rPr>
        <w:t xml:space="preserve">2 </w:t>
      </w:r>
      <w:r>
        <w:t xml:space="preserve">values were calculated with the </w:t>
      </w:r>
      <w:proofErr w:type="spellStart"/>
      <w:r>
        <w:rPr>
          <w:i/>
        </w:rPr>
        <w:t>MuMIn</w:t>
      </w:r>
      <w:proofErr w:type="spellEnd"/>
      <w:r>
        <w:rPr>
          <w:i/>
        </w:rPr>
        <w:t xml:space="preserve"> </w:t>
      </w:r>
      <w:r>
        <w:t>package (</w:t>
      </w:r>
      <w:proofErr w:type="spellStart"/>
      <w:r>
        <w:t>Barto</w:t>
      </w:r>
      <w:r w:rsidR="00A544A7">
        <w:t>ń</w:t>
      </w:r>
      <w:proofErr w:type="spellEnd"/>
      <w:r>
        <w:t>, 2020) using formulas for fixed and random effects from Nakagawa</w:t>
      </w:r>
      <w:r w:rsidR="00A544A7">
        <w:t xml:space="preserve"> et al.</w:t>
      </w:r>
      <w:r>
        <w:t xml:space="preserve"> (2017). </w:t>
      </w:r>
    </w:p>
    <w:p w14:paraId="5CC4F85C" w14:textId="77777777" w:rsidR="00E03554" w:rsidRDefault="00DF0CFA">
      <w:pPr>
        <w:pStyle w:val="Heading2"/>
        <w:rPr>
          <w:color w:val="000000"/>
        </w:rPr>
      </w:pPr>
      <w:bookmarkStart w:id="28" w:name="_99qrl9fjnbhw" w:colFirst="0" w:colLast="0"/>
      <w:bookmarkEnd w:id="28"/>
      <w:r>
        <w:rPr>
          <w:color w:val="000000"/>
        </w:rPr>
        <w:lastRenderedPageBreak/>
        <w:t>Knowledge Attribution</w:t>
      </w:r>
    </w:p>
    <w:p w14:paraId="32EB3D0C" w14:textId="71A396B2" w:rsidR="00E03554" w:rsidRPr="00882514" w:rsidRDefault="00DF0CFA" w:rsidP="00882514">
      <w:pPr>
        <w:spacing w:after="160"/>
        <w:ind w:firstLine="720"/>
        <w:sectPr w:rsidR="00E03554" w:rsidRPr="00882514" w:rsidSect="00882514">
          <w:pgSz w:w="12240" w:h="15840"/>
          <w:pgMar w:top="1440" w:right="1440" w:bottom="1440" w:left="1440" w:header="720" w:footer="720" w:gutter="0"/>
          <w:pgNumType w:start="1"/>
          <w:cols w:space="720"/>
          <w:docGrid w:linePitch="326"/>
        </w:sectPr>
      </w:pPr>
      <w:r>
        <w:t xml:space="preserve">The goal of the present research was to provide a well-powered estimate of the magnitude and prevalence of Gettier intuitions (i.e., the difference in knowledge attribution between Gettier and knowledge conditions) across different vignettes and testing sites in a replication and extension of </w:t>
      </w:r>
      <w:proofErr w:type="spellStart"/>
      <w:r>
        <w:t>Turri</w:t>
      </w:r>
      <w:proofErr w:type="spellEnd"/>
      <w:r>
        <w:t xml:space="preserve"> et al., 2015. Models were fit in steps to determine whether participants attributed knowledge to the protagonist at different rates as a function of condition. See Table 4 for a summary of model results. Compared to the baseline Model 1 (AIC = 18881.09), the model including random intercepts for vignette (AIC = 17834.75) explained more variance (Pseudo-</w:t>
      </w:r>
      <w:r>
        <w:rPr>
          <w:i/>
        </w:rPr>
        <w:t>R</w:t>
      </w:r>
      <w:r>
        <w:rPr>
          <w:vertAlign w:val="superscript"/>
        </w:rPr>
        <w:t>2</w:t>
      </w:r>
      <w:r>
        <w:t xml:space="preserve"> = .08 - .10). Participants attributed knowledge most frequently in response to the Darrel vignette (52.16%) and least frequently in response to the Emma vignette (20.94%). See Table 5 for differences by vignette extracted from Model 2</w:t>
      </w:r>
      <w:r w:rsidR="00882514">
        <w:t>.</w:t>
      </w:r>
    </w:p>
    <w:p w14:paraId="0591B7AD" w14:textId="77777777" w:rsidR="00E03554" w:rsidRDefault="00DF0CFA">
      <w:pPr>
        <w:rPr>
          <w:b/>
        </w:rPr>
      </w:pPr>
      <w:r>
        <w:rPr>
          <w:b/>
        </w:rPr>
        <w:lastRenderedPageBreak/>
        <w:t>Table 4</w:t>
      </w:r>
    </w:p>
    <w:p w14:paraId="2BD93116" w14:textId="77777777" w:rsidR="00882514" w:rsidRDefault="00882514" w:rsidP="00882514">
      <w:pPr>
        <w:rPr>
          <w:i/>
        </w:rPr>
      </w:pPr>
      <w:r>
        <w:rPr>
          <w:i/>
        </w:rPr>
        <w:t>Knowledge Attribution Model Summaries</w:t>
      </w:r>
    </w:p>
    <w:tbl>
      <w:tblPr>
        <w:tblW w:w="13081"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1"/>
        <w:gridCol w:w="1542"/>
        <w:gridCol w:w="1543"/>
        <w:gridCol w:w="1543"/>
        <w:gridCol w:w="1543"/>
        <w:gridCol w:w="1543"/>
        <w:gridCol w:w="1543"/>
        <w:gridCol w:w="1543"/>
      </w:tblGrid>
      <w:tr w:rsidR="00882514" w14:paraId="062D568D" w14:textId="77777777" w:rsidTr="00EA09C7">
        <w:trPr>
          <w:trHeight w:val="240"/>
        </w:trPr>
        <w:tc>
          <w:tcPr>
            <w:tcW w:w="2281" w:type="dxa"/>
            <w:vMerge w:val="restart"/>
            <w:tcBorders>
              <w:top w:val="single" w:sz="8" w:space="0" w:color="auto"/>
              <w:left w:val="single" w:sz="4" w:space="0" w:color="FFFFFF"/>
              <w:bottom w:val="single" w:sz="8" w:space="0" w:color="auto"/>
              <w:right w:val="single" w:sz="4" w:space="0" w:color="FFFFFF"/>
            </w:tcBorders>
            <w:shd w:val="clear" w:color="auto" w:fill="auto"/>
            <w:vAlign w:val="center"/>
          </w:tcPr>
          <w:p w14:paraId="463CEDBC" w14:textId="77777777" w:rsidR="00882514" w:rsidRDefault="00882514" w:rsidP="00882514">
            <w:pPr>
              <w:spacing w:line="240" w:lineRule="auto"/>
              <w:rPr>
                <w:b/>
              </w:rPr>
            </w:pPr>
            <w:r w:rsidRPr="0016281E">
              <w:rPr>
                <w:b/>
                <w:sz w:val="22"/>
                <w:szCs w:val="22"/>
              </w:rPr>
              <w:t xml:space="preserve">Parameter Estimate or Statistic </w:t>
            </w:r>
          </w:p>
        </w:tc>
        <w:tc>
          <w:tcPr>
            <w:tcW w:w="10800" w:type="dxa"/>
            <w:gridSpan w:val="7"/>
            <w:tcBorders>
              <w:top w:val="single" w:sz="8" w:space="0" w:color="auto"/>
              <w:left w:val="single" w:sz="4" w:space="0" w:color="FFFFFF"/>
              <w:bottom w:val="single" w:sz="8" w:space="0" w:color="auto"/>
              <w:right w:val="nil"/>
            </w:tcBorders>
            <w:shd w:val="clear" w:color="auto" w:fill="auto"/>
          </w:tcPr>
          <w:p w14:paraId="2A792FD9" w14:textId="77777777" w:rsidR="00882514" w:rsidRPr="0016281E" w:rsidRDefault="00882514" w:rsidP="00882514">
            <w:pPr>
              <w:spacing w:line="240" w:lineRule="auto"/>
              <w:jc w:val="center"/>
              <w:rPr>
                <w:b/>
                <w:sz w:val="22"/>
                <w:szCs w:val="22"/>
              </w:rPr>
            </w:pPr>
            <w:r w:rsidRPr="0016281E">
              <w:rPr>
                <w:b/>
                <w:sz w:val="22"/>
                <w:szCs w:val="22"/>
              </w:rPr>
              <w:t>Model</w:t>
            </w:r>
          </w:p>
        </w:tc>
      </w:tr>
      <w:tr w:rsidR="00882514" w14:paraId="7CA0CFAB" w14:textId="77777777" w:rsidTr="00EA09C7">
        <w:trPr>
          <w:trHeight w:val="240"/>
        </w:trPr>
        <w:tc>
          <w:tcPr>
            <w:tcW w:w="2281" w:type="dxa"/>
            <w:vMerge/>
            <w:tcBorders>
              <w:left w:val="single" w:sz="4" w:space="0" w:color="FFFFFF"/>
              <w:bottom w:val="single" w:sz="8" w:space="0" w:color="auto"/>
              <w:right w:val="single" w:sz="4" w:space="0" w:color="FFFFFF"/>
            </w:tcBorders>
            <w:shd w:val="clear" w:color="auto" w:fill="auto"/>
            <w:vAlign w:val="center"/>
          </w:tcPr>
          <w:p w14:paraId="145E13FA" w14:textId="77777777" w:rsidR="00882514" w:rsidRDefault="00882514" w:rsidP="00882514">
            <w:pPr>
              <w:spacing w:line="240" w:lineRule="auto"/>
              <w:rPr>
                <w:b/>
              </w:rPr>
            </w:pPr>
          </w:p>
        </w:tc>
        <w:tc>
          <w:tcPr>
            <w:tcW w:w="1542" w:type="dxa"/>
            <w:tcBorders>
              <w:top w:val="single" w:sz="8" w:space="0" w:color="auto"/>
              <w:left w:val="single" w:sz="4" w:space="0" w:color="FFFFFF"/>
              <w:bottom w:val="single" w:sz="8" w:space="0" w:color="auto"/>
              <w:right w:val="single" w:sz="4" w:space="0" w:color="FFFFFF"/>
            </w:tcBorders>
            <w:shd w:val="clear" w:color="auto" w:fill="auto"/>
            <w:vAlign w:val="center"/>
          </w:tcPr>
          <w:p w14:paraId="78310C7F" w14:textId="77777777" w:rsidR="00882514" w:rsidRPr="0016281E" w:rsidRDefault="00882514" w:rsidP="00882514">
            <w:pPr>
              <w:spacing w:line="240" w:lineRule="auto"/>
              <w:jc w:val="center"/>
              <w:rPr>
                <w:b/>
                <w:sz w:val="22"/>
                <w:szCs w:val="22"/>
              </w:rPr>
            </w:pPr>
            <w:r w:rsidRPr="0016281E">
              <w:rPr>
                <w:b/>
                <w:sz w:val="22"/>
                <w:szCs w:val="22"/>
              </w:rPr>
              <w:t>1</w:t>
            </w:r>
          </w:p>
        </w:tc>
        <w:tc>
          <w:tcPr>
            <w:tcW w:w="1543" w:type="dxa"/>
            <w:tcBorders>
              <w:top w:val="single" w:sz="8" w:space="0" w:color="auto"/>
              <w:left w:val="single" w:sz="4" w:space="0" w:color="FFFFFF"/>
              <w:bottom w:val="single" w:sz="8" w:space="0" w:color="auto"/>
              <w:right w:val="single" w:sz="4" w:space="0" w:color="FFFFFF"/>
            </w:tcBorders>
            <w:shd w:val="clear" w:color="auto" w:fill="auto"/>
            <w:vAlign w:val="center"/>
          </w:tcPr>
          <w:p w14:paraId="0CB96A90" w14:textId="77777777" w:rsidR="00882514" w:rsidRPr="0016281E" w:rsidRDefault="00882514" w:rsidP="00882514">
            <w:pPr>
              <w:spacing w:line="240" w:lineRule="auto"/>
              <w:jc w:val="center"/>
              <w:rPr>
                <w:b/>
                <w:sz w:val="22"/>
                <w:szCs w:val="22"/>
              </w:rPr>
            </w:pPr>
            <w:r w:rsidRPr="0016281E">
              <w:rPr>
                <w:b/>
                <w:sz w:val="22"/>
                <w:szCs w:val="22"/>
              </w:rPr>
              <w:t>2</w:t>
            </w:r>
          </w:p>
        </w:tc>
        <w:tc>
          <w:tcPr>
            <w:tcW w:w="1543" w:type="dxa"/>
            <w:tcBorders>
              <w:top w:val="single" w:sz="8" w:space="0" w:color="auto"/>
              <w:left w:val="single" w:sz="4" w:space="0" w:color="FFFFFF"/>
              <w:bottom w:val="single" w:sz="8" w:space="0" w:color="auto"/>
              <w:right w:val="single" w:sz="4" w:space="0" w:color="FFFFFF"/>
            </w:tcBorders>
            <w:shd w:val="clear" w:color="auto" w:fill="auto"/>
            <w:vAlign w:val="center"/>
          </w:tcPr>
          <w:p w14:paraId="4039C4B2" w14:textId="77777777" w:rsidR="00882514" w:rsidRPr="0016281E" w:rsidRDefault="00882514" w:rsidP="00882514">
            <w:pPr>
              <w:spacing w:line="240" w:lineRule="auto"/>
              <w:jc w:val="center"/>
              <w:rPr>
                <w:b/>
                <w:sz w:val="22"/>
                <w:szCs w:val="22"/>
              </w:rPr>
            </w:pPr>
            <w:r w:rsidRPr="0016281E">
              <w:rPr>
                <w:b/>
                <w:sz w:val="22"/>
                <w:szCs w:val="22"/>
              </w:rPr>
              <w:t>3</w:t>
            </w:r>
          </w:p>
        </w:tc>
        <w:tc>
          <w:tcPr>
            <w:tcW w:w="1543" w:type="dxa"/>
            <w:tcBorders>
              <w:top w:val="single" w:sz="8" w:space="0" w:color="auto"/>
              <w:left w:val="single" w:sz="4" w:space="0" w:color="FFFFFF"/>
              <w:bottom w:val="single" w:sz="8" w:space="0" w:color="auto"/>
              <w:right w:val="single" w:sz="4" w:space="0" w:color="FFFFFF"/>
            </w:tcBorders>
            <w:shd w:val="clear" w:color="auto" w:fill="auto"/>
            <w:vAlign w:val="center"/>
          </w:tcPr>
          <w:p w14:paraId="033BA4DA" w14:textId="77777777" w:rsidR="00882514" w:rsidRPr="0016281E" w:rsidRDefault="00882514" w:rsidP="00882514">
            <w:pPr>
              <w:spacing w:line="240" w:lineRule="auto"/>
              <w:jc w:val="center"/>
              <w:rPr>
                <w:b/>
                <w:sz w:val="22"/>
                <w:szCs w:val="22"/>
              </w:rPr>
            </w:pPr>
            <w:r w:rsidRPr="0016281E">
              <w:rPr>
                <w:b/>
                <w:sz w:val="22"/>
                <w:szCs w:val="22"/>
              </w:rPr>
              <w:t>4</w:t>
            </w:r>
          </w:p>
        </w:tc>
        <w:tc>
          <w:tcPr>
            <w:tcW w:w="1543" w:type="dxa"/>
            <w:tcBorders>
              <w:top w:val="single" w:sz="8" w:space="0" w:color="auto"/>
              <w:left w:val="single" w:sz="4" w:space="0" w:color="FFFFFF"/>
              <w:bottom w:val="single" w:sz="8" w:space="0" w:color="auto"/>
              <w:right w:val="single" w:sz="4" w:space="0" w:color="FFFFFF"/>
            </w:tcBorders>
            <w:shd w:val="clear" w:color="auto" w:fill="auto"/>
            <w:vAlign w:val="center"/>
          </w:tcPr>
          <w:p w14:paraId="222FFDEA" w14:textId="77777777" w:rsidR="00882514" w:rsidRPr="0016281E" w:rsidRDefault="00882514" w:rsidP="00882514">
            <w:pPr>
              <w:spacing w:line="240" w:lineRule="auto"/>
              <w:jc w:val="center"/>
              <w:rPr>
                <w:b/>
                <w:sz w:val="22"/>
                <w:szCs w:val="22"/>
              </w:rPr>
            </w:pPr>
            <w:r w:rsidRPr="0016281E">
              <w:rPr>
                <w:b/>
                <w:sz w:val="22"/>
                <w:szCs w:val="22"/>
              </w:rPr>
              <w:t>5</w:t>
            </w:r>
          </w:p>
        </w:tc>
        <w:tc>
          <w:tcPr>
            <w:tcW w:w="1543" w:type="dxa"/>
            <w:tcBorders>
              <w:top w:val="single" w:sz="8" w:space="0" w:color="auto"/>
              <w:left w:val="single" w:sz="4" w:space="0" w:color="FFFFFF"/>
              <w:bottom w:val="single" w:sz="8" w:space="0" w:color="auto"/>
              <w:right w:val="single" w:sz="4" w:space="0" w:color="FFFFFF"/>
            </w:tcBorders>
            <w:shd w:val="clear" w:color="auto" w:fill="auto"/>
            <w:vAlign w:val="center"/>
          </w:tcPr>
          <w:p w14:paraId="262CAEC3" w14:textId="77777777" w:rsidR="00882514" w:rsidRPr="0016281E" w:rsidRDefault="00882514" w:rsidP="00882514">
            <w:pPr>
              <w:spacing w:line="240" w:lineRule="auto"/>
              <w:jc w:val="center"/>
              <w:rPr>
                <w:b/>
                <w:sz w:val="22"/>
                <w:szCs w:val="22"/>
              </w:rPr>
            </w:pPr>
            <w:r w:rsidRPr="0016281E">
              <w:rPr>
                <w:b/>
                <w:sz w:val="22"/>
                <w:szCs w:val="22"/>
              </w:rPr>
              <w:t>6</w:t>
            </w:r>
          </w:p>
        </w:tc>
        <w:tc>
          <w:tcPr>
            <w:tcW w:w="1543" w:type="dxa"/>
            <w:tcBorders>
              <w:top w:val="single" w:sz="8" w:space="0" w:color="auto"/>
              <w:left w:val="single" w:sz="4" w:space="0" w:color="FFFFFF"/>
              <w:bottom w:val="single" w:sz="8" w:space="0" w:color="auto"/>
              <w:right w:val="single" w:sz="4" w:space="0" w:color="FFFFFF"/>
            </w:tcBorders>
            <w:shd w:val="clear" w:color="auto" w:fill="auto"/>
            <w:vAlign w:val="center"/>
          </w:tcPr>
          <w:p w14:paraId="1B393487" w14:textId="77777777" w:rsidR="00882514" w:rsidRPr="0016281E" w:rsidRDefault="00882514" w:rsidP="00882514">
            <w:pPr>
              <w:tabs>
                <w:tab w:val="decimal" w:pos="164"/>
              </w:tabs>
              <w:spacing w:line="240" w:lineRule="auto"/>
              <w:jc w:val="center"/>
              <w:rPr>
                <w:b/>
                <w:sz w:val="22"/>
                <w:szCs w:val="22"/>
              </w:rPr>
            </w:pPr>
            <w:r w:rsidRPr="0016281E">
              <w:rPr>
                <w:b/>
                <w:sz w:val="22"/>
                <w:szCs w:val="22"/>
              </w:rPr>
              <w:t>6A</w:t>
            </w:r>
          </w:p>
        </w:tc>
      </w:tr>
      <w:tr w:rsidR="00882514" w14:paraId="2DC12772" w14:textId="77777777" w:rsidTr="00EA09C7">
        <w:trPr>
          <w:trHeight w:val="220"/>
        </w:trPr>
        <w:tc>
          <w:tcPr>
            <w:tcW w:w="2281" w:type="dxa"/>
            <w:tcBorders>
              <w:top w:val="single" w:sz="8" w:space="0" w:color="auto"/>
              <w:left w:val="single" w:sz="4" w:space="0" w:color="FFFFFF"/>
              <w:bottom w:val="single" w:sz="4" w:space="0" w:color="FFFFFF"/>
              <w:right w:val="single" w:sz="4" w:space="0" w:color="FFFFFF"/>
            </w:tcBorders>
            <w:shd w:val="clear" w:color="auto" w:fill="auto"/>
            <w:vAlign w:val="center"/>
          </w:tcPr>
          <w:p w14:paraId="404BCEE7" w14:textId="77777777" w:rsidR="00882514" w:rsidRDefault="00882514" w:rsidP="00882514">
            <w:pPr>
              <w:spacing w:line="240" w:lineRule="auto"/>
              <w:rPr>
                <w:sz w:val="20"/>
                <w:szCs w:val="20"/>
              </w:rPr>
            </w:pPr>
            <w:r>
              <w:rPr>
                <w:sz w:val="20"/>
                <w:szCs w:val="20"/>
              </w:rPr>
              <w:t>Fixed Effects</w:t>
            </w:r>
          </w:p>
        </w:tc>
        <w:tc>
          <w:tcPr>
            <w:tcW w:w="1542" w:type="dxa"/>
            <w:tcBorders>
              <w:top w:val="single" w:sz="8" w:space="0" w:color="auto"/>
              <w:left w:val="single" w:sz="4" w:space="0" w:color="FFFFFF"/>
              <w:bottom w:val="single" w:sz="4" w:space="0" w:color="FFFFFF"/>
              <w:right w:val="single" w:sz="4" w:space="0" w:color="FFFFFF"/>
            </w:tcBorders>
            <w:shd w:val="clear" w:color="auto" w:fill="auto"/>
            <w:vAlign w:val="center"/>
          </w:tcPr>
          <w:p w14:paraId="374D5075" w14:textId="77777777" w:rsidR="00882514" w:rsidRPr="00CD7BA5" w:rsidRDefault="00882514" w:rsidP="00882514">
            <w:pPr>
              <w:spacing w:line="240" w:lineRule="auto"/>
              <w:rPr>
                <w:sz w:val="20"/>
                <w:szCs w:val="20"/>
              </w:rPr>
            </w:pPr>
          </w:p>
        </w:tc>
        <w:tc>
          <w:tcPr>
            <w:tcW w:w="1543" w:type="dxa"/>
            <w:tcBorders>
              <w:top w:val="single" w:sz="8" w:space="0" w:color="auto"/>
              <w:left w:val="single" w:sz="4" w:space="0" w:color="FFFFFF"/>
              <w:bottom w:val="single" w:sz="4" w:space="0" w:color="FFFFFF"/>
              <w:right w:val="single" w:sz="4" w:space="0" w:color="FFFFFF"/>
            </w:tcBorders>
            <w:shd w:val="clear" w:color="auto" w:fill="auto"/>
            <w:vAlign w:val="center"/>
          </w:tcPr>
          <w:p w14:paraId="2C14587F" w14:textId="77777777" w:rsidR="00882514" w:rsidRPr="00CD7BA5" w:rsidRDefault="00882514" w:rsidP="00882514">
            <w:pPr>
              <w:spacing w:line="240" w:lineRule="auto"/>
              <w:rPr>
                <w:sz w:val="20"/>
                <w:szCs w:val="20"/>
              </w:rPr>
            </w:pPr>
          </w:p>
        </w:tc>
        <w:tc>
          <w:tcPr>
            <w:tcW w:w="1543" w:type="dxa"/>
            <w:tcBorders>
              <w:top w:val="single" w:sz="8" w:space="0" w:color="auto"/>
              <w:left w:val="single" w:sz="4" w:space="0" w:color="FFFFFF"/>
              <w:bottom w:val="single" w:sz="4" w:space="0" w:color="FFFFFF"/>
              <w:right w:val="single" w:sz="4" w:space="0" w:color="FFFFFF"/>
            </w:tcBorders>
            <w:shd w:val="clear" w:color="auto" w:fill="auto"/>
            <w:vAlign w:val="center"/>
          </w:tcPr>
          <w:p w14:paraId="2393B843" w14:textId="77777777" w:rsidR="00882514" w:rsidRPr="00CD7BA5" w:rsidRDefault="00882514" w:rsidP="00882514">
            <w:pPr>
              <w:spacing w:line="240" w:lineRule="auto"/>
              <w:rPr>
                <w:sz w:val="20"/>
                <w:szCs w:val="20"/>
              </w:rPr>
            </w:pPr>
          </w:p>
        </w:tc>
        <w:tc>
          <w:tcPr>
            <w:tcW w:w="1543" w:type="dxa"/>
            <w:tcBorders>
              <w:top w:val="single" w:sz="8" w:space="0" w:color="auto"/>
              <w:left w:val="single" w:sz="4" w:space="0" w:color="FFFFFF"/>
              <w:bottom w:val="single" w:sz="4" w:space="0" w:color="FFFFFF"/>
              <w:right w:val="single" w:sz="4" w:space="0" w:color="FFFFFF"/>
            </w:tcBorders>
            <w:shd w:val="clear" w:color="auto" w:fill="auto"/>
            <w:vAlign w:val="center"/>
          </w:tcPr>
          <w:p w14:paraId="751097B0" w14:textId="77777777" w:rsidR="00882514" w:rsidRPr="00CD7BA5" w:rsidRDefault="00882514" w:rsidP="00882514">
            <w:pPr>
              <w:spacing w:line="240" w:lineRule="auto"/>
              <w:rPr>
                <w:sz w:val="20"/>
                <w:szCs w:val="20"/>
              </w:rPr>
            </w:pPr>
          </w:p>
        </w:tc>
        <w:tc>
          <w:tcPr>
            <w:tcW w:w="1543" w:type="dxa"/>
            <w:tcBorders>
              <w:top w:val="single" w:sz="8" w:space="0" w:color="auto"/>
              <w:left w:val="single" w:sz="4" w:space="0" w:color="FFFFFF"/>
              <w:bottom w:val="single" w:sz="4" w:space="0" w:color="FFFFFF"/>
              <w:right w:val="single" w:sz="4" w:space="0" w:color="FFFFFF"/>
            </w:tcBorders>
            <w:shd w:val="clear" w:color="auto" w:fill="auto"/>
            <w:vAlign w:val="center"/>
          </w:tcPr>
          <w:p w14:paraId="1898215E" w14:textId="77777777" w:rsidR="00882514" w:rsidRPr="00CD7BA5" w:rsidRDefault="00882514" w:rsidP="00882514">
            <w:pPr>
              <w:spacing w:line="240" w:lineRule="auto"/>
              <w:rPr>
                <w:sz w:val="20"/>
                <w:szCs w:val="20"/>
              </w:rPr>
            </w:pPr>
          </w:p>
        </w:tc>
        <w:tc>
          <w:tcPr>
            <w:tcW w:w="1543" w:type="dxa"/>
            <w:tcBorders>
              <w:top w:val="single" w:sz="8" w:space="0" w:color="auto"/>
              <w:left w:val="single" w:sz="4" w:space="0" w:color="FFFFFF"/>
              <w:bottom w:val="single" w:sz="4" w:space="0" w:color="FFFFFF"/>
              <w:right w:val="single" w:sz="4" w:space="0" w:color="FFFFFF"/>
            </w:tcBorders>
            <w:shd w:val="clear" w:color="auto" w:fill="auto"/>
            <w:vAlign w:val="center"/>
          </w:tcPr>
          <w:p w14:paraId="1F44D251" w14:textId="77777777" w:rsidR="00882514" w:rsidRPr="00CD7BA5" w:rsidRDefault="00882514" w:rsidP="00882514">
            <w:pPr>
              <w:spacing w:line="240" w:lineRule="auto"/>
              <w:rPr>
                <w:sz w:val="20"/>
                <w:szCs w:val="20"/>
              </w:rPr>
            </w:pPr>
          </w:p>
        </w:tc>
        <w:tc>
          <w:tcPr>
            <w:tcW w:w="1543" w:type="dxa"/>
            <w:tcBorders>
              <w:top w:val="single" w:sz="8" w:space="0" w:color="auto"/>
              <w:left w:val="single" w:sz="4" w:space="0" w:color="FFFFFF"/>
              <w:bottom w:val="single" w:sz="4" w:space="0" w:color="FFFFFF"/>
              <w:right w:val="single" w:sz="4" w:space="0" w:color="FFFFFF"/>
            </w:tcBorders>
            <w:shd w:val="clear" w:color="auto" w:fill="auto"/>
          </w:tcPr>
          <w:p w14:paraId="2E4525A0" w14:textId="77777777" w:rsidR="00882514" w:rsidRPr="00CD7BA5" w:rsidRDefault="00882514" w:rsidP="00882514">
            <w:pPr>
              <w:tabs>
                <w:tab w:val="decimal" w:pos="164"/>
              </w:tabs>
              <w:spacing w:line="240" w:lineRule="auto"/>
              <w:rPr>
                <w:sz w:val="20"/>
                <w:szCs w:val="20"/>
              </w:rPr>
            </w:pPr>
          </w:p>
        </w:tc>
      </w:tr>
      <w:tr w:rsidR="00882514" w14:paraId="7CCEF101" w14:textId="77777777" w:rsidTr="00EA09C7">
        <w:trPr>
          <w:trHeight w:val="230"/>
        </w:trPr>
        <w:tc>
          <w:tcPr>
            <w:tcW w:w="2281"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612FC5B" w14:textId="77777777" w:rsidR="00882514" w:rsidRDefault="00882514" w:rsidP="00882514">
            <w:pPr>
              <w:spacing w:line="240" w:lineRule="auto"/>
              <w:ind w:left="-27" w:firstLine="222"/>
              <w:rPr>
                <w:sz w:val="20"/>
                <w:szCs w:val="20"/>
              </w:rPr>
            </w:pPr>
            <w:r>
              <w:rPr>
                <w:sz w:val="20"/>
                <w:szCs w:val="20"/>
              </w:rPr>
              <w:t>Intercept</w:t>
            </w:r>
          </w:p>
        </w:tc>
        <w:tc>
          <w:tcPr>
            <w:tcW w:w="154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16814E4" w14:textId="77777777" w:rsidR="00882514" w:rsidRPr="00CD7BA5" w:rsidRDefault="00882514" w:rsidP="00882514">
            <w:pPr>
              <w:spacing w:line="240" w:lineRule="auto"/>
              <w:rPr>
                <w:sz w:val="20"/>
                <w:szCs w:val="20"/>
              </w:rPr>
            </w:pPr>
            <w:r w:rsidRPr="00CD7BA5">
              <w:rPr>
                <w:sz w:val="20"/>
                <w:szCs w:val="20"/>
              </w:rPr>
              <w:t>-0.44 (0.02)***</w:t>
            </w: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0F61C8A" w14:textId="77777777" w:rsidR="00882514" w:rsidRPr="00CD7BA5" w:rsidRDefault="00882514" w:rsidP="00882514">
            <w:pPr>
              <w:spacing w:line="240" w:lineRule="auto"/>
              <w:jc w:val="center"/>
              <w:rPr>
                <w:sz w:val="20"/>
                <w:szCs w:val="20"/>
              </w:rPr>
            </w:pPr>
            <w:r w:rsidRPr="00CD7BA5">
              <w:rPr>
                <w:sz w:val="20"/>
                <w:szCs w:val="20"/>
              </w:rPr>
              <w:t>-0.49 (0.35)</w:t>
            </w: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CB185F7" w14:textId="77777777" w:rsidR="00882514" w:rsidRPr="00CD7BA5" w:rsidRDefault="00882514" w:rsidP="00882514">
            <w:pPr>
              <w:spacing w:line="240" w:lineRule="auto"/>
              <w:jc w:val="center"/>
              <w:rPr>
                <w:sz w:val="20"/>
                <w:szCs w:val="20"/>
              </w:rPr>
            </w:pPr>
            <w:r w:rsidRPr="00CD7BA5">
              <w:rPr>
                <w:sz w:val="20"/>
                <w:szCs w:val="20"/>
              </w:rPr>
              <w:t>-0.49 (0.35)</w:t>
            </w: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16D4409" w14:textId="77777777" w:rsidR="00882514" w:rsidRPr="00CD7BA5" w:rsidRDefault="00882514" w:rsidP="00882514">
            <w:pPr>
              <w:tabs>
                <w:tab w:val="decimal" w:pos="337"/>
              </w:tabs>
              <w:spacing w:line="240" w:lineRule="auto"/>
              <w:jc w:val="center"/>
              <w:rPr>
                <w:sz w:val="20"/>
                <w:szCs w:val="20"/>
              </w:rPr>
            </w:pPr>
            <w:r w:rsidRPr="00CD7BA5">
              <w:rPr>
                <w:sz w:val="20"/>
                <w:szCs w:val="20"/>
              </w:rPr>
              <w:t>-0.49 (0.35)</w:t>
            </w: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7D7F39F" w14:textId="77777777" w:rsidR="00882514" w:rsidRPr="00CD7BA5" w:rsidRDefault="00882514" w:rsidP="00882514">
            <w:pPr>
              <w:tabs>
                <w:tab w:val="decimal" w:pos="161"/>
              </w:tabs>
              <w:spacing w:line="240" w:lineRule="auto"/>
              <w:rPr>
                <w:sz w:val="20"/>
                <w:szCs w:val="20"/>
              </w:rPr>
            </w:pPr>
            <w:r w:rsidRPr="00CD7BA5">
              <w:rPr>
                <w:sz w:val="20"/>
                <w:szCs w:val="20"/>
              </w:rPr>
              <w:t>-0.37 (0.36)</w:t>
            </w: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2A9F93F" w14:textId="77777777" w:rsidR="00882514" w:rsidRPr="00CD7BA5" w:rsidRDefault="00882514" w:rsidP="00882514">
            <w:pPr>
              <w:tabs>
                <w:tab w:val="decimal" w:pos="168"/>
              </w:tabs>
              <w:spacing w:line="240" w:lineRule="auto"/>
              <w:jc w:val="both"/>
              <w:rPr>
                <w:sz w:val="20"/>
                <w:szCs w:val="20"/>
              </w:rPr>
            </w:pPr>
            <w:r w:rsidRPr="00CD7BA5">
              <w:rPr>
                <w:sz w:val="20"/>
                <w:szCs w:val="20"/>
              </w:rPr>
              <w:t>-0.18 (0.40)</w:t>
            </w:r>
          </w:p>
        </w:tc>
        <w:tc>
          <w:tcPr>
            <w:tcW w:w="1543" w:type="dxa"/>
            <w:tcBorders>
              <w:top w:val="single" w:sz="8" w:space="0" w:color="FFFFFF"/>
              <w:left w:val="single" w:sz="8" w:space="0" w:color="FFFFFF"/>
              <w:bottom w:val="single" w:sz="8" w:space="0" w:color="FFFFFF"/>
              <w:right w:val="single" w:sz="8" w:space="0" w:color="FFFFFF"/>
            </w:tcBorders>
            <w:shd w:val="clear" w:color="auto" w:fill="auto"/>
          </w:tcPr>
          <w:p w14:paraId="2DCBC19A" w14:textId="77777777" w:rsidR="00882514" w:rsidRPr="00CD7BA5" w:rsidRDefault="00882514" w:rsidP="00882514">
            <w:pPr>
              <w:tabs>
                <w:tab w:val="decimal" w:pos="164"/>
              </w:tabs>
              <w:spacing w:line="240" w:lineRule="auto"/>
              <w:rPr>
                <w:sz w:val="20"/>
                <w:szCs w:val="20"/>
              </w:rPr>
            </w:pPr>
            <w:r w:rsidRPr="00CD7BA5">
              <w:rPr>
                <w:sz w:val="20"/>
                <w:szCs w:val="20"/>
              </w:rPr>
              <w:t>0.56 (0.13)***</w:t>
            </w:r>
          </w:p>
        </w:tc>
      </w:tr>
      <w:tr w:rsidR="00882514" w14:paraId="53920CF0" w14:textId="77777777" w:rsidTr="00EA09C7">
        <w:trPr>
          <w:trHeight w:val="230"/>
        </w:trPr>
        <w:tc>
          <w:tcPr>
            <w:tcW w:w="2281"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A00BF2E" w14:textId="77777777" w:rsidR="00882514" w:rsidRDefault="00882514" w:rsidP="00882514">
            <w:pPr>
              <w:spacing w:line="240" w:lineRule="auto"/>
              <w:ind w:left="-27" w:firstLine="222"/>
              <w:rPr>
                <w:sz w:val="20"/>
                <w:szCs w:val="20"/>
              </w:rPr>
            </w:pPr>
            <w:r>
              <w:rPr>
                <w:sz w:val="20"/>
                <w:szCs w:val="20"/>
              </w:rPr>
              <w:t>Age</w:t>
            </w:r>
          </w:p>
        </w:tc>
        <w:tc>
          <w:tcPr>
            <w:tcW w:w="154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9B31F73"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7CA7383"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CBE68CA"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FC7056C" w14:textId="77777777" w:rsidR="00882514" w:rsidRPr="00CD7BA5" w:rsidRDefault="00882514" w:rsidP="00882514">
            <w:pPr>
              <w:tabs>
                <w:tab w:val="decimal" w:pos="337"/>
              </w:tabs>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127B342" w14:textId="77777777" w:rsidR="00882514" w:rsidRPr="00CD7BA5" w:rsidRDefault="00882514" w:rsidP="00882514">
            <w:pPr>
              <w:tabs>
                <w:tab w:val="decimal" w:pos="161"/>
              </w:tabs>
              <w:spacing w:line="240" w:lineRule="auto"/>
              <w:rPr>
                <w:sz w:val="20"/>
                <w:szCs w:val="20"/>
              </w:rPr>
            </w:pPr>
            <w:r w:rsidRPr="00CD7BA5">
              <w:rPr>
                <w:sz w:val="20"/>
                <w:szCs w:val="20"/>
              </w:rPr>
              <w:t>0.003 (0.00)</w:t>
            </w: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B14DF91" w14:textId="77777777" w:rsidR="00882514" w:rsidRPr="00CD7BA5" w:rsidRDefault="00882514" w:rsidP="00882514">
            <w:pPr>
              <w:tabs>
                <w:tab w:val="decimal" w:pos="168"/>
              </w:tabs>
              <w:spacing w:line="240" w:lineRule="auto"/>
              <w:jc w:val="both"/>
              <w:rPr>
                <w:sz w:val="20"/>
                <w:szCs w:val="20"/>
              </w:rPr>
            </w:pPr>
            <w:r w:rsidRPr="00CD7BA5">
              <w:rPr>
                <w:sz w:val="20"/>
                <w:szCs w:val="20"/>
              </w:rPr>
              <w:t>0.004 (0.00)</w:t>
            </w:r>
          </w:p>
        </w:tc>
        <w:tc>
          <w:tcPr>
            <w:tcW w:w="1543" w:type="dxa"/>
            <w:tcBorders>
              <w:left w:val="single" w:sz="8" w:space="0" w:color="FFFFFF"/>
              <w:bottom w:val="single" w:sz="8" w:space="0" w:color="FFFFFF"/>
              <w:right w:val="single" w:sz="8" w:space="0" w:color="FFFFFF"/>
            </w:tcBorders>
            <w:shd w:val="clear" w:color="auto" w:fill="auto"/>
          </w:tcPr>
          <w:p w14:paraId="7AD1896D" w14:textId="77777777" w:rsidR="00882514" w:rsidRPr="00CD7BA5" w:rsidRDefault="00882514" w:rsidP="00882514">
            <w:pPr>
              <w:tabs>
                <w:tab w:val="decimal" w:pos="164"/>
              </w:tabs>
              <w:spacing w:line="240" w:lineRule="auto"/>
              <w:rPr>
                <w:sz w:val="20"/>
                <w:szCs w:val="20"/>
              </w:rPr>
            </w:pPr>
            <w:r w:rsidRPr="00CD7BA5">
              <w:rPr>
                <w:sz w:val="20"/>
                <w:szCs w:val="20"/>
              </w:rPr>
              <w:t>0.004 (0.00)</w:t>
            </w:r>
          </w:p>
        </w:tc>
      </w:tr>
      <w:tr w:rsidR="00882514" w14:paraId="68D40A49" w14:textId="77777777" w:rsidTr="00EA09C7">
        <w:trPr>
          <w:trHeight w:val="230"/>
        </w:trPr>
        <w:tc>
          <w:tcPr>
            <w:tcW w:w="2281"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5073439" w14:textId="77777777" w:rsidR="00882514" w:rsidRDefault="00882514" w:rsidP="00882514">
            <w:pPr>
              <w:spacing w:line="240" w:lineRule="auto"/>
              <w:ind w:left="-27" w:firstLine="222"/>
              <w:rPr>
                <w:sz w:val="20"/>
                <w:szCs w:val="20"/>
              </w:rPr>
            </w:pPr>
            <w:r>
              <w:rPr>
                <w:sz w:val="20"/>
                <w:szCs w:val="20"/>
              </w:rPr>
              <w:t>Gender</w:t>
            </w:r>
          </w:p>
        </w:tc>
        <w:tc>
          <w:tcPr>
            <w:tcW w:w="154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06B2ACD"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A55C7E0"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7E1A834"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6FEA5D7" w14:textId="77777777" w:rsidR="00882514" w:rsidRPr="00CD7BA5" w:rsidRDefault="00882514" w:rsidP="00882514">
            <w:pPr>
              <w:tabs>
                <w:tab w:val="decimal" w:pos="337"/>
              </w:tabs>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22CDF80" w14:textId="77777777" w:rsidR="00882514" w:rsidRPr="00CD7BA5" w:rsidRDefault="00882514" w:rsidP="00882514">
            <w:pPr>
              <w:tabs>
                <w:tab w:val="decimal" w:pos="161"/>
              </w:tabs>
              <w:spacing w:line="240" w:lineRule="auto"/>
              <w:rPr>
                <w:sz w:val="20"/>
                <w:szCs w:val="20"/>
              </w:rPr>
            </w:pPr>
            <w:r w:rsidRPr="00CD7BA5">
              <w:rPr>
                <w:sz w:val="20"/>
                <w:szCs w:val="20"/>
              </w:rPr>
              <w:t>-0.07 (0.04)</w:t>
            </w: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E872CC2" w14:textId="77777777" w:rsidR="00882514" w:rsidRPr="00CD7BA5" w:rsidRDefault="00882514" w:rsidP="00882514">
            <w:pPr>
              <w:tabs>
                <w:tab w:val="decimal" w:pos="168"/>
              </w:tabs>
              <w:spacing w:line="240" w:lineRule="auto"/>
              <w:jc w:val="both"/>
              <w:rPr>
                <w:sz w:val="20"/>
                <w:szCs w:val="20"/>
              </w:rPr>
            </w:pPr>
            <w:r w:rsidRPr="00CD7BA5">
              <w:rPr>
                <w:sz w:val="20"/>
                <w:szCs w:val="20"/>
              </w:rPr>
              <w:t>-0.08 (0.04)*</w:t>
            </w:r>
          </w:p>
        </w:tc>
        <w:tc>
          <w:tcPr>
            <w:tcW w:w="1543" w:type="dxa"/>
            <w:tcBorders>
              <w:left w:val="single" w:sz="8" w:space="0" w:color="FFFFFF"/>
              <w:bottom w:val="single" w:sz="8" w:space="0" w:color="FFFFFF"/>
              <w:right w:val="single" w:sz="8" w:space="0" w:color="FFFFFF"/>
            </w:tcBorders>
            <w:shd w:val="clear" w:color="auto" w:fill="auto"/>
          </w:tcPr>
          <w:p w14:paraId="62CCE0AC" w14:textId="77777777" w:rsidR="00882514" w:rsidRPr="00CD7BA5" w:rsidRDefault="00882514" w:rsidP="00882514">
            <w:pPr>
              <w:tabs>
                <w:tab w:val="decimal" w:pos="164"/>
              </w:tabs>
              <w:spacing w:line="240" w:lineRule="auto"/>
              <w:rPr>
                <w:sz w:val="20"/>
                <w:szCs w:val="20"/>
              </w:rPr>
            </w:pPr>
            <w:r w:rsidRPr="00CD7BA5">
              <w:rPr>
                <w:sz w:val="20"/>
                <w:szCs w:val="20"/>
              </w:rPr>
              <w:t>-0.09 (0.04)*</w:t>
            </w:r>
          </w:p>
        </w:tc>
      </w:tr>
      <w:tr w:rsidR="00882514" w14:paraId="2294C8EF" w14:textId="77777777" w:rsidTr="00EA09C7">
        <w:trPr>
          <w:trHeight w:val="50"/>
        </w:trPr>
        <w:tc>
          <w:tcPr>
            <w:tcW w:w="2281"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99B90A0" w14:textId="77777777" w:rsidR="00882514" w:rsidRDefault="00882514" w:rsidP="00882514">
            <w:pPr>
              <w:spacing w:line="240" w:lineRule="auto"/>
              <w:ind w:left="-27" w:firstLine="222"/>
              <w:rPr>
                <w:sz w:val="20"/>
                <w:szCs w:val="20"/>
              </w:rPr>
            </w:pPr>
            <w:r>
              <w:rPr>
                <w:sz w:val="20"/>
                <w:szCs w:val="20"/>
              </w:rPr>
              <w:t>Education</w:t>
            </w:r>
          </w:p>
        </w:tc>
        <w:tc>
          <w:tcPr>
            <w:tcW w:w="154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0081880"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1A0C030"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EF9DB89"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267F868" w14:textId="77777777" w:rsidR="00882514" w:rsidRPr="00CD7BA5" w:rsidRDefault="00882514" w:rsidP="00882514">
            <w:pPr>
              <w:tabs>
                <w:tab w:val="decimal" w:pos="337"/>
              </w:tabs>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9B154F7" w14:textId="77777777" w:rsidR="00882514" w:rsidRPr="00CD7BA5" w:rsidRDefault="00882514" w:rsidP="00882514">
            <w:pPr>
              <w:tabs>
                <w:tab w:val="decimal" w:pos="161"/>
              </w:tabs>
              <w:spacing w:line="240" w:lineRule="auto"/>
              <w:rPr>
                <w:sz w:val="20"/>
                <w:szCs w:val="20"/>
              </w:rPr>
            </w:pPr>
            <w:r w:rsidRPr="00CD7BA5">
              <w:rPr>
                <w:sz w:val="20"/>
                <w:szCs w:val="20"/>
              </w:rPr>
              <w:t>-0.02 (0.01)*</w:t>
            </w: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31587DC" w14:textId="77777777" w:rsidR="00882514" w:rsidRPr="00CD7BA5" w:rsidRDefault="00882514" w:rsidP="00882514">
            <w:pPr>
              <w:tabs>
                <w:tab w:val="decimal" w:pos="168"/>
              </w:tabs>
              <w:spacing w:line="240" w:lineRule="auto"/>
              <w:jc w:val="both"/>
              <w:rPr>
                <w:sz w:val="20"/>
                <w:szCs w:val="20"/>
              </w:rPr>
            </w:pPr>
            <w:r w:rsidRPr="00CD7BA5">
              <w:rPr>
                <w:sz w:val="20"/>
                <w:szCs w:val="20"/>
              </w:rPr>
              <w:t>-0.02 (0.01)*</w:t>
            </w:r>
          </w:p>
        </w:tc>
        <w:tc>
          <w:tcPr>
            <w:tcW w:w="1543" w:type="dxa"/>
            <w:tcBorders>
              <w:left w:val="single" w:sz="8" w:space="0" w:color="FFFFFF"/>
              <w:bottom w:val="single" w:sz="8" w:space="0" w:color="FFFFFF"/>
              <w:right w:val="single" w:sz="8" w:space="0" w:color="FFFFFF"/>
            </w:tcBorders>
            <w:shd w:val="clear" w:color="auto" w:fill="auto"/>
          </w:tcPr>
          <w:p w14:paraId="7C09E4A0" w14:textId="77777777" w:rsidR="00882514" w:rsidRPr="00CD7BA5" w:rsidRDefault="00882514" w:rsidP="00882514">
            <w:pPr>
              <w:tabs>
                <w:tab w:val="decimal" w:pos="164"/>
              </w:tabs>
              <w:spacing w:line="240" w:lineRule="auto"/>
              <w:rPr>
                <w:sz w:val="20"/>
                <w:szCs w:val="20"/>
              </w:rPr>
            </w:pPr>
            <w:r w:rsidRPr="00CD7BA5">
              <w:rPr>
                <w:sz w:val="20"/>
                <w:szCs w:val="20"/>
              </w:rPr>
              <w:t>-0.02 (0.01)*</w:t>
            </w:r>
          </w:p>
        </w:tc>
      </w:tr>
      <w:tr w:rsidR="00882514" w14:paraId="3E705743" w14:textId="77777777" w:rsidTr="00EA09C7">
        <w:trPr>
          <w:trHeight w:val="154"/>
        </w:trPr>
        <w:tc>
          <w:tcPr>
            <w:tcW w:w="2281"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0ED4793" w14:textId="77777777" w:rsidR="00882514" w:rsidRDefault="00882514" w:rsidP="00882514">
            <w:pPr>
              <w:spacing w:line="240" w:lineRule="auto"/>
              <w:ind w:left="-27" w:firstLine="222"/>
              <w:rPr>
                <w:sz w:val="20"/>
                <w:szCs w:val="20"/>
              </w:rPr>
            </w:pPr>
            <w:r>
              <w:rPr>
                <w:sz w:val="20"/>
                <w:szCs w:val="20"/>
              </w:rPr>
              <w:t>Compensation</w:t>
            </w:r>
          </w:p>
        </w:tc>
        <w:tc>
          <w:tcPr>
            <w:tcW w:w="154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9DFA891"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452BE88"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5644AE9"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39AAEE0" w14:textId="77777777" w:rsidR="00882514" w:rsidRPr="00CD7BA5" w:rsidRDefault="00882514" w:rsidP="00882514">
            <w:pPr>
              <w:tabs>
                <w:tab w:val="decimal" w:pos="337"/>
              </w:tabs>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033A63C" w14:textId="77777777" w:rsidR="00882514" w:rsidRPr="00CD7BA5" w:rsidRDefault="00882514" w:rsidP="00882514">
            <w:pPr>
              <w:tabs>
                <w:tab w:val="decimal" w:pos="161"/>
              </w:tabs>
              <w:spacing w:line="240" w:lineRule="auto"/>
              <w:rPr>
                <w:sz w:val="20"/>
                <w:szCs w:val="20"/>
              </w:rPr>
            </w:pPr>
            <w:r w:rsidRPr="00CD7BA5">
              <w:rPr>
                <w:sz w:val="20"/>
                <w:szCs w:val="20"/>
              </w:rPr>
              <w:t>0.02 (0.04)</w:t>
            </w: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87D23FD" w14:textId="77777777" w:rsidR="00882514" w:rsidRPr="00CD7BA5" w:rsidRDefault="00882514" w:rsidP="00882514">
            <w:pPr>
              <w:tabs>
                <w:tab w:val="decimal" w:pos="168"/>
              </w:tabs>
              <w:spacing w:line="240" w:lineRule="auto"/>
              <w:jc w:val="both"/>
              <w:rPr>
                <w:sz w:val="20"/>
                <w:szCs w:val="20"/>
              </w:rPr>
            </w:pPr>
            <w:r w:rsidRPr="00CD7BA5">
              <w:rPr>
                <w:sz w:val="20"/>
                <w:szCs w:val="20"/>
              </w:rPr>
              <w:t>0.02 (0.04)</w:t>
            </w:r>
          </w:p>
        </w:tc>
        <w:tc>
          <w:tcPr>
            <w:tcW w:w="1543" w:type="dxa"/>
            <w:tcBorders>
              <w:left w:val="single" w:sz="8" w:space="0" w:color="FFFFFF"/>
              <w:bottom w:val="single" w:sz="8" w:space="0" w:color="FFFFFF"/>
              <w:right w:val="single" w:sz="8" w:space="0" w:color="FFFFFF"/>
            </w:tcBorders>
            <w:shd w:val="clear" w:color="auto" w:fill="auto"/>
          </w:tcPr>
          <w:p w14:paraId="13DA72BC" w14:textId="77777777" w:rsidR="00882514" w:rsidRPr="00CD7BA5" w:rsidRDefault="00882514" w:rsidP="00882514">
            <w:pPr>
              <w:tabs>
                <w:tab w:val="decimal" w:pos="164"/>
              </w:tabs>
              <w:spacing w:line="240" w:lineRule="auto"/>
              <w:rPr>
                <w:sz w:val="20"/>
                <w:szCs w:val="20"/>
              </w:rPr>
            </w:pPr>
            <w:r w:rsidRPr="00CD7BA5">
              <w:rPr>
                <w:sz w:val="20"/>
                <w:szCs w:val="20"/>
              </w:rPr>
              <w:t>0.02 (0.04)</w:t>
            </w:r>
          </w:p>
        </w:tc>
      </w:tr>
      <w:tr w:rsidR="00882514" w14:paraId="1E627016" w14:textId="77777777" w:rsidTr="00EA09C7">
        <w:trPr>
          <w:trHeight w:val="230"/>
        </w:trPr>
        <w:tc>
          <w:tcPr>
            <w:tcW w:w="2281"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6D06B52" w14:textId="77777777" w:rsidR="00882514" w:rsidRDefault="00882514" w:rsidP="00882514">
            <w:pPr>
              <w:spacing w:line="240" w:lineRule="auto"/>
              <w:ind w:left="-27" w:firstLine="222"/>
              <w:rPr>
                <w:sz w:val="20"/>
                <w:szCs w:val="20"/>
              </w:rPr>
            </w:pPr>
            <w:r>
              <w:rPr>
                <w:sz w:val="20"/>
                <w:szCs w:val="20"/>
              </w:rPr>
              <w:t>Condition: Ignorance</w:t>
            </w:r>
          </w:p>
        </w:tc>
        <w:tc>
          <w:tcPr>
            <w:tcW w:w="154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4B21BA8"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FDBC10B"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C8981A3"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23F1E5C" w14:textId="77777777" w:rsidR="00882514" w:rsidRPr="00CD7BA5" w:rsidRDefault="00882514" w:rsidP="00882514">
            <w:pPr>
              <w:tabs>
                <w:tab w:val="decimal" w:pos="337"/>
              </w:tabs>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A7C8897" w14:textId="77777777" w:rsidR="00882514" w:rsidRPr="00CD7BA5" w:rsidRDefault="00882514" w:rsidP="00882514">
            <w:pPr>
              <w:tabs>
                <w:tab w:val="decimal" w:pos="161"/>
              </w:tabs>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690C22E" w14:textId="77777777" w:rsidR="00882514" w:rsidRPr="00CD7BA5" w:rsidRDefault="00882514" w:rsidP="00882514">
            <w:pPr>
              <w:tabs>
                <w:tab w:val="decimal" w:pos="168"/>
              </w:tabs>
              <w:spacing w:line="240" w:lineRule="auto"/>
              <w:jc w:val="both"/>
              <w:rPr>
                <w:sz w:val="20"/>
                <w:szCs w:val="20"/>
              </w:rPr>
            </w:pPr>
            <w:r w:rsidRPr="00CD7BA5">
              <w:rPr>
                <w:sz w:val="20"/>
                <w:szCs w:val="20"/>
              </w:rPr>
              <w:t>-1.31 (0.05)***</w:t>
            </w:r>
          </w:p>
        </w:tc>
        <w:tc>
          <w:tcPr>
            <w:tcW w:w="1543" w:type="dxa"/>
            <w:tcBorders>
              <w:left w:val="single" w:sz="8" w:space="0" w:color="FFFFFF"/>
              <w:bottom w:val="single" w:sz="8" w:space="0" w:color="FFFFFF"/>
              <w:right w:val="single" w:sz="8" w:space="0" w:color="FFFFFF"/>
            </w:tcBorders>
            <w:shd w:val="clear" w:color="auto" w:fill="auto"/>
          </w:tcPr>
          <w:p w14:paraId="7A761076" w14:textId="77777777" w:rsidR="00882514" w:rsidRPr="00CD7BA5" w:rsidRDefault="00882514" w:rsidP="00882514">
            <w:pPr>
              <w:tabs>
                <w:tab w:val="decimal" w:pos="164"/>
              </w:tabs>
              <w:spacing w:line="240" w:lineRule="auto"/>
              <w:rPr>
                <w:sz w:val="20"/>
                <w:szCs w:val="20"/>
              </w:rPr>
            </w:pPr>
            <w:r w:rsidRPr="00CD7BA5">
              <w:rPr>
                <w:sz w:val="20"/>
                <w:szCs w:val="20"/>
              </w:rPr>
              <w:t>-1.60 (0.08)***</w:t>
            </w:r>
          </w:p>
        </w:tc>
      </w:tr>
      <w:tr w:rsidR="00882514" w14:paraId="41A98087" w14:textId="77777777" w:rsidTr="00EA09C7">
        <w:trPr>
          <w:trHeight w:val="230"/>
        </w:trPr>
        <w:tc>
          <w:tcPr>
            <w:tcW w:w="2281"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172C127" w14:textId="77777777" w:rsidR="00882514" w:rsidRDefault="00882514" w:rsidP="00882514">
            <w:pPr>
              <w:spacing w:line="240" w:lineRule="auto"/>
              <w:ind w:left="-27" w:firstLine="222"/>
              <w:rPr>
                <w:sz w:val="20"/>
                <w:szCs w:val="20"/>
              </w:rPr>
            </w:pPr>
            <w:r>
              <w:rPr>
                <w:sz w:val="20"/>
                <w:szCs w:val="20"/>
              </w:rPr>
              <w:t>Condition: Knowledge</w:t>
            </w:r>
          </w:p>
        </w:tc>
        <w:tc>
          <w:tcPr>
            <w:tcW w:w="154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A68C1BE"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FDD884A"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0C258CD"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AD562C0" w14:textId="77777777" w:rsidR="00882514" w:rsidRPr="00CD7BA5" w:rsidRDefault="00882514" w:rsidP="00882514">
            <w:pPr>
              <w:tabs>
                <w:tab w:val="decimal" w:pos="337"/>
              </w:tabs>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73A3505" w14:textId="77777777" w:rsidR="00882514" w:rsidRPr="00CD7BA5" w:rsidRDefault="00882514" w:rsidP="00882514">
            <w:pPr>
              <w:tabs>
                <w:tab w:val="decimal" w:pos="251"/>
              </w:tabs>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F10DAE0" w14:textId="77777777" w:rsidR="00882514" w:rsidRPr="00CD7BA5" w:rsidRDefault="00882514" w:rsidP="00882514">
            <w:pPr>
              <w:tabs>
                <w:tab w:val="decimal" w:pos="168"/>
              </w:tabs>
              <w:spacing w:line="240" w:lineRule="auto"/>
              <w:jc w:val="both"/>
              <w:rPr>
                <w:sz w:val="20"/>
                <w:szCs w:val="20"/>
              </w:rPr>
            </w:pPr>
            <w:r w:rsidRPr="00CD7BA5">
              <w:rPr>
                <w:sz w:val="20"/>
                <w:szCs w:val="20"/>
              </w:rPr>
              <w:t>0.61 (0.04)***</w:t>
            </w:r>
          </w:p>
        </w:tc>
        <w:tc>
          <w:tcPr>
            <w:tcW w:w="1543" w:type="dxa"/>
            <w:tcBorders>
              <w:left w:val="single" w:sz="8" w:space="0" w:color="FFFFFF"/>
              <w:bottom w:val="single" w:sz="8" w:space="0" w:color="FFFFFF"/>
              <w:right w:val="single" w:sz="8" w:space="0" w:color="FFFFFF"/>
            </w:tcBorders>
            <w:shd w:val="clear" w:color="auto" w:fill="auto"/>
          </w:tcPr>
          <w:p w14:paraId="44A9D051" w14:textId="77777777" w:rsidR="00882514" w:rsidRPr="00CD7BA5" w:rsidRDefault="00882514" w:rsidP="00882514">
            <w:pPr>
              <w:tabs>
                <w:tab w:val="decimal" w:pos="164"/>
              </w:tabs>
              <w:spacing w:line="240" w:lineRule="auto"/>
              <w:rPr>
                <w:sz w:val="20"/>
                <w:szCs w:val="20"/>
              </w:rPr>
            </w:pPr>
            <w:r w:rsidRPr="00CD7BA5">
              <w:rPr>
                <w:sz w:val="20"/>
                <w:szCs w:val="20"/>
              </w:rPr>
              <w:t>0.50 (0.08)***</w:t>
            </w:r>
          </w:p>
        </w:tc>
      </w:tr>
      <w:tr w:rsidR="00882514" w14:paraId="3743144F" w14:textId="77777777" w:rsidTr="00EA09C7">
        <w:trPr>
          <w:trHeight w:val="230"/>
        </w:trPr>
        <w:tc>
          <w:tcPr>
            <w:tcW w:w="2281"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EB4915D" w14:textId="77777777" w:rsidR="00882514" w:rsidRDefault="00882514" w:rsidP="00882514">
            <w:pPr>
              <w:spacing w:line="240" w:lineRule="auto"/>
              <w:ind w:left="-27" w:firstLine="222"/>
              <w:rPr>
                <w:sz w:val="20"/>
                <w:szCs w:val="20"/>
              </w:rPr>
            </w:pPr>
            <w:r>
              <w:rPr>
                <w:sz w:val="20"/>
                <w:szCs w:val="20"/>
              </w:rPr>
              <w:t>Vignette: Emma</w:t>
            </w:r>
          </w:p>
        </w:tc>
        <w:tc>
          <w:tcPr>
            <w:tcW w:w="154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03959DB"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338DB76"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747FA7C"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F613EDD" w14:textId="77777777" w:rsidR="00882514" w:rsidRPr="00CD7BA5" w:rsidRDefault="00882514" w:rsidP="00882514">
            <w:pPr>
              <w:tabs>
                <w:tab w:val="decimal" w:pos="337"/>
              </w:tabs>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0B590A2" w14:textId="77777777" w:rsidR="00882514" w:rsidRPr="00CD7BA5" w:rsidRDefault="00882514" w:rsidP="00882514">
            <w:pPr>
              <w:tabs>
                <w:tab w:val="decimal" w:pos="251"/>
              </w:tabs>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07A635B" w14:textId="77777777" w:rsidR="00882514" w:rsidRPr="00CD7BA5" w:rsidRDefault="00882514" w:rsidP="00882514">
            <w:pPr>
              <w:tabs>
                <w:tab w:val="decimal" w:pos="168"/>
              </w:tabs>
              <w:spacing w:line="240" w:lineRule="auto"/>
              <w:jc w:val="both"/>
              <w:rPr>
                <w:sz w:val="20"/>
                <w:szCs w:val="20"/>
              </w:rPr>
            </w:pPr>
          </w:p>
        </w:tc>
        <w:tc>
          <w:tcPr>
            <w:tcW w:w="1543" w:type="dxa"/>
            <w:tcBorders>
              <w:left w:val="single" w:sz="8" w:space="0" w:color="FFFFFF"/>
              <w:bottom w:val="single" w:sz="8" w:space="0" w:color="FFFFFF"/>
              <w:right w:val="single" w:sz="8" w:space="0" w:color="FFFFFF"/>
            </w:tcBorders>
            <w:shd w:val="clear" w:color="auto" w:fill="auto"/>
          </w:tcPr>
          <w:p w14:paraId="32425EFE" w14:textId="77777777" w:rsidR="00882514" w:rsidRPr="00CD7BA5" w:rsidRDefault="00882514" w:rsidP="00882514">
            <w:pPr>
              <w:tabs>
                <w:tab w:val="decimal" w:pos="164"/>
              </w:tabs>
              <w:spacing w:line="240" w:lineRule="auto"/>
              <w:rPr>
                <w:sz w:val="20"/>
                <w:szCs w:val="20"/>
              </w:rPr>
            </w:pPr>
            <w:r w:rsidRPr="00CD7BA5">
              <w:rPr>
                <w:sz w:val="20"/>
                <w:szCs w:val="20"/>
              </w:rPr>
              <w:t>-1.93 (0.08)***</w:t>
            </w:r>
          </w:p>
        </w:tc>
      </w:tr>
      <w:tr w:rsidR="00882514" w14:paraId="04640FA1" w14:textId="77777777" w:rsidTr="00EA09C7">
        <w:trPr>
          <w:trHeight w:val="230"/>
        </w:trPr>
        <w:tc>
          <w:tcPr>
            <w:tcW w:w="2281"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36EF2F8" w14:textId="77777777" w:rsidR="00882514" w:rsidRDefault="00882514" w:rsidP="00882514">
            <w:pPr>
              <w:spacing w:line="240" w:lineRule="auto"/>
              <w:ind w:left="-27" w:firstLine="222"/>
              <w:rPr>
                <w:sz w:val="20"/>
                <w:szCs w:val="20"/>
              </w:rPr>
            </w:pPr>
            <w:r>
              <w:rPr>
                <w:sz w:val="20"/>
                <w:szCs w:val="20"/>
              </w:rPr>
              <w:t>Vignette: Gerald</w:t>
            </w:r>
          </w:p>
        </w:tc>
        <w:tc>
          <w:tcPr>
            <w:tcW w:w="154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26BC685"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BABBF86"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6DF3E09"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D5BCE9C" w14:textId="77777777" w:rsidR="00882514" w:rsidRPr="00CD7BA5" w:rsidRDefault="00882514" w:rsidP="00882514">
            <w:pPr>
              <w:tabs>
                <w:tab w:val="decimal" w:pos="337"/>
              </w:tabs>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61233E0" w14:textId="77777777" w:rsidR="00882514" w:rsidRPr="00CD7BA5" w:rsidRDefault="00882514" w:rsidP="00882514">
            <w:pPr>
              <w:tabs>
                <w:tab w:val="decimal" w:pos="251"/>
              </w:tabs>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35D064C" w14:textId="77777777" w:rsidR="00882514" w:rsidRPr="00CD7BA5" w:rsidRDefault="00882514" w:rsidP="00882514">
            <w:pPr>
              <w:tabs>
                <w:tab w:val="decimal" w:pos="168"/>
              </w:tabs>
              <w:spacing w:line="240" w:lineRule="auto"/>
              <w:jc w:val="both"/>
              <w:rPr>
                <w:sz w:val="20"/>
                <w:szCs w:val="20"/>
              </w:rPr>
            </w:pPr>
          </w:p>
        </w:tc>
        <w:tc>
          <w:tcPr>
            <w:tcW w:w="1543" w:type="dxa"/>
            <w:tcBorders>
              <w:left w:val="single" w:sz="8" w:space="0" w:color="FFFFFF"/>
              <w:bottom w:val="single" w:sz="8" w:space="0" w:color="FFFFFF"/>
              <w:right w:val="single" w:sz="8" w:space="0" w:color="FFFFFF"/>
            </w:tcBorders>
            <w:shd w:val="clear" w:color="auto" w:fill="auto"/>
          </w:tcPr>
          <w:p w14:paraId="12C75712" w14:textId="77777777" w:rsidR="00882514" w:rsidRPr="00CD7BA5" w:rsidRDefault="00882514" w:rsidP="00882514">
            <w:pPr>
              <w:tabs>
                <w:tab w:val="decimal" w:pos="164"/>
              </w:tabs>
              <w:spacing w:line="240" w:lineRule="auto"/>
              <w:rPr>
                <w:sz w:val="20"/>
                <w:szCs w:val="20"/>
              </w:rPr>
            </w:pPr>
            <w:r w:rsidRPr="00CD7BA5">
              <w:rPr>
                <w:sz w:val="20"/>
                <w:szCs w:val="20"/>
              </w:rPr>
              <w:t>-0.40 (0.07)***</w:t>
            </w:r>
          </w:p>
        </w:tc>
      </w:tr>
      <w:tr w:rsidR="00882514" w14:paraId="66A18083" w14:textId="77777777" w:rsidTr="00EA09C7">
        <w:trPr>
          <w:trHeight w:val="230"/>
        </w:trPr>
        <w:tc>
          <w:tcPr>
            <w:tcW w:w="2281"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DB84EE9" w14:textId="77777777" w:rsidR="00882514" w:rsidRDefault="00882514" w:rsidP="00882514">
            <w:pPr>
              <w:spacing w:line="240" w:lineRule="auto"/>
              <w:ind w:left="-27" w:firstLine="222"/>
              <w:rPr>
                <w:sz w:val="20"/>
                <w:szCs w:val="20"/>
              </w:rPr>
            </w:pPr>
            <w:r>
              <w:rPr>
                <w:sz w:val="20"/>
                <w:szCs w:val="20"/>
              </w:rPr>
              <w:t>Ignorance X Emma</w:t>
            </w:r>
          </w:p>
        </w:tc>
        <w:tc>
          <w:tcPr>
            <w:tcW w:w="154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2B7F5B1"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6597838"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165CBFF"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94FAC56" w14:textId="77777777" w:rsidR="00882514" w:rsidRPr="00CD7BA5" w:rsidRDefault="00882514" w:rsidP="00882514">
            <w:pPr>
              <w:tabs>
                <w:tab w:val="decimal" w:pos="337"/>
              </w:tabs>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09329A6" w14:textId="77777777" w:rsidR="00882514" w:rsidRPr="00CD7BA5" w:rsidRDefault="00882514" w:rsidP="00882514">
            <w:pPr>
              <w:tabs>
                <w:tab w:val="decimal" w:pos="251"/>
              </w:tabs>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8B19267" w14:textId="77777777" w:rsidR="00882514" w:rsidRPr="00CD7BA5" w:rsidRDefault="00882514" w:rsidP="00882514">
            <w:pPr>
              <w:tabs>
                <w:tab w:val="decimal" w:pos="168"/>
              </w:tabs>
              <w:spacing w:line="240" w:lineRule="auto"/>
              <w:jc w:val="both"/>
              <w:rPr>
                <w:sz w:val="20"/>
                <w:szCs w:val="20"/>
              </w:rPr>
            </w:pPr>
          </w:p>
        </w:tc>
        <w:tc>
          <w:tcPr>
            <w:tcW w:w="1543" w:type="dxa"/>
            <w:tcBorders>
              <w:left w:val="single" w:sz="8" w:space="0" w:color="FFFFFF"/>
              <w:bottom w:val="single" w:sz="8" w:space="0" w:color="FFFFFF"/>
              <w:right w:val="single" w:sz="8" w:space="0" w:color="FFFFFF"/>
            </w:tcBorders>
            <w:shd w:val="clear" w:color="auto" w:fill="auto"/>
          </w:tcPr>
          <w:p w14:paraId="7F4A7618" w14:textId="77777777" w:rsidR="00882514" w:rsidRPr="00CD7BA5" w:rsidRDefault="00882514" w:rsidP="00882514">
            <w:pPr>
              <w:tabs>
                <w:tab w:val="decimal" w:pos="164"/>
              </w:tabs>
              <w:spacing w:line="240" w:lineRule="auto"/>
              <w:rPr>
                <w:sz w:val="20"/>
                <w:szCs w:val="20"/>
              </w:rPr>
            </w:pPr>
            <w:r w:rsidRPr="00CD7BA5">
              <w:rPr>
                <w:sz w:val="20"/>
                <w:szCs w:val="20"/>
              </w:rPr>
              <w:t>0.98 (0.13)***</w:t>
            </w:r>
          </w:p>
        </w:tc>
      </w:tr>
      <w:tr w:rsidR="00882514" w14:paraId="65857C57" w14:textId="77777777" w:rsidTr="00EA09C7">
        <w:trPr>
          <w:trHeight w:val="230"/>
        </w:trPr>
        <w:tc>
          <w:tcPr>
            <w:tcW w:w="2281"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CCBFCED" w14:textId="77777777" w:rsidR="00882514" w:rsidRDefault="00882514" w:rsidP="00882514">
            <w:pPr>
              <w:spacing w:line="240" w:lineRule="auto"/>
              <w:ind w:left="-27" w:firstLine="222"/>
              <w:rPr>
                <w:sz w:val="20"/>
                <w:szCs w:val="20"/>
              </w:rPr>
            </w:pPr>
            <w:r>
              <w:rPr>
                <w:sz w:val="20"/>
                <w:szCs w:val="20"/>
              </w:rPr>
              <w:t>Ignorance X Gerald</w:t>
            </w:r>
          </w:p>
        </w:tc>
        <w:tc>
          <w:tcPr>
            <w:tcW w:w="154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8B2FA0D"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52F720E"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83758CE"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E56A8E1" w14:textId="77777777" w:rsidR="00882514" w:rsidRPr="00CD7BA5" w:rsidRDefault="00882514" w:rsidP="00882514">
            <w:pPr>
              <w:tabs>
                <w:tab w:val="decimal" w:pos="337"/>
              </w:tabs>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D99BBF9" w14:textId="77777777" w:rsidR="00882514" w:rsidRPr="00CD7BA5" w:rsidRDefault="00882514" w:rsidP="00882514">
            <w:pPr>
              <w:tabs>
                <w:tab w:val="decimal" w:pos="251"/>
              </w:tabs>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DCCF93A" w14:textId="77777777" w:rsidR="00882514" w:rsidRPr="00CD7BA5" w:rsidRDefault="00882514" w:rsidP="00882514">
            <w:pPr>
              <w:tabs>
                <w:tab w:val="decimal" w:pos="168"/>
              </w:tabs>
              <w:spacing w:line="240" w:lineRule="auto"/>
              <w:jc w:val="both"/>
              <w:rPr>
                <w:sz w:val="20"/>
                <w:szCs w:val="20"/>
              </w:rPr>
            </w:pPr>
          </w:p>
        </w:tc>
        <w:tc>
          <w:tcPr>
            <w:tcW w:w="1543" w:type="dxa"/>
            <w:tcBorders>
              <w:left w:val="single" w:sz="8" w:space="0" w:color="FFFFFF"/>
              <w:bottom w:val="single" w:sz="8" w:space="0" w:color="FFFFFF"/>
              <w:right w:val="single" w:sz="8" w:space="0" w:color="FFFFFF"/>
            </w:tcBorders>
            <w:shd w:val="clear" w:color="auto" w:fill="auto"/>
          </w:tcPr>
          <w:p w14:paraId="1B8201A3" w14:textId="77777777" w:rsidR="00882514" w:rsidRPr="00CD7BA5" w:rsidRDefault="00882514" w:rsidP="00882514">
            <w:pPr>
              <w:tabs>
                <w:tab w:val="decimal" w:pos="164"/>
              </w:tabs>
              <w:spacing w:line="240" w:lineRule="auto"/>
              <w:rPr>
                <w:sz w:val="20"/>
                <w:szCs w:val="20"/>
              </w:rPr>
            </w:pPr>
            <w:r w:rsidRPr="00CD7BA5">
              <w:rPr>
                <w:sz w:val="20"/>
                <w:szCs w:val="20"/>
              </w:rPr>
              <w:t>0.21 (0.11)*</w:t>
            </w:r>
          </w:p>
        </w:tc>
      </w:tr>
      <w:tr w:rsidR="00882514" w14:paraId="11D46B8C" w14:textId="77777777" w:rsidTr="00EA09C7">
        <w:trPr>
          <w:trHeight w:val="230"/>
        </w:trPr>
        <w:tc>
          <w:tcPr>
            <w:tcW w:w="2281"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D00034D" w14:textId="77777777" w:rsidR="00882514" w:rsidRDefault="00882514" w:rsidP="00882514">
            <w:pPr>
              <w:spacing w:line="240" w:lineRule="auto"/>
              <w:ind w:left="-27" w:firstLine="222"/>
              <w:rPr>
                <w:sz w:val="20"/>
                <w:szCs w:val="20"/>
              </w:rPr>
            </w:pPr>
            <w:r>
              <w:rPr>
                <w:sz w:val="20"/>
                <w:szCs w:val="20"/>
              </w:rPr>
              <w:t>Knowledge X Emma</w:t>
            </w:r>
          </w:p>
        </w:tc>
        <w:tc>
          <w:tcPr>
            <w:tcW w:w="154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48B77D1"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5805468"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732FE8F"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A5C998E" w14:textId="77777777" w:rsidR="00882514" w:rsidRPr="00CD7BA5" w:rsidRDefault="00882514" w:rsidP="00882514">
            <w:pPr>
              <w:tabs>
                <w:tab w:val="decimal" w:pos="337"/>
              </w:tabs>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D7B9BC0" w14:textId="77777777" w:rsidR="00882514" w:rsidRPr="00CD7BA5" w:rsidRDefault="00882514" w:rsidP="00882514">
            <w:pPr>
              <w:tabs>
                <w:tab w:val="decimal" w:pos="251"/>
              </w:tabs>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A12F34F" w14:textId="77777777" w:rsidR="00882514" w:rsidRPr="00CD7BA5" w:rsidRDefault="00882514" w:rsidP="00882514">
            <w:pPr>
              <w:tabs>
                <w:tab w:val="decimal" w:pos="168"/>
              </w:tabs>
              <w:spacing w:line="240" w:lineRule="auto"/>
              <w:jc w:val="both"/>
              <w:rPr>
                <w:sz w:val="20"/>
                <w:szCs w:val="20"/>
              </w:rPr>
            </w:pPr>
          </w:p>
        </w:tc>
        <w:tc>
          <w:tcPr>
            <w:tcW w:w="1543" w:type="dxa"/>
            <w:tcBorders>
              <w:left w:val="single" w:sz="8" w:space="0" w:color="FFFFFF"/>
              <w:bottom w:val="single" w:sz="8" w:space="0" w:color="FFFFFF"/>
              <w:right w:val="single" w:sz="8" w:space="0" w:color="FFFFFF"/>
            </w:tcBorders>
            <w:shd w:val="clear" w:color="auto" w:fill="auto"/>
          </w:tcPr>
          <w:p w14:paraId="540D0061" w14:textId="77777777" w:rsidR="00882514" w:rsidRPr="00CD7BA5" w:rsidRDefault="00882514" w:rsidP="00882514">
            <w:pPr>
              <w:tabs>
                <w:tab w:val="decimal" w:pos="164"/>
              </w:tabs>
              <w:spacing w:line="240" w:lineRule="auto"/>
              <w:rPr>
                <w:sz w:val="20"/>
                <w:szCs w:val="20"/>
              </w:rPr>
            </w:pPr>
            <w:r w:rsidRPr="00CD7BA5">
              <w:rPr>
                <w:sz w:val="20"/>
                <w:szCs w:val="20"/>
              </w:rPr>
              <w:t>0.40 (0.11)***</w:t>
            </w:r>
          </w:p>
        </w:tc>
      </w:tr>
      <w:tr w:rsidR="00882514" w14:paraId="5687D729" w14:textId="77777777" w:rsidTr="00EA09C7">
        <w:trPr>
          <w:trHeight w:val="230"/>
        </w:trPr>
        <w:tc>
          <w:tcPr>
            <w:tcW w:w="2281"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D2E9953" w14:textId="77777777" w:rsidR="00882514" w:rsidRDefault="00882514" w:rsidP="00882514">
            <w:pPr>
              <w:spacing w:line="240" w:lineRule="auto"/>
              <w:ind w:left="-27" w:firstLine="222"/>
              <w:rPr>
                <w:sz w:val="20"/>
                <w:szCs w:val="20"/>
              </w:rPr>
            </w:pPr>
            <w:r>
              <w:rPr>
                <w:sz w:val="20"/>
                <w:szCs w:val="20"/>
              </w:rPr>
              <w:t>Knowledge X Gerald</w:t>
            </w:r>
          </w:p>
        </w:tc>
        <w:tc>
          <w:tcPr>
            <w:tcW w:w="154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FBCD939"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AE631E8"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C154EB9"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879E6F3" w14:textId="77777777" w:rsidR="00882514" w:rsidRPr="00CD7BA5" w:rsidRDefault="00882514" w:rsidP="00882514">
            <w:pPr>
              <w:tabs>
                <w:tab w:val="decimal" w:pos="337"/>
              </w:tabs>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79DC6A7" w14:textId="77777777" w:rsidR="00882514" w:rsidRPr="00CD7BA5" w:rsidRDefault="00882514" w:rsidP="00882514">
            <w:pPr>
              <w:tabs>
                <w:tab w:val="decimal" w:pos="251"/>
              </w:tabs>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ADACE5C" w14:textId="77777777" w:rsidR="00882514" w:rsidRPr="00CD7BA5" w:rsidRDefault="00882514" w:rsidP="00882514">
            <w:pPr>
              <w:tabs>
                <w:tab w:val="decimal" w:pos="168"/>
              </w:tabs>
              <w:spacing w:line="240" w:lineRule="auto"/>
              <w:jc w:val="both"/>
              <w:rPr>
                <w:sz w:val="20"/>
                <w:szCs w:val="20"/>
              </w:rPr>
            </w:pPr>
          </w:p>
        </w:tc>
        <w:tc>
          <w:tcPr>
            <w:tcW w:w="1543" w:type="dxa"/>
            <w:tcBorders>
              <w:left w:val="single" w:sz="8" w:space="0" w:color="FFFFFF"/>
              <w:bottom w:val="single" w:sz="8" w:space="0" w:color="FFFFFF"/>
              <w:right w:val="single" w:sz="8" w:space="0" w:color="FFFFFF"/>
            </w:tcBorders>
            <w:shd w:val="clear" w:color="auto" w:fill="auto"/>
          </w:tcPr>
          <w:p w14:paraId="772B6327" w14:textId="77777777" w:rsidR="00882514" w:rsidRPr="00CD7BA5" w:rsidRDefault="00882514" w:rsidP="00882514">
            <w:pPr>
              <w:tabs>
                <w:tab w:val="decimal" w:pos="164"/>
              </w:tabs>
              <w:spacing w:line="240" w:lineRule="auto"/>
              <w:rPr>
                <w:sz w:val="20"/>
                <w:szCs w:val="20"/>
              </w:rPr>
            </w:pPr>
            <w:r w:rsidRPr="00CD7BA5">
              <w:rPr>
                <w:sz w:val="20"/>
                <w:szCs w:val="20"/>
              </w:rPr>
              <w:t>0.02 (0.11)</w:t>
            </w:r>
          </w:p>
        </w:tc>
      </w:tr>
      <w:tr w:rsidR="00882514" w14:paraId="528BF54D" w14:textId="77777777" w:rsidTr="00EA09C7">
        <w:trPr>
          <w:trHeight w:val="220"/>
        </w:trPr>
        <w:tc>
          <w:tcPr>
            <w:tcW w:w="2281"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45633CF" w14:textId="77777777" w:rsidR="00882514" w:rsidRDefault="00882514" w:rsidP="00882514">
            <w:pPr>
              <w:spacing w:line="240" w:lineRule="auto"/>
              <w:rPr>
                <w:sz w:val="20"/>
                <w:szCs w:val="20"/>
              </w:rPr>
            </w:pPr>
            <w:r>
              <w:rPr>
                <w:sz w:val="20"/>
                <w:szCs w:val="20"/>
              </w:rPr>
              <w:t>Random Effects</w:t>
            </w:r>
          </w:p>
        </w:tc>
        <w:tc>
          <w:tcPr>
            <w:tcW w:w="154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A0E65F6"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56A7F6F" w14:textId="77777777" w:rsidR="00882514" w:rsidRPr="00CD7BA5" w:rsidRDefault="00882514" w:rsidP="00882514">
            <w:pPr>
              <w:spacing w:line="240" w:lineRule="auto"/>
              <w:jc w:val="center"/>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1A7A2D6" w14:textId="77777777" w:rsidR="00882514" w:rsidRPr="00CD7BA5" w:rsidRDefault="00882514" w:rsidP="00882514">
            <w:pPr>
              <w:spacing w:line="240" w:lineRule="auto"/>
              <w:jc w:val="center"/>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71EB998" w14:textId="77777777" w:rsidR="00882514" w:rsidRPr="00CD7BA5" w:rsidRDefault="00882514" w:rsidP="00882514">
            <w:pPr>
              <w:spacing w:line="240" w:lineRule="auto"/>
              <w:jc w:val="center"/>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0C2CB7E" w14:textId="77777777" w:rsidR="00882514" w:rsidRPr="00CD7BA5" w:rsidRDefault="00882514" w:rsidP="00882514">
            <w:pPr>
              <w:tabs>
                <w:tab w:val="decimal" w:pos="251"/>
              </w:tabs>
              <w:spacing w:line="240" w:lineRule="auto"/>
              <w:jc w:val="center"/>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C05815B" w14:textId="77777777" w:rsidR="00882514" w:rsidRPr="00CD7BA5" w:rsidRDefault="00882514" w:rsidP="00882514">
            <w:pPr>
              <w:tabs>
                <w:tab w:val="decimal" w:pos="168"/>
              </w:tabs>
              <w:spacing w:line="240" w:lineRule="auto"/>
              <w:jc w:val="center"/>
              <w:rPr>
                <w:sz w:val="20"/>
                <w:szCs w:val="20"/>
              </w:rPr>
            </w:pPr>
          </w:p>
        </w:tc>
        <w:tc>
          <w:tcPr>
            <w:tcW w:w="1543" w:type="dxa"/>
            <w:tcBorders>
              <w:left w:val="single" w:sz="8" w:space="0" w:color="FFFFFF"/>
              <w:bottom w:val="single" w:sz="8" w:space="0" w:color="FFFFFF"/>
              <w:right w:val="single" w:sz="8" w:space="0" w:color="FFFFFF"/>
            </w:tcBorders>
            <w:shd w:val="clear" w:color="auto" w:fill="auto"/>
            <w:vAlign w:val="center"/>
          </w:tcPr>
          <w:p w14:paraId="3A405F11" w14:textId="77777777" w:rsidR="00882514" w:rsidRPr="00CD7BA5" w:rsidRDefault="00882514" w:rsidP="00882514">
            <w:pPr>
              <w:tabs>
                <w:tab w:val="decimal" w:pos="164"/>
              </w:tabs>
              <w:spacing w:line="240" w:lineRule="auto"/>
              <w:jc w:val="center"/>
              <w:rPr>
                <w:sz w:val="20"/>
                <w:szCs w:val="20"/>
              </w:rPr>
            </w:pPr>
          </w:p>
        </w:tc>
      </w:tr>
      <w:tr w:rsidR="00882514" w14:paraId="31C48519" w14:textId="77777777" w:rsidTr="00EA09C7">
        <w:trPr>
          <w:trHeight w:val="230"/>
        </w:trPr>
        <w:tc>
          <w:tcPr>
            <w:tcW w:w="2281"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E4E7AEA" w14:textId="77777777" w:rsidR="00882514" w:rsidRDefault="00882514" w:rsidP="00882514">
            <w:pPr>
              <w:spacing w:line="240" w:lineRule="auto"/>
              <w:ind w:firstLine="195"/>
              <w:rPr>
                <w:sz w:val="20"/>
                <w:szCs w:val="20"/>
              </w:rPr>
            </w:pPr>
            <w:r>
              <w:rPr>
                <w:sz w:val="20"/>
                <w:szCs w:val="20"/>
              </w:rPr>
              <w:t>Site</w:t>
            </w:r>
          </w:p>
        </w:tc>
        <w:tc>
          <w:tcPr>
            <w:tcW w:w="154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3CE4B16"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C2349EF" w14:textId="77777777" w:rsidR="00882514" w:rsidRPr="00CD7BA5" w:rsidRDefault="00882514" w:rsidP="00882514">
            <w:pPr>
              <w:spacing w:line="240" w:lineRule="auto"/>
              <w:jc w:val="center"/>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0D81F7B" w14:textId="77777777" w:rsidR="00882514" w:rsidRPr="00CD7BA5" w:rsidRDefault="00882514" w:rsidP="00882514">
            <w:pPr>
              <w:spacing w:line="240" w:lineRule="auto"/>
              <w:jc w:val="center"/>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E3C7A5D" w14:textId="77777777" w:rsidR="00882514" w:rsidRPr="00CD7BA5" w:rsidRDefault="00882514" w:rsidP="00882514">
            <w:pPr>
              <w:spacing w:line="240" w:lineRule="auto"/>
              <w:ind w:right="120"/>
              <w:jc w:val="center"/>
              <w:rPr>
                <w:sz w:val="20"/>
                <w:szCs w:val="20"/>
              </w:rPr>
            </w:pPr>
            <w:r w:rsidRPr="00CD7BA5">
              <w:rPr>
                <w:sz w:val="20"/>
                <w:szCs w:val="20"/>
              </w:rPr>
              <w:t>&lt; 0.001</w:t>
            </w: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12F22F9" w14:textId="77777777" w:rsidR="00882514" w:rsidRPr="00CD7BA5" w:rsidRDefault="00882514" w:rsidP="00882514">
            <w:pPr>
              <w:tabs>
                <w:tab w:val="decimal" w:pos="152"/>
              </w:tabs>
              <w:spacing w:line="240" w:lineRule="auto"/>
              <w:ind w:right="40"/>
              <w:jc w:val="center"/>
              <w:rPr>
                <w:sz w:val="20"/>
                <w:szCs w:val="20"/>
              </w:rPr>
            </w:pPr>
            <w:r w:rsidRPr="00CD7BA5">
              <w:rPr>
                <w:sz w:val="20"/>
                <w:szCs w:val="20"/>
              </w:rPr>
              <w:t>&lt; 0.001</w:t>
            </w: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85D4E20" w14:textId="77777777" w:rsidR="00882514" w:rsidRPr="00CD7BA5" w:rsidRDefault="00882514" w:rsidP="00882514">
            <w:pPr>
              <w:tabs>
                <w:tab w:val="decimal" w:pos="209"/>
              </w:tabs>
              <w:spacing w:line="240" w:lineRule="auto"/>
              <w:ind w:right="62"/>
              <w:jc w:val="center"/>
              <w:rPr>
                <w:sz w:val="20"/>
                <w:szCs w:val="20"/>
              </w:rPr>
            </w:pPr>
            <w:r w:rsidRPr="00CD7BA5">
              <w:rPr>
                <w:sz w:val="20"/>
                <w:szCs w:val="20"/>
              </w:rPr>
              <w:t>&lt; 0.001</w:t>
            </w:r>
          </w:p>
        </w:tc>
        <w:tc>
          <w:tcPr>
            <w:tcW w:w="1543" w:type="dxa"/>
            <w:tcBorders>
              <w:left w:val="single" w:sz="8" w:space="0" w:color="FFFFFF"/>
              <w:bottom w:val="single" w:sz="8" w:space="0" w:color="FFFFFF"/>
              <w:right w:val="single" w:sz="8" w:space="0" w:color="FFFFFF"/>
            </w:tcBorders>
            <w:shd w:val="clear" w:color="auto" w:fill="auto"/>
            <w:vAlign w:val="center"/>
          </w:tcPr>
          <w:p w14:paraId="7E8AE6C8" w14:textId="77777777" w:rsidR="00882514" w:rsidRPr="00CD7BA5" w:rsidRDefault="00882514" w:rsidP="00882514">
            <w:pPr>
              <w:tabs>
                <w:tab w:val="decimal" w:pos="189"/>
              </w:tabs>
              <w:spacing w:line="240" w:lineRule="auto"/>
              <w:ind w:right="73"/>
              <w:jc w:val="center"/>
              <w:rPr>
                <w:sz w:val="20"/>
                <w:szCs w:val="20"/>
              </w:rPr>
            </w:pPr>
            <w:r w:rsidRPr="00CD7BA5">
              <w:rPr>
                <w:sz w:val="20"/>
                <w:szCs w:val="20"/>
              </w:rPr>
              <w:t>&lt; 0.001</w:t>
            </w:r>
          </w:p>
        </w:tc>
      </w:tr>
      <w:tr w:rsidR="00882514" w14:paraId="26608A6F" w14:textId="77777777" w:rsidTr="00EA09C7">
        <w:trPr>
          <w:trHeight w:val="230"/>
        </w:trPr>
        <w:tc>
          <w:tcPr>
            <w:tcW w:w="2281"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B32EAAB" w14:textId="77777777" w:rsidR="00882514" w:rsidRDefault="00882514" w:rsidP="00882514">
            <w:pPr>
              <w:spacing w:line="240" w:lineRule="auto"/>
              <w:ind w:firstLine="195"/>
              <w:rPr>
                <w:sz w:val="20"/>
                <w:szCs w:val="20"/>
              </w:rPr>
            </w:pPr>
            <w:r>
              <w:rPr>
                <w:sz w:val="20"/>
                <w:szCs w:val="20"/>
              </w:rPr>
              <w:t xml:space="preserve">Participant </w:t>
            </w:r>
          </w:p>
        </w:tc>
        <w:tc>
          <w:tcPr>
            <w:tcW w:w="154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B61931D"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9559613" w14:textId="77777777" w:rsidR="00882514" w:rsidRPr="00CD7BA5" w:rsidRDefault="00882514" w:rsidP="00882514">
            <w:pPr>
              <w:spacing w:line="240" w:lineRule="auto"/>
              <w:jc w:val="center"/>
              <w:rPr>
                <w:sz w:val="20"/>
                <w:szCs w:val="20"/>
              </w:rPr>
            </w:pP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36B4F3C" w14:textId="77777777" w:rsidR="00882514" w:rsidRPr="00CD7BA5" w:rsidRDefault="00882514" w:rsidP="00882514">
            <w:pPr>
              <w:spacing w:line="240" w:lineRule="auto"/>
              <w:ind w:right="110"/>
              <w:jc w:val="center"/>
              <w:rPr>
                <w:sz w:val="20"/>
                <w:szCs w:val="20"/>
              </w:rPr>
            </w:pPr>
            <w:r w:rsidRPr="00CD7BA5">
              <w:rPr>
                <w:sz w:val="20"/>
                <w:szCs w:val="20"/>
              </w:rPr>
              <w:t>&lt; 0.001</w:t>
            </w: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6CBA636" w14:textId="77777777" w:rsidR="00882514" w:rsidRPr="00CD7BA5" w:rsidRDefault="00882514" w:rsidP="00882514">
            <w:pPr>
              <w:spacing w:line="240" w:lineRule="auto"/>
              <w:ind w:right="120"/>
              <w:jc w:val="center"/>
              <w:rPr>
                <w:sz w:val="20"/>
                <w:szCs w:val="20"/>
              </w:rPr>
            </w:pPr>
            <w:r w:rsidRPr="00CD7BA5">
              <w:rPr>
                <w:sz w:val="20"/>
                <w:szCs w:val="20"/>
              </w:rPr>
              <w:t>&lt; 0.001</w:t>
            </w: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DB4314B" w14:textId="77777777" w:rsidR="00882514" w:rsidRPr="00CD7BA5" w:rsidRDefault="00882514" w:rsidP="00882514">
            <w:pPr>
              <w:tabs>
                <w:tab w:val="decimal" w:pos="152"/>
              </w:tabs>
              <w:spacing w:line="240" w:lineRule="auto"/>
              <w:ind w:right="40"/>
              <w:jc w:val="center"/>
              <w:rPr>
                <w:sz w:val="20"/>
                <w:szCs w:val="20"/>
              </w:rPr>
            </w:pPr>
            <w:r w:rsidRPr="00CD7BA5">
              <w:rPr>
                <w:sz w:val="20"/>
                <w:szCs w:val="20"/>
              </w:rPr>
              <w:t>&lt; 0.001</w:t>
            </w:r>
          </w:p>
        </w:tc>
        <w:tc>
          <w:tcPr>
            <w:tcW w:w="1543"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4D3F59F" w14:textId="77777777" w:rsidR="00882514" w:rsidRPr="00CD7BA5" w:rsidRDefault="00882514" w:rsidP="00882514">
            <w:pPr>
              <w:tabs>
                <w:tab w:val="decimal" w:pos="209"/>
              </w:tabs>
              <w:spacing w:line="240" w:lineRule="auto"/>
              <w:ind w:right="62"/>
              <w:jc w:val="center"/>
              <w:rPr>
                <w:sz w:val="20"/>
                <w:szCs w:val="20"/>
              </w:rPr>
            </w:pPr>
            <w:r w:rsidRPr="00CD7BA5">
              <w:rPr>
                <w:sz w:val="20"/>
                <w:szCs w:val="20"/>
              </w:rPr>
              <w:t>&lt; 0.001</w:t>
            </w:r>
          </w:p>
        </w:tc>
        <w:tc>
          <w:tcPr>
            <w:tcW w:w="1543" w:type="dxa"/>
            <w:tcBorders>
              <w:left w:val="single" w:sz="8" w:space="0" w:color="FFFFFF"/>
              <w:bottom w:val="single" w:sz="8" w:space="0" w:color="FFFFFF"/>
              <w:right w:val="single" w:sz="8" w:space="0" w:color="FFFFFF"/>
            </w:tcBorders>
            <w:shd w:val="clear" w:color="auto" w:fill="auto"/>
            <w:vAlign w:val="center"/>
          </w:tcPr>
          <w:p w14:paraId="4282937A" w14:textId="77777777" w:rsidR="00882514" w:rsidRPr="00CD7BA5" w:rsidRDefault="00882514" w:rsidP="00882514">
            <w:pPr>
              <w:tabs>
                <w:tab w:val="decimal" w:pos="189"/>
              </w:tabs>
              <w:spacing w:line="240" w:lineRule="auto"/>
              <w:ind w:right="73"/>
              <w:jc w:val="center"/>
              <w:rPr>
                <w:sz w:val="20"/>
                <w:szCs w:val="20"/>
              </w:rPr>
            </w:pPr>
            <w:r w:rsidRPr="00CD7BA5">
              <w:rPr>
                <w:sz w:val="20"/>
                <w:szCs w:val="20"/>
              </w:rPr>
              <w:t>&lt; 0.001</w:t>
            </w:r>
          </w:p>
        </w:tc>
      </w:tr>
      <w:tr w:rsidR="00882514" w14:paraId="02D019BA" w14:textId="77777777" w:rsidTr="00EA09C7">
        <w:trPr>
          <w:trHeight w:val="55"/>
        </w:trPr>
        <w:tc>
          <w:tcPr>
            <w:tcW w:w="2281" w:type="dxa"/>
            <w:tcBorders>
              <w:top w:val="single" w:sz="4" w:space="0" w:color="FFFFFF"/>
              <w:left w:val="single" w:sz="4" w:space="0" w:color="FFFFFF"/>
              <w:bottom w:val="nil"/>
              <w:right w:val="single" w:sz="4" w:space="0" w:color="FFFFFF"/>
            </w:tcBorders>
            <w:shd w:val="clear" w:color="auto" w:fill="auto"/>
            <w:vAlign w:val="center"/>
          </w:tcPr>
          <w:p w14:paraId="60AB995E" w14:textId="77777777" w:rsidR="00882514" w:rsidRDefault="00882514" w:rsidP="00882514">
            <w:pPr>
              <w:spacing w:line="240" w:lineRule="auto"/>
              <w:ind w:firstLine="195"/>
              <w:rPr>
                <w:sz w:val="20"/>
                <w:szCs w:val="20"/>
              </w:rPr>
            </w:pPr>
            <w:r>
              <w:rPr>
                <w:sz w:val="20"/>
                <w:szCs w:val="20"/>
              </w:rPr>
              <w:t>Vignette</w:t>
            </w:r>
          </w:p>
        </w:tc>
        <w:tc>
          <w:tcPr>
            <w:tcW w:w="1542" w:type="dxa"/>
            <w:tcBorders>
              <w:top w:val="single" w:sz="4" w:space="0" w:color="FFFFFF"/>
              <w:left w:val="single" w:sz="4" w:space="0" w:color="FFFFFF"/>
              <w:bottom w:val="nil"/>
              <w:right w:val="single" w:sz="4" w:space="0" w:color="FFFFFF"/>
            </w:tcBorders>
            <w:shd w:val="clear" w:color="auto" w:fill="auto"/>
            <w:vAlign w:val="center"/>
          </w:tcPr>
          <w:p w14:paraId="32278B35" w14:textId="77777777" w:rsidR="00882514" w:rsidRPr="00CD7BA5" w:rsidRDefault="00882514" w:rsidP="00882514">
            <w:pPr>
              <w:spacing w:line="240" w:lineRule="auto"/>
              <w:rPr>
                <w:sz w:val="20"/>
                <w:szCs w:val="20"/>
              </w:rPr>
            </w:pPr>
          </w:p>
        </w:tc>
        <w:tc>
          <w:tcPr>
            <w:tcW w:w="1543" w:type="dxa"/>
            <w:tcBorders>
              <w:top w:val="single" w:sz="4" w:space="0" w:color="FFFFFF"/>
              <w:left w:val="single" w:sz="4" w:space="0" w:color="FFFFFF"/>
              <w:bottom w:val="nil"/>
              <w:right w:val="single" w:sz="4" w:space="0" w:color="FFFFFF"/>
            </w:tcBorders>
            <w:shd w:val="clear" w:color="auto" w:fill="auto"/>
            <w:vAlign w:val="center"/>
          </w:tcPr>
          <w:p w14:paraId="321444D9" w14:textId="77777777" w:rsidR="00882514" w:rsidRPr="00CD7BA5" w:rsidRDefault="00882514" w:rsidP="00882514">
            <w:pPr>
              <w:spacing w:line="240" w:lineRule="auto"/>
              <w:jc w:val="center"/>
              <w:rPr>
                <w:sz w:val="20"/>
                <w:szCs w:val="20"/>
              </w:rPr>
            </w:pPr>
            <w:r w:rsidRPr="00CD7BA5">
              <w:rPr>
                <w:sz w:val="20"/>
                <w:szCs w:val="20"/>
              </w:rPr>
              <w:t>0.600</w:t>
            </w:r>
          </w:p>
        </w:tc>
        <w:tc>
          <w:tcPr>
            <w:tcW w:w="1543" w:type="dxa"/>
            <w:tcBorders>
              <w:top w:val="single" w:sz="4" w:space="0" w:color="FFFFFF"/>
              <w:left w:val="single" w:sz="4" w:space="0" w:color="FFFFFF"/>
              <w:bottom w:val="nil"/>
              <w:right w:val="single" w:sz="4" w:space="0" w:color="FFFFFF"/>
            </w:tcBorders>
            <w:shd w:val="clear" w:color="auto" w:fill="auto"/>
            <w:vAlign w:val="center"/>
          </w:tcPr>
          <w:p w14:paraId="4EA21571" w14:textId="77777777" w:rsidR="00882514" w:rsidRPr="00CD7BA5" w:rsidRDefault="00882514" w:rsidP="00882514">
            <w:pPr>
              <w:spacing w:line="240" w:lineRule="auto"/>
              <w:jc w:val="center"/>
              <w:rPr>
                <w:sz w:val="20"/>
                <w:szCs w:val="20"/>
              </w:rPr>
            </w:pPr>
            <w:r w:rsidRPr="00CD7BA5">
              <w:rPr>
                <w:sz w:val="20"/>
                <w:szCs w:val="20"/>
              </w:rPr>
              <w:t>0.600</w:t>
            </w:r>
          </w:p>
        </w:tc>
        <w:tc>
          <w:tcPr>
            <w:tcW w:w="1543" w:type="dxa"/>
            <w:tcBorders>
              <w:top w:val="single" w:sz="4" w:space="0" w:color="FFFFFF"/>
              <w:left w:val="single" w:sz="4" w:space="0" w:color="FFFFFF"/>
              <w:bottom w:val="nil"/>
              <w:right w:val="single" w:sz="4" w:space="0" w:color="FFFFFF"/>
            </w:tcBorders>
            <w:shd w:val="clear" w:color="auto" w:fill="auto"/>
            <w:vAlign w:val="center"/>
          </w:tcPr>
          <w:p w14:paraId="3B1D7D5F" w14:textId="77777777" w:rsidR="00882514" w:rsidRPr="00CD7BA5" w:rsidRDefault="00882514" w:rsidP="00882514">
            <w:pPr>
              <w:spacing w:line="240" w:lineRule="auto"/>
              <w:jc w:val="center"/>
              <w:rPr>
                <w:sz w:val="20"/>
                <w:szCs w:val="20"/>
              </w:rPr>
            </w:pPr>
            <w:r w:rsidRPr="00CD7BA5">
              <w:rPr>
                <w:sz w:val="20"/>
                <w:szCs w:val="20"/>
              </w:rPr>
              <w:t>0.600</w:t>
            </w:r>
          </w:p>
        </w:tc>
        <w:tc>
          <w:tcPr>
            <w:tcW w:w="1543" w:type="dxa"/>
            <w:tcBorders>
              <w:top w:val="single" w:sz="4" w:space="0" w:color="FFFFFF"/>
              <w:left w:val="single" w:sz="4" w:space="0" w:color="FFFFFF"/>
              <w:bottom w:val="nil"/>
              <w:right w:val="single" w:sz="4" w:space="0" w:color="FFFFFF"/>
            </w:tcBorders>
            <w:shd w:val="clear" w:color="auto" w:fill="auto"/>
            <w:vAlign w:val="center"/>
          </w:tcPr>
          <w:p w14:paraId="755F7FDF" w14:textId="77777777" w:rsidR="00882514" w:rsidRPr="00CD7BA5" w:rsidRDefault="00882514" w:rsidP="00882514">
            <w:pPr>
              <w:tabs>
                <w:tab w:val="decimal" w:pos="152"/>
              </w:tabs>
              <w:spacing w:line="240" w:lineRule="auto"/>
              <w:jc w:val="center"/>
              <w:rPr>
                <w:sz w:val="20"/>
                <w:szCs w:val="20"/>
              </w:rPr>
            </w:pPr>
            <w:r w:rsidRPr="00CD7BA5">
              <w:rPr>
                <w:sz w:val="20"/>
                <w:szCs w:val="20"/>
              </w:rPr>
              <w:t>0.601</w:t>
            </w:r>
          </w:p>
        </w:tc>
        <w:tc>
          <w:tcPr>
            <w:tcW w:w="1543" w:type="dxa"/>
            <w:tcBorders>
              <w:top w:val="single" w:sz="4" w:space="0" w:color="FFFFFF"/>
              <w:left w:val="single" w:sz="4" w:space="0" w:color="FFFFFF"/>
              <w:bottom w:val="nil"/>
              <w:right w:val="single" w:sz="4" w:space="0" w:color="FFFFFF"/>
            </w:tcBorders>
            <w:shd w:val="clear" w:color="auto" w:fill="auto"/>
            <w:vAlign w:val="center"/>
          </w:tcPr>
          <w:p w14:paraId="6BB99076" w14:textId="77777777" w:rsidR="00882514" w:rsidRPr="00CD7BA5" w:rsidRDefault="00882514" w:rsidP="00882514">
            <w:pPr>
              <w:tabs>
                <w:tab w:val="decimal" w:pos="209"/>
              </w:tabs>
              <w:spacing w:line="240" w:lineRule="auto"/>
              <w:jc w:val="center"/>
              <w:rPr>
                <w:sz w:val="20"/>
                <w:szCs w:val="20"/>
              </w:rPr>
            </w:pPr>
            <w:r w:rsidRPr="00CD7BA5">
              <w:rPr>
                <w:sz w:val="20"/>
                <w:szCs w:val="20"/>
              </w:rPr>
              <w:t>0.669</w:t>
            </w:r>
          </w:p>
        </w:tc>
        <w:tc>
          <w:tcPr>
            <w:tcW w:w="1543" w:type="dxa"/>
            <w:tcBorders>
              <w:left w:val="single" w:sz="8" w:space="0" w:color="FFFFFF"/>
              <w:bottom w:val="nil"/>
              <w:right w:val="single" w:sz="8" w:space="0" w:color="FFFFFF"/>
            </w:tcBorders>
            <w:shd w:val="clear" w:color="auto" w:fill="auto"/>
            <w:vAlign w:val="center"/>
          </w:tcPr>
          <w:p w14:paraId="48E7E1D9" w14:textId="77777777" w:rsidR="00882514" w:rsidRPr="00CD7BA5" w:rsidRDefault="00882514" w:rsidP="00882514">
            <w:pPr>
              <w:tabs>
                <w:tab w:val="decimal" w:pos="189"/>
              </w:tabs>
              <w:spacing w:line="240" w:lineRule="auto"/>
              <w:ind w:right="73"/>
              <w:jc w:val="center"/>
              <w:rPr>
                <w:sz w:val="20"/>
                <w:szCs w:val="20"/>
              </w:rPr>
            </w:pPr>
            <w:r w:rsidRPr="00CD7BA5">
              <w:rPr>
                <w:sz w:val="20"/>
                <w:szCs w:val="20"/>
              </w:rPr>
              <w:t>&lt; 0.001</w:t>
            </w:r>
          </w:p>
        </w:tc>
      </w:tr>
      <w:tr w:rsidR="00882514" w14:paraId="437F22C4" w14:textId="77777777" w:rsidTr="00EA09C7">
        <w:trPr>
          <w:trHeight w:val="230"/>
        </w:trPr>
        <w:tc>
          <w:tcPr>
            <w:tcW w:w="2281" w:type="dxa"/>
            <w:tcBorders>
              <w:top w:val="single" w:sz="8" w:space="0" w:color="auto"/>
              <w:left w:val="nil"/>
              <w:bottom w:val="single" w:sz="8" w:space="0" w:color="auto"/>
              <w:right w:val="nil"/>
            </w:tcBorders>
            <w:shd w:val="clear" w:color="auto" w:fill="auto"/>
            <w:vAlign w:val="center"/>
          </w:tcPr>
          <w:p w14:paraId="0477AA86" w14:textId="77777777" w:rsidR="00882514" w:rsidRDefault="00882514" w:rsidP="00882514">
            <w:pPr>
              <w:spacing w:line="240" w:lineRule="auto"/>
              <w:rPr>
                <w:sz w:val="20"/>
                <w:szCs w:val="20"/>
              </w:rPr>
            </w:pPr>
            <w:r>
              <w:rPr>
                <w:sz w:val="20"/>
                <w:szCs w:val="20"/>
              </w:rPr>
              <w:t>AIC</w:t>
            </w:r>
          </w:p>
        </w:tc>
        <w:tc>
          <w:tcPr>
            <w:tcW w:w="1542" w:type="dxa"/>
            <w:tcBorders>
              <w:top w:val="single" w:sz="8" w:space="0" w:color="auto"/>
              <w:left w:val="nil"/>
              <w:bottom w:val="single" w:sz="8" w:space="0" w:color="auto"/>
              <w:right w:val="nil"/>
            </w:tcBorders>
            <w:shd w:val="clear" w:color="auto" w:fill="auto"/>
            <w:vAlign w:val="center"/>
          </w:tcPr>
          <w:p w14:paraId="7DD581C3" w14:textId="77777777" w:rsidR="00882514" w:rsidRDefault="00882514" w:rsidP="00882514">
            <w:pPr>
              <w:spacing w:line="240" w:lineRule="auto"/>
              <w:jc w:val="center"/>
              <w:rPr>
                <w:sz w:val="20"/>
                <w:szCs w:val="20"/>
              </w:rPr>
            </w:pPr>
            <w:r>
              <w:rPr>
                <w:sz w:val="20"/>
                <w:szCs w:val="20"/>
              </w:rPr>
              <w:t>18881.09</w:t>
            </w:r>
          </w:p>
        </w:tc>
        <w:tc>
          <w:tcPr>
            <w:tcW w:w="1543" w:type="dxa"/>
            <w:tcBorders>
              <w:top w:val="single" w:sz="8" w:space="0" w:color="auto"/>
              <w:left w:val="nil"/>
              <w:bottom w:val="single" w:sz="8" w:space="0" w:color="auto"/>
              <w:right w:val="nil"/>
            </w:tcBorders>
            <w:shd w:val="clear" w:color="auto" w:fill="auto"/>
            <w:vAlign w:val="center"/>
          </w:tcPr>
          <w:p w14:paraId="02E017AF" w14:textId="77777777" w:rsidR="00882514" w:rsidRDefault="00882514" w:rsidP="00882514">
            <w:pPr>
              <w:spacing w:line="240" w:lineRule="auto"/>
              <w:jc w:val="center"/>
              <w:rPr>
                <w:sz w:val="20"/>
                <w:szCs w:val="20"/>
              </w:rPr>
            </w:pPr>
            <w:r>
              <w:rPr>
                <w:sz w:val="20"/>
                <w:szCs w:val="20"/>
              </w:rPr>
              <w:t>17834.75</w:t>
            </w:r>
          </w:p>
        </w:tc>
        <w:tc>
          <w:tcPr>
            <w:tcW w:w="1543" w:type="dxa"/>
            <w:tcBorders>
              <w:top w:val="single" w:sz="8" w:space="0" w:color="auto"/>
              <w:left w:val="nil"/>
              <w:bottom w:val="single" w:sz="8" w:space="0" w:color="auto"/>
              <w:right w:val="nil"/>
            </w:tcBorders>
            <w:shd w:val="clear" w:color="auto" w:fill="auto"/>
            <w:vAlign w:val="center"/>
          </w:tcPr>
          <w:p w14:paraId="69F956E2" w14:textId="77777777" w:rsidR="00882514" w:rsidRDefault="00882514" w:rsidP="00882514">
            <w:pPr>
              <w:spacing w:line="240" w:lineRule="auto"/>
              <w:jc w:val="center"/>
              <w:rPr>
                <w:sz w:val="20"/>
                <w:szCs w:val="20"/>
              </w:rPr>
            </w:pPr>
            <w:r>
              <w:rPr>
                <w:sz w:val="20"/>
                <w:szCs w:val="20"/>
              </w:rPr>
              <w:t>17836.75</w:t>
            </w:r>
          </w:p>
        </w:tc>
        <w:tc>
          <w:tcPr>
            <w:tcW w:w="1543" w:type="dxa"/>
            <w:tcBorders>
              <w:top w:val="single" w:sz="8" w:space="0" w:color="auto"/>
              <w:left w:val="nil"/>
              <w:bottom w:val="single" w:sz="8" w:space="0" w:color="auto"/>
              <w:right w:val="nil"/>
            </w:tcBorders>
            <w:shd w:val="clear" w:color="auto" w:fill="auto"/>
            <w:vAlign w:val="center"/>
          </w:tcPr>
          <w:p w14:paraId="1D8712CB" w14:textId="77777777" w:rsidR="00882514" w:rsidRDefault="00882514" w:rsidP="00882514">
            <w:pPr>
              <w:tabs>
                <w:tab w:val="decimal" w:pos="427"/>
              </w:tabs>
              <w:spacing w:line="240" w:lineRule="auto"/>
              <w:jc w:val="center"/>
              <w:rPr>
                <w:sz w:val="20"/>
                <w:szCs w:val="20"/>
              </w:rPr>
            </w:pPr>
            <w:r>
              <w:rPr>
                <w:sz w:val="20"/>
                <w:szCs w:val="20"/>
              </w:rPr>
              <w:t>17838.75</w:t>
            </w:r>
          </w:p>
        </w:tc>
        <w:tc>
          <w:tcPr>
            <w:tcW w:w="1543" w:type="dxa"/>
            <w:tcBorders>
              <w:top w:val="single" w:sz="8" w:space="0" w:color="auto"/>
              <w:left w:val="nil"/>
              <w:bottom w:val="single" w:sz="8" w:space="0" w:color="auto"/>
              <w:right w:val="nil"/>
            </w:tcBorders>
            <w:shd w:val="clear" w:color="auto" w:fill="auto"/>
            <w:vAlign w:val="center"/>
          </w:tcPr>
          <w:p w14:paraId="61E8B56F" w14:textId="77777777" w:rsidR="00882514" w:rsidRDefault="00882514" w:rsidP="00882514">
            <w:pPr>
              <w:tabs>
                <w:tab w:val="decimal" w:pos="242"/>
              </w:tabs>
              <w:spacing w:line="240" w:lineRule="auto"/>
              <w:jc w:val="center"/>
              <w:rPr>
                <w:sz w:val="20"/>
                <w:szCs w:val="20"/>
              </w:rPr>
            </w:pPr>
            <w:r>
              <w:rPr>
                <w:sz w:val="20"/>
                <w:szCs w:val="20"/>
              </w:rPr>
              <w:t>17554.31</w:t>
            </w:r>
          </w:p>
        </w:tc>
        <w:tc>
          <w:tcPr>
            <w:tcW w:w="1543" w:type="dxa"/>
            <w:tcBorders>
              <w:top w:val="single" w:sz="8" w:space="0" w:color="auto"/>
              <w:left w:val="nil"/>
              <w:bottom w:val="single" w:sz="8" w:space="0" w:color="auto"/>
              <w:right w:val="nil"/>
            </w:tcBorders>
            <w:shd w:val="clear" w:color="auto" w:fill="auto"/>
            <w:vAlign w:val="center"/>
          </w:tcPr>
          <w:p w14:paraId="37854C4D" w14:textId="77777777" w:rsidR="00882514" w:rsidRDefault="00882514" w:rsidP="00882514">
            <w:pPr>
              <w:tabs>
                <w:tab w:val="decimal" w:pos="438"/>
              </w:tabs>
              <w:spacing w:line="240" w:lineRule="auto"/>
              <w:jc w:val="center"/>
              <w:rPr>
                <w:sz w:val="20"/>
                <w:szCs w:val="20"/>
              </w:rPr>
            </w:pPr>
            <w:r>
              <w:rPr>
                <w:sz w:val="20"/>
                <w:szCs w:val="20"/>
              </w:rPr>
              <w:t>15871.99</w:t>
            </w:r>
          </w:p>
        </w:tc>
        <w:tc>
          <w:tcPr>
            <w:tcW w:w="1543" w:type="dxa"/>
            <w:tcBorders>
              <w:top w:val="single" w:sz="8" w:space="0" w:color="auto"/>
              <w:left w:val="nil"/>
              <w:bottom w:val="single" w:sz="8" w:space="0" w:color="auto"/>
              <w:right w:val="nil"/>
            </w:tcBorders>
            <w:shd w:val="clear" w:color="auto" w:fill="auto"/>
            <w:vAlign w:val="center"/>
          </w:tcPr>
          <w:p w14:paraId="0FCCEBCF" w14:textId="77777777" w:rsidR="00882514" w:rsidRDefault="00882514" w:rsidP="00882514">
            <w:pPr>
              <w:tabs>
                <w:tab w:val="decimal" w:pos="164"/>
              </w:tabs>
              <w:spacing w:line="240" w:lineRule="auto"/>
              <w:jc w:val="center"/>
            </w:pPr>
            <w:r>
              <w:rPr>
                <w:sz w:val="20"/>
                <w:szCs w:val="20"/>
              </w:rPr>
              <w:t>15807.69</w:t>
            </w:r>
          </w:p>
        </w:tc>
      </w:tr>
    </w:tbl>
    <w:p w14:paraId="7F658660" w14:textId="77777777" w:rsidR="00882514" w:rsidRDefault="00882514" w:rsidP="00882514">
      <w:pPr>
        <w:spacing w:line="240" w:lineRule="auto"/>
      </w:pPr>
      <w:r>
        <w:rPr>
          <w:i/>
        </w:rPr>
        <w:t xml:space="preserve">Note. </w:t>
      </w:r>
      <w:r>
        <w:t xml:space="preserve">Estimates and their standard errors, in parentheses where applicable, are provided for each variable in the model. Positive values suggest increasing likelihood of knowledge attribution. For condition, the comparison group was Gettier, and for vignette, the comparison group was Darrel. Full model statistics can be found at </w:t>
      </w:r>
      <w:hyperlink r:id="rId19">
        <w:r>
          <w:rPr>
            <w:color w:val="1155CC"/>
            <w:u w:val="single"/>
          </w:rPr>
          <w:t>https://osf.io/8ut6e/</w:t>
        </w:r>
      </w:hyperlink>
      <w:r>
        <w:t xml:space="preserve"> in the analysis folder. </w:t>
      </w:r>
    </w:p>
    <w:p w14:paraId="74E11485" w14:textId="77777777" w:rsidR="00882514" w:rsidRDefault="00882514" w:rsidP="00882514">
      <w:pPr>
        <w:spacing w:line="240" w:lineRule="auto"/>
        <w:rPr>
          <w:i/>
        </w:rPr>
      </w:pPr>
      <w:r>
        <w:t xml:space="preserve">* </w:t>
      </w:r>
      <w:r>
        <w:rPr>
          <w:i/>
        </w:rPr>
        <w:t>p</w:t>
      </w:r>
      <w:r>
        <w:t xml:space="preserve"> &lt; .05; ** </w:t>
      </w:r>
      <w:r>
        <w:rPr>
          <w:i/>
        </w:rPr>
        <w:t>p</w:t>
      </w:r>
      <w:r>
        <w:t xml:space="preserve"> &lt; .01; *** </w:t>
      </w:r>
      <w:r>
        <w:rPr>
          <w:i/>
        </w:rPr>
        <w:t>p</w:t>
      </w:r>
      <w:r>
        <w:t xml:space="preserve"> &lt; .001</w:t>
      </w:r>
    </w:p>
    <w:p w14:paraId="7B54BFED" w14:textId="77777777" w:rsidR="00E03554" w:rsidRDefault="00E03554">
      <w:pPr>
        <w:spacing w:after="160"/>
        <w:rPr>
          <w:b/>
        </w:rPr>
        <w:sectPr w:rsidR="00E03554">
          <w:pgSz w:w="15840" w:h="12240" w:orient="landscape"/>
          <w:pgMar w:top="1440" w:right="1440" w:bottom="1440" w:left="1440" w:header="720" w:footer="720" w:gutter="0"/>
          <w:cols w:space="720"/>
        </w:sectPr>
      </w:pPr>
    </w:p>
    <w:p w14:paraId="7D53D277" w14:textId="77777777" w:rsidR="00E03554" w:rsidRDefault="00DF0CFA">
      <w:pPr>
        <w:rPr>
          <w:b/>
        </w:rPr>
      </w:pPr>
      <w:r>
        <w:rPr>
          <w:b/>
        </w:rPr>
        <w:lastRenderedPageBreak/>
        <w:t>Table 5</w:t>
      </w:r>
    </w:p>
    <w:p w14:paraId="13BE2AAD" w14:textId="77777777" w:rsidR="00E03554" w:rsidRDefault="00DF0CFA">
      <w:pPr>
        <w:rPr>
          <w:i/>
        </w:rPr>
      </w:pPr>
      <w:r>
        <w:rPr>
          <w:i/>
        </w:rPr>
        <w:t>Knowledge Attributions from Model 2 Overall and by Vignette</w:t>
      </w:r>
    </w:p>
    <w:tbl>
      <w:tblPr>
        <w:tblW w:w="5000" w:type="pct"/>
        <w:tblLook w:val="0600" w:firstRow="0" w:lastRow="0" w:firstColumn="0" w:lastColumn="0" w:noHBand="1" w:noVBand="1"/>
      </w:tblPr>
      <w:tblGrid>
        <w:gridCol w:w="1872"/>
        <w:gridCol w:w="1872"/>
        <w:gridCol w:w="1872"/>
        <w:gridCol w:w="1872"/>
        <w:gridCol w:w="1872"/>
      </w:tblGrid>
      <w:tr w:rsidR="00882514" w14:paraId="7A46E794" w14:textId="77777777" w:rsidTr="00EA09C7">
        <w:trPr>
          <w:trHeight w:val="267"/>
        </w:trPr>
        <w:tc>
          <w:tcPr>
            <w:tcW w:w="1000" w:type="pct"/>
            <w:tcBorders>
              <w:top w:val="single" w:sz="8" w:space="0" w:color="auto"/>
              <w:bottom w:val="single" w:sz="8" w:space="0" w:color="auto"/>
            </w:tcBorders>
            <w:tcMar>
              <w:top w:w="0" w:type="dxa"/>
              <w:left w:w="0" w:type="dxa"/>
              <w:bottom w:w="0" w:type="dxa"/>
              <w:right w:w="0" w:type="dxa"/>
            </w:tcMar>
            <w:vAlign w:val="bottom"/>
          </w:tcPr>
          <w:p w14:paraId="1DF872B5" w14:textId="77777777" w:rsidR="00882514" w:rsidRDefault="00882514" w:rsidP="00EA09C7">
            <w:pPr>
              <w:spacing w:line="240" w:lineRule="auto"/>
            </w:pPr>
          </w:p>
        </w:tc>
        <w:tc>
          <w:tcPr>
            <w:tcW w:w="1000" w:type="pct"/>
            <w:tcBorders>
              <w:top w:val="single" w:sz="8" w:space="0" w:color="auto"/>
              <w:bottom w:val="single" w:sz="8" w:space="0" w:color="auto"/>
            </w:tcBorders>
            <w:tcMar>
              <w:top w:w="0" w:type="dxa"/>
              <w:left w:w="0" w:type="dxa"/>
              <w:bottom w:w="0" w:type="dxa"/>
              <w:right w:w="0" w:type="dxa"/>
            </w:tcMar>
            <w:vAlign w:val="bottom"/>
          </w:tcPr>
          <w:p w14:paraId="5F555E6C" w14:textId="77777777" w:rsidR="00882514" w:rsidRDefault="00882514" w:rsidP="00EA09C7">
            <w:pPr>
              <w:spacing w:line="240" w:lineRule="auto"/>
              <w:jc w:val="center"/>
            </w:pPr>
            <w:r>
              <w:t>Overall</w:t>
            </w:r>
          </w:p>
        </w:tc>
        <w:tc>
          <w:tcPr>
            <w:tcW w:w="1000" w:type="pct"/>
            <w:tcBorders>
              <w:top w:val="single" w:sz="8" w:space="0" w:color="auto"/>
              <w:bottom w:val="single" w:sz="8" w:space="0" w:color="auto"/>
            </w:tcBorders>
            <w:tcMar>
              <w:top w:w="0" w:type="dxa"/>
              <w:left w:w="0" w:type="dxa"/>
              <w:bottom w:w="0" w:type="dxa"/>
              <w:right w:w="0" w:type="dxa"/>
            </w:tcMar>
            <w:vAlign w:val="bottom"/>
          </w:tcPr>
          <w:p w14:paraId="69144FD1" w14:textId="77777777" w:rsidR="00882514" w:rsidRDefault="00882514" w:rsidP="00EA09C7">
            <w:pPr>
              <w:spacing w:line="240" w:lineRule="auto"/>
              <w:ind w:right="95"/>
              <w:jc w:val="center"/>
            </w:pPr>
            <w:r>
              <w:t>Darrel</w:t>
            </w:r>
          </w:p>
        </w:tc>
        <w:tc>
          <w:tcPr>
            <w:tcW w:w="1000" w:type="pct"/>
            <w:tcBorders>
              <w:top w:val="single" w:sz="8" w:space="0" w:color="auto"/>
              <w:bottom w:val="single" w:sz="8" w:space="0" w:color="auto"/>
            </w:tcBorders>
            <w:tcMar>
              <w:top w:w="0" w:type="dxa"/>
              <w:left w:w="0" w:type="dxa"/>
              <w:bottom w:w="0" w:type="dxa"/>
              <w:right w:w="0" w:type="dxa"/>
            </w:tcMar>
            <w:vAlign w:val="bottom"/>
          </w:tcPr>
          <w:p w14:paraId="4B46E50F" w14:textId="77777777" w:rsidR="00882514" w:rsidRDefault="00882514" w:rsidP="00EA09C7">
            <w:pPr>
              <w:spacing w:line="240" w:lineRule="auto"/>
              <w:jc w:val="center"/>
            </w:pPr>
            <w:r>
              <w:t>Emma</w:t>
            </w:r>
          </w:p>
        </w:tc>
        <w:tc>
          <w:tcPr>
            <w:tcW w:w="1000" w:type="pct"/>
            <w:tcBorders>
              <w:top w:val="single" w:sz="8" w:space="0" w:color="auto"/>
              <w:bottom w:val="single" w:sz="8" w:space="0" w:color="auto"/>
            </w:tcBorders>
            <w:tcMar>
              <w:top w:w="0" w:type="dxa"/>
              <w:left w:w="0" w:type="dxa"/>
              <w:bottom w:w="0" w:type="dxa"/>
              <w:right w:w="0" w:type="dxa"/>
            </w:tcMar>
            <w:vAlign w:val="bottom"/>
          </w:tcPr>
          <w:p w14:paraId="79CE4C02" w14:textId="77777777" w:rsidR="00882514" w:rsidRDefault="00882514" w:rsidP="00EA09C7">
            <w:pPr>
              <w:spacing w:line="240" w:lineRule="auto"/>
              <w:jc w:val="center"/>
            </w:pPr>
            <w:r>
              <w:t xml:space="preserve">Gerald </w:t>
            </w:r>
          </w:p>
        </w:tc>
      </w:tr>
      <w:tr w:rsidR="00882514" w14:paraId="0D3B9EDB" w14:textId="77777777" w:rsidTr="00EA09C7">
        <w:tc>
          <w:tcPr>
            <w:tcW w:w="1000" w:type="pct"/>
            <w:tcBorders>
              <w:top w:val="single" w:sz="8" w:space="0" w:color="auto"/>
              <w:bottom w:val="single" w:sz="6" w:space="0" w:color="FFFFFF"/>
            </w:tcBorders>
            <w:tcMar>
              <w:top w:w="0" w:type="dxa"/>
              <w:left w:w="0" w:type="dxa"/>
              <w:bottom w:w="0" w:type="dxa"/>
              <w:right w:w="0" w:type="dxa"/>
            </w:tcMar>
          </w:tcPr>
          <w:p w14:paraId="0D2F068A" w14:textId="77777777" w:rsidR="00882514" w:rsidRDefault="00882514" w:rsidP="00EA09C7">
            <w:pPr>
              <w:spacing w:line="240" w:lineRule="auto"/>
            </w:pPr>
            <w:r>
              <w:t>Believes</w:t>
            </w:r>
          </w:p>
        </w:tc>
        <w:tc>
          <w:tcPr>
            <w:tcW w:w="1000" w:type="pct"/>
            <w:tcBorders>
              <w:top w:val="single" w:sz="8" w:space="0" w:color="auto"/>
              <w:bottom w:val="single" w:sz="6" w:space="0" w:color="FFFFFF"/>
            </w:tcBorders>
            <w:tcMar>
              <w:top w:w="0" w:type="dxa"/>
              <w:left w:w="0" w:type="dxa"/>
              <w:bottom w:w="0" w:type="dxa"/>
              <w:right w:w="0" w:type="dxa"/>
            </w:tcMar>
            <w:vAlign w:val="center"/>
          </w:tcPr>
          <w:p w14:paraId="601A93A7" w14:textId="77777777" w:rsidR="00882514" w:rsidRDefault="00882514" w:rsidP="00EA09C7">
            <w:pPr>
              <w:spacing w:line="240" w:lineRule="auto"/>
              <w:jc w:val="center"/>
            </w:pPr>
            <w:r>
              <w:t>8595 (39.08%)</w:t>
            </w:r>
          </w:p>
        </w:tc>
        <w:tc>
          <w:tcPr>
            <w:tcW w:w="1000" w:type="pct"/>
            <w:tcBorders>
              <w:top w:val="single" w:sz="8" w:space="0" w:color="auto"/>
              <w:bottom w:val="single" w:sz="6" w:space="0" w:color="FFFFFF"/>
            </w:tcBorders>
            <w:tcMar>
              <w:top w:w="0" w:type="dxa"/>
              <w:left w:w="0" w:type="dxa"/>
              <w:bottom w:w="0" w:type="dxa"/>
              <w:right w:w="0" w:type="dxa"/>
            </w:tcMar>
            <w:vAlign w:val="center"/>
          </w:tcPr>
          <w:p w14:paraId="769F5E5B" w14:textId="77777777" w:rsidR="00882514" w:rsidRDefault="00882514" w:rsidP="00EA09C7">
            <w:pPr>
              <w:spacing w:line="240" w:lineRule="auto"/>
              <w:ind w:right="95"/>
              <w:jc w:val="center"/>
            </w:pPr>
            <w:r>
              <w:t>2268 (48.12%)</w:t>
            </w:r>
          </w:p>
        </w:tc>
        <w:tc>
          <w:tcPr>
            <w:tcW w:w="1000" w:type="pct"/>
            <w:tcBorders>
              <w:top w:val="single" w:sz="8" w:space="0" w:color="auto"/>
              <w:bottom w:val="single" w:sz="6" w:space="0" w:color="FFFFFF"/>
            </w:tcBorders>
            <w:tcMar>
              <w:top w:w="0" w:type="dxa"/>
              <w:left w:w="0" w:type="dxa"/>
              <w:bottom w:w="0" w:type="dxa"/>
              <w:right w:w="0" w:type="dxa"/>
            </w:tcMar>
            <w:vAlign w:val="center"/>
          </w:tcPr>
          <w:p w14:paraId="5AF3D074" w14:textId="77777777" w:rsidR="00882514" w:rsidRDefault="00882514" w:rsidP="00EA09C7">
            <w:pPr>
              <w:spacing w:line="240" w:lineRule="auto"/>
              <w:jc w:val="center"/>
            </w:pPr>
            <w:r>
              <w:t>3716 (78.95%)</w:t>
            </w:r>
          </w:p>
        </w:tc>
        <w:tc>
          <w:tcPr>
            <w:tcW w:w="1000" w:type="pct"/>
            <w:tcBorders>
              <w:top w:val="single" w:sz="8" w:space="0" w:color="auto"/>
              <w:bottom w:val="single" w:sz="6" w:space="0" w:color="FFFFFF"/>
            </w:tcBorders>
            <w:tcMar>
              <w:top w:w="0" w:type="dxa"/>
              <w:left w:w="0" w:type="dxa"/>
              <w:bottom w:w="0" w:type="dxa"/>
              <w:right w:w="0" w:type="dxa"/>
            </w:tcMar>
            <w:vAlign w:val="center"/>
          </w:tcPr>
          <w:p w14:paraId="5690D4AC" w14:textId="77777777" w:rsidR="00882514" w:rsidRDefault="00882514" w:rsidP="00EA09C7">
            <w:pPr>
              <w:spacing w:line="240" w:lineRule="auto"/>
              <w:jc w:val="center"/>
            </w:pPr>
            <w:r>
              <w:t>2611 (55.70%)</w:t>
            </w:r>
          </w:p>
        </w:tc>
      </w:tr>
      <w:tr w:rsidR="00882514" w14:paraId="565DB913" w14:textId="77777777" w:rsidTr="00EA09C7">
        <w:tc>
          <w:tcPr>
            <w:tcW w:w="1000" w:type="pct"/>
            <w:tcBorders>
              <w:top w:val="single" w:sz="6" w:space="0" w:color="FFFFFF"/>
              <w:bottom w:val="single" w:sz="8" w:space="0" w:color="auto"/>
            </w:tcBorders>
            <w:tcMar>
              <w:top w:w="0" w:type="dxa"/>
              <w:left w:w="0" w:type="dxa"/>
              <w:bottom w:w="0" w:type="dxa"/>
              <w:right w:w="0" w:type="dxa"/>
            </w:tcMar>
          </w:tcPr>
          <w:p w14:paraId="4349FF44" w14:textId="77777777" w:rsidR="00882514" w:rsidRDefault="00882514" w:rsidP="00EA09C7">
            <w:pPr>
              <w:spacing w:line="240" w:lineRule="auto"/>
            </w:pPr>
            <w:r>
              <w:t>Knows</w:t>
            </w:r>
          </w:p>
        </w:tc>
        <w:tc>
          <w:tcPr>
            <w:tcW w:w="1000" w:type="pct"/>
            <w:tcBorders>
              <w:top w:val="single" w:sz="6" w:space="0" w:color="FFFFFF"/>
              <w:bottom w:val="single" w:sz="8" w:space="0" w:color="auto"/>
            </w:tcBorders>
            <w:tcMar>
              <w:top w:w="0" w:type="dxa"/>
              <w:left w:w="0" w:type="dxa"/>
              <w:bottom w:w="0" w:type="dxa"/>
              <w:right w:w="0" w:type="dxa"/>
            </w:tcMar>
            <w:vAlign w:val="center"/>
          </w:tcPr>
          <w:p w14:paraId="08D2A707" w14:textId="77777777" w:rsidR="00882514" w:rsidRDefault="00882514" w:rsidP="00EA09C7">
            <w:pPr>
              <w:spacing w:line="240" w:lineRule="auto"/>
              <w:jc w:val="center"/>
            </w:pPr>
            <w:r>
              <w:t>5513 (60.92%)</w:t>
            </w:r>
          </w:p>
        </w:tc>
        <w:tc>
          <w:tcPr>
            <w:tcW w:w="1000" w:type="pct"/>
            <w:tcBorders>
              <w:top w:val="single" w:sz="6" w:space="0" w:color="FFFFFF"/>
              <w:bottom w:val="single" w:sz="8" w:space="0" w:color="auto"/>
            </w:tcBorders>
            <w:tcMar>
              <w:top w:w="0" w:type="dxa"/>
              <w:left w:w="0" w:type="dxa"/>
              <w:bottom w:w="0" w:type="dxa"/>
              <w:right w:w="0" w:type="dxa"/>
            </w:tcMar>
            <w:vAlign w:val="center"/>
          </w:tcPr>
          <w:p w14:paraId="145E6A6C" w14:textId="77777777" w:rsidR="00882514" w:rsidRDefault="00882514" w:rsidP="00EA09C7">
            <w:pPr>
              <w:spacing w:line="240" w:lineRule="auto"/>
              <w:ind w:right="95"/>
              <w:jc w:val="center"/>
            </w:pPr>
            <w:r>
              <w:t>2445 (51.88%)</w:t>
            </w:r>
          </w:p>
        </w:tc>
        <w:tc>
          <w:tcPr>
            <w:tcW w:w="1000" w:type="pct"/>
            <w:tcBorders>
              <w:top w:val="single" w:sz="6" w:space="0" w:color="FFFFFF"/>
              <w:bottom w:val="single" w:sz="8" w:space="0" w:color="auto"/>
            </w:tcBorders>
            <w:tcMar>
              <w:top w:w="0" w:type="dxa"/>
              <w:left w:w="0" w:type="dxa"/>
              <w:bottom w:w="0" w:type="dxa"/>
              <w:right w:w="0" w:type="dxa"/>
            </w:tcMar>
            <w:vAlign w:val="center"/>
          </w:tcPr>
          <w:p w14:paraId="05257187" w14:textId="77777777" w:rsidR="00882514" w:rsidRDefault="00882514" w:rsidP="00EA09C7">
            <w:pPr>
              <w:spacing w:line="240" w:lineRule="auto"/>
              <w:jc w:val="center"/>
            </w:pPr>
            <w:r>
              <w:t>991 (21.05%)</w:t>
            </w:r>
          </w:p>
        </w:tc>
        <w:tc>
          <w:tcPr>
            <w:tcW w:w="1000" w:type="pct"/>
            <w:tcBorders>
              <w:top w:val="single" w:sz="6" w:space="0" w:color="FFFFFF"/>
              <w:bottom w:val="single" w:sz="8" w:space="0" w:color="auto"/>
            </w:tcBorders>
            <w:tcMar>
              <w:top w:w="0" w:type="dxa"/>
              <w:left w:w="0" w:type="dxa"/>
              <w:bottom w:w="0" w:type="dxa"/>
              <w:right w:w="0" w:type="dxa"/>
            </w:tcMar>
            <w:vAlign w:val="center"/>
          </w:tcPr>
          <w:p w14:paraId="0880F5AE" w14:textId="77777777" w:rsidR="00882514" w:rsidRDefault="00882514" w:rsidP="00EA09C7">
            <w:pPr>
              <w:spacing w:line="240" w:lineRule="auto"/>
              <w:jc w:val="center"/>
            </w:pPr>
            <w:r>
              <w:t>2077 (44.30%)</w:t>
            </w:r>
          </w:p>
        </w:tc>
      </w:tr>
    </w:tbl>
    <w:p w14:paraId="6F66197E" w14:textId="77777777" w:rsidR="00E03554" w:rsidRDefault="00E03554">
      <w:pPr>
        <w:rPr>
          <w:i/>
        </w:rPr>
      </w:pPr>
    </w:p>
    <w:p w14:paraId="3AECF913" w14:textId="77777777" w:rsidR="00E03554" w:rsidRDefault="00DF0CFA">
      <w:pPr>
        <w:spacing w:after="160"/>
        <w:ind w:firstLine="720"/>
      </w:pPr>
      <w:r>
        <w:t xml:space="preserve">The model nesting vignette within participants (Model 3; AIC = 17836.75) explained similar amounts of </w:t>
      </w:r>
      <w:proofErr w:type="gramStart"/>
      <w:r>
        <w:t>variance  (</w:t>
      </w:r>
      <w:proofErr w:type="gramEnd"/>
      <w:r>
        <w:t>Pseudo-</w:t>
      </w:r>
      <w:r>
        <w:rPr>
          <w:i/>
        </w:rPr>
        <w:t>R</w:t>
      </w:r>
      <w:r>
        <w:rPr>
          <w:vertAlign w:val="superscript"/>
        </w:rPr>
        <w:t>2</w:t>
      </w:r>
      <w:r>
        <w:t xml:space="preserve"> = .08 to .10) as Model 2. The addition of data collection site in Model 4 (AIC = 17838.75) likewise did not improve model fit (Pseudo-</w:t>
      </w:r>
      <w:r>
        <w:rPr>
          <w:i/>
        </w:rPr>
        <w:t>R</w:t>
      </w:r>
      <w:r>
        <w:rPr>
          <w:vertAlign w:val="superscript"/>
        </w:rPr>
        <w:t>2</w:t>
      </w:r>
      <w:r>
        <w:t xml:space="preserve"> = .08 - .10). The model including the covariates predicting knowledge attributions as fixed effects (Model 5; AIC = 17554.31) was more useful in explaining variance in knowledge attribution than previous models. Age predicted knowledge attribution, such that as age increased, participants were more likely to attribute knowledge to the protagonists. Education was a negative predictor; rates of knowledge attribution decreased as reported education increased. However, these fixed effects accounted for a very small proportion of the variance, Pseudo-</w:t>
      </w:r>
      <w:r>
        <w:rPr>
          <w:i/>
        </w:rPr>
        <w:t>R</w:t>
      </w:r>
      <w:r>
        <w:rPr>
          <w:vertAlign w:val="superscript"/>
        </w:rPr>
        <w:t>2</w:t>
      </w:r>
      <w:r>
        <w:t xml:space="preserve"> &lt; .001.</w:t>
      </w:r>
    </w:p>
    <w:p w14:paraId="301C2E7C" w14:textId="77777777" w:rsidR="00E03554" w:rsidRDefault="00DF0CFA">
      <w:pPr>
        <w:ind w:firstLine="720"/>
        <w:rPr>
          <w:b/>
        </w:rPr>
      </w:pPr>
      <w:r>
        <w:t xml:space="preserve">Model 6 served as the key replication test of </w:t>
      </w:r>
      <w:proofErr w:type="spellStart"/>
      <w:r>
        <w:t>Turri</w:t>
      </w:r>
      <w:proofErr w:type="spellEnd"/>
      <w:r>
        <w:t xml:space="preserve"> et al. (2015). The knowledge condition was added as a fixed effect (AIC = 15539.57). This model performed better than the previous model and revealed an effect of condition on knowledge attribution (Pseudo-</w:t>
      </w:r>
      <w:r>
        <w:rPr>
          <w:i/>
        </w:rPr>
        <w:t>R</w:t>
      </w:r>
      <w:r>
        <w:rPr>
          <w:vertAlign w:val="superscript"/>
        </w:rPr>
        <w:t>2</w:t>
      </w:r>
      <w:r>
        <w:t xml:space="preserve"> = 0.12 - 0.15). See Table 4 for model statistics and Table 6 for knowledge attribution rates by condition. Participants were more likely to attribute knowledge to the protagonist in the knowledge condition vignette than to the protagonists in the ignorance and Gettier condition vignettes; further, the ignorance condition differed from the Gettier condition.. Thus, we did not fully replicate the results of </w:t>
      </w:r>
      <w:proofErr w:type="spellStart"/>
      <w:r>
        <w:t>Turri</w:t>
      </w:r>
      <w:proofErr w:type="spellEnd"/>
      <w:r>
        <w:t xml:space="preserve"> et al. (2015, Experiment 1), who found no difference in knowledge attribution between the knowledge and Gettier conditions. Using the data from this model, each condition was examined for difference from chance using 𝜒</w:t>
      </w:r>
      <w:r>
        <w:rPr>
          <w:vertAlign w:val="superscript"/>
        </w:rPr>
        <w:t>2</w:t>
      </w:r>
      <w:r>
        <w:t xml:space="preserve"> tests. In the knowledge condition, </w:t>
      </w:r>
      <w:r>
        <w:lastRenderedPageBreak/>
        <w:t xml:space="preserve">participants were more likely than chance to attribute knowledge to the protagonist. Participants were less likely than chance to attribute knowledge to the protagonists in the Ignorance and Gettier condition vignettes, all </w:t>
      </w:r>
      <w:proofErr w:type="spellStart"/>
      <w:r>
        <w:rPr>
          <w:i/>
        </w:rPr>
        <w:t>p</w:t>
      </w:r>
      <w:r>
        <w:t>s</w:t>
      </w:r>
      <w:proofErr w:type="spellEnd"/>
      <w:r>
        <w:t xml:space="preserve"> &lt; .001 (see Table 6).</w:t>
      </w:r>
    </w:p>
    <w:p w14:paraId="44302A0E" w14:textId="77777777" w:rsidR="00E03554" w:rsidRDefault="00E03554">
      <w:pPr>
        <w:spacing w:after="160"/>
        <w:rPr>
          <w:b/>
        </w:rPr>
      </w:pPr>
    </w:p>
    <w:p w14:paraId="06CA4138" w14:textId="77777777" w:rsidR="00E03554" w:rsidRDefault="00DF0CFA">
      <w:pPr>
        <w:rPr>
          <w:b/>
        </w:rPr>
      </w:pPr>
      <w:r>
        <w:rPr>
          <w:b/>
        </w:rPr>
        <w:t>Table 6</w:t>
      </w:r>
    </w:p>
    <w:p w14:paraId="1834A490" w14:textId="77777777" w:rsidR="00E03554" w:rsidRDefault="00DF0CFA">
      <w:pPr>
        <w:spacing w:before="240" w:after="240"/>
        <w:rPr>
          <w:i/>
        </w:rPr>
      </w:pPr>
      <w:r>
        <w:rPr>
          <w:i/>
        </w:rPr>
        <w:t>Knowledge Attributions from Model 6 Overall and by Condition</w:t>
      </w:r>
    </w:p>
    <w:tbl>
      <w:tblPr>
        <w:tblW w:w="9000" w:type="dxa"/>
        <w:tblLayout w:type="fixed"/>
        <w:tblLook w:val="0600" w:firstRow="0" w:lastRow="0" w:firstColumn="0" w:lastColumn="0" w:noHBand="1" w:noVBand="1"/>
      </w:tblPr>
      <w:tblGrid>
        <w:gridCol w:w="1800"/>
        <w:gridCol w:w="1800"/>
        <w:gridCol w:w="1800"/>
        <w:gridCol w:w="1800"/>
        <w:gridCol w:w="1800"/>
      </w:tblGrid>
      <w:tr w:rsidR="00882514" w14:paraId="31789D10" w14:textId="77777777" w:rsidTr="00EA09C7">
        <w:trPr>
          <w:trHeight w:val="267"/>
        </w:trPr>
        <w:tc>
          <w:tcPr>
            <w:tcW w:w="1800" w:type="dxa"/>
            <w:tcBorders>
              <w:top w:val="single" w:sz="8" w:space="0" w:color="333333"/>
              <w:left w:val="nil"/>
              <w:bottom w:val="single" w:sz="8" w:space="0" w:color="333333"/>
              <w:right w:val="nil"/>
            </w:tcBorders>
            <w:tcMar>
              <w:top w:w="-24" w:type="dxa"/>
              <w:left w:w="-24" w:type="dxa"/>
              <w:bottom w:w="-24" w:type="dxa"/>
              <w:right w:w="-24" w:type="dxa"/>
            </w:tcMar>
            <w:vAlign w:val="bottom"/>
          </w:tcPr>
          <w:p w14:paraId="3E27FB90" w14:textId="77777777" w:rsidR="00882514" w:rsidRDefault="00882514" w:rsidP="00EA09C7">
            <w:pPr>
              <w:spacing w:line="240" w:lineRule="auto"/>
            </w:pPr>
          </w:p>
        </w:tc>
        <w:tc>
          <w:tcPr>
            <w:tcW w:w="1800" w:type="dxa"/>
            <w:tcBorders>
              <w:top w:val="single" w:sz="8" w:space="0" w:color="333333"/>
              <w:left w:val="nil"/>
              <w:bottom w:val="single" w:sz="8" w:space="0" w:color="333333"/>
              <w:right w:val="nil"/>
            </w:tcBorders>
            <w:tcMar>
              <w:top w:w="-24" w:type="dxa"/>
              <w:left w:w="-24" w:type="dxa"/>
              <w:bottom w:w="-24" w:type="dxa"/>
              <w:right w:w="-24" w:type="dxa"/>
            </w:tcMar>
            <w:vAlign w:val="bottom"/>
          </w:tcPr>
          <w:p w14:paraId="1EEA8ED8" w14:textId="77777777" w:rsidR="00882514" w:rsidRDefault="00882514" w:rsidP="00EA09C7">
            <w:pPr>
              <w:spacing w:line="240" w:lineRule="auto"/>
              <w:jc w:val="center"/>
            </w:pPr>
            <w:r>
              <w:t>Overall</w:t>
            </w:r>
          </w:p>
        </w:tc>
        <w:tc>
          <w:tcPr>
            <w:tcW w:w="1800" w:type="dxa"/>
            <w:tcBorders>
              <w:top w:val="single" w:sz="8" w:space="0" w:color="333333"/>
              <w:left w:val="nil"/>
              <w:bottom w:val="single" w:sz="8" w:space="0" w:color="333333"/>
              <w:right w:val="nil"/>
            </w:tcBorders>
            <w:tcMar>
              <w:top w:w="-24" w:type="dxa"/>
              <w:left w:w="-24" w:type="dxa"/>
              <w:bottom w:w="-24" w:type="dxa"/>
              <w:right w:w="-24" w:type="dxa"/>
            </w:tcMar>
            <w:vAlign w:val="bottom"/>
          </w:tcPr>
          <w:p w14:paraId="2776AB8B" w14:textId="77777777" w:rsidR="00882514" w:rsidRDefault="00882514" w:rsidP="00EA09C7">
            <w:pPr>
              <w:spacing w:line="240" w:lineRule="auto"/>
              <w:jc w:val="center"/>
            </w:pPr>
            <w:r>
              <w:t>Knowledge</w:t>
            </w:r>
          </w:p>
        </w:tc>
        <w:tc>
          <w:tcPr>
            <w:tcW w:w="1800" w:type="dxa"/>
            <w:tcBorders>
              <w:top w:val="single" w:sz="8" w:space="0" w:color="333333"/>
              <w:left w:val="nil"/>
              <w:bottom w:val="single" w:sz="8" w:space="0" w:color="333333"/>
              <w:right w:val="nil"/>
            </w:tcBorders>
            <w:tcMar>
              <w:top w:w="-24" w:type="dxa"/>
              <w:left w:w="-24" w:type="dxa"/>
              <w:bottom w:w="-24" w:type="dxa"/>
              <w:right w:w="-24" w:type="dxa"/>
            </w:tcMar>
            <w:vAlign w:val="bottom"/>
          </w:tcPr>
          <w:p w14:paraId="0E9FBA62" w14:textId="77777777" w:rsidR="00882514" w:rsidRDefault="00882514" w:rsidP="00EA09C7">
            <w:pPr>
              <w:spacing w:line="240" w:lineRule="auto"/>
              <w:jc w:val="center"/>
            </w:pPr>
            <w:r>
              <w:t>Ignorance</w:t>
            </w:r>
          </w:p>
        </w:tc>
        <w:tc>
          <w:tcPr>
            <w:tcW w:w="1800" w:type="dxa"/>
            <w:tcBorders>
              <w:top w:val="single" w:sz="8" w:space="0" w:color="333333"/>
              <w:left w:val="nil"/>
              <w:bottom w:val="single" w:sz="8" w:space="0" w:color="333333"/>
              <w:right w:val="nil"/>
            </w:tcBorders>
            <w:tcMar>
              <w:top w:w="-24" w:type="dxa"/>
              <w:left w:w="-24" w:type="dxa"/>
              <w:bottom w:w="-24" w:type="dxa"/>
              <w:right w:w="-24" w:type="dxa"/>
            </w:tcMar>
            <w:vAlign w:val="bottom"/>
          </w:tcPr>
          <w:p w14:paraId="20BDEEA3" w14:textId="77777777" w:rsidR="00882514" w:rsidRDefault="00882514" w:rsidP="00EA09C7">
            <w:pPr>
              <w:spacing w:line="240" w:lineRule="auto"/>
              <w:jc w:val="center"/>
            </w:pPr>
            <w:r>
              <w:t>Gettier</w:t>
            </w:r>
          </w:p>
        </w:tc>
      </w:tr>
      <w:tr w:rsidR="00882514" w14:paraId="357AFD12" w14:textId="77777777" w:rsidTr="00EA09C7">
        <w:tc>
          <w:tcPr>
            <w:tcW w:w="1800" w:type="dxa"/>
            <w:tcBorders>
              <w:top w:val="single" w:sz="8" w:space="0" w:color="333333"/>
              <w:left w:val="nil"/>
              <w:bottom w:val="nil"/>
              <w:right w:val="nil"/>
            </w:tcBorders>
            <w:tcMar>
              <w:top w:w="-24" w:type="dxa"/>
              <w:left w:w="-24" w:type="dxa"/>
              <w:bottom w:w="-24" w:type="dxa"/>
              <w:right w:w="-24" w:type="dxa"/>
            </w:tcMar>
          </w:tcPr>
          <w:p w14:paraId="7B2E2AFA" w14:textId="77777777" w:rsidR="00882514" w:rsidRDefault="00882514" w:rsidP="00EA09C7">
            <w:pPr>
              <w:spacing w:line="240" w:lineRule="auto"/>
            </w:pPr>
            <w:r>
              <w:t>Believes</w:t>
            </w:r>
          </w:p>
        </w:tc>
        <w:tc>
          <w:tcPr>
            <w:tcW w:w="1800" w:type="dxa"/>
            <w:tcBorders>
              <w:top w:val="single" w:sz="8" w:space="0" w:color="333333"/>
              <w:left w:val="nil"/>
              <w:bottom w:val="nil"/>
              <w:right w:val="nil"/>
            </w:tcBorders>
            <w:tcMar>
              <w:top w:w="-24" w:type="dxa"/>
              <w:left w:w="-24" w:type="dxa"/>
              <w:bottom w:w="-24" w:type="dxa"/>
              <w:right w:w="-24" w:type="dxa"/>
            </w:tcMar>
          </w:tcPr>
          <w:p w14:paraId="3533B38E" w14:textId="77777777" w:rsidR="00882514" w:rsidRDefault="00882514" w:rsidP="00EA09C7">
            <w:pPr>
              <w:spacing w:line="240" w:lineRule="auto"/>
              <w:jc w:val="center"/>
            </w:pPr>
            <w:r>
              <w:t>8476 (61.00%)</w:t>
            </w:r>
          </w:p>
        </w:tc>
        <w:tc>
          <w:tcPr>
            <w:tcW w:w="1800" w:type="dxa"/>
            <w:tcBorders>
              <w:top w:val="single" w:sz="8" w:space="0" w:color="333333"/>
              <w:left w:val="nil"/>
              <w:bottom w:val="nil"/>
              <w:right w:val="nil"/>
            </w:tcBorders>
            <w:tcMar>
              <w:top w:w="-24" w:type="dxa"/>
              <w:left w:w="-24" w:type="dxa"/>
              <w:bottom w:w="-24" w:type="dxa"/>
              <w:right w:w="-24" w:type="dxa"/>
            </w:tcMar>
          </w:tcPr>
          <w:p w14:paraId="1B7C1672" w14:textId="77777777" w:rsidR="00882514" w:rsidRDefault="00882514" w:rsidP="00EA09C7">
            <w:pPr>
              <w:spacing w:line="240" w:lineRule="auto"/>
              <w:jc w:val="center"/>
            </w:pPr>
            <w:r>
              <w:t>2005 (43.41%)</w:t>
            </w:r>
          </w:p>
        </w:tc>
        <w:tc>
          <w:tcPr>
            <w:tcW w:w="1800" w:type="dxa"/>
            <w:tcBorders>
              <w:top w:val="single" w:sz="8" w:space="0" w:color="333333"/>
              <w:left w:val="nil"/>
              <w:bottom w:val="nil"/>
              <w:right w:val="nil"/>
            </w:tcBorders>
            <w:tcMar>
              <w:top w:w="-24" w:type="dxa"/>
              <w:left w:w="-24" w:type="dxa"/>
              <w:bottom w:w="-24" w:type="dxa"/>
              <w:right w:w="-24" w:type="dxa"/>
            </w:tcMar>
          </w:tcPr>
          <w:p w14:paraId="0275CE50" w14:textId="77777777" w:rsidR="00882514" w:rsidRDefault="00882514" w:rsidP="00EA09C7">
            <w:pPr>
              <w:spacing w:line="240" w:lineRule="auto"/>
              <w:jc w:val="center"/>
            </w:pPr>
            <w:r>
              <w:t>3833 (82.06%)</w:t>
            </w:r>
          </w:p>
        </w:tc>
        <w:tc>
          <w:tcPr>
            <w:tcW w:w="1800" w:type="dxa"/>
            <w:tcBorders>
              <w:top w:val="single" w:sz="8" w:space="0" w:color="333333"/>
              <w:left w:val="nil"/>
              <w:bottom w:val="nil"/>
              <w:right w:val="nil"/>
            </w:tcBorders>
            <w:tcMar>
              <w:top w:w="-24" w:type="dxa"/>
              <w:left w:w="-24" w:type="dxa"/>
              <w:bottom w:w="-24" w:type="dxa"/>
              <w:right w:w="-24" w:type="dxa"/>
            </w:tcMar>
          </w:tcPr>
          <w:p w14:paraId="7C787DB1" w14:textId="77777777" w:rsidR="00882514" w:rsidRDefault="00882514" w:rsidP="00EA09C7">
            <w:pPr>
              <w:spacing w:line="240" w:lineRule="auto"/>
              <w:jc w:val="center"/>
            </w:pPr>
            <w:r>
              <w:t>2638 (57.29%)</w:t>
            </w:r>
          </w:p>
        </w:tc>
      </w:tr>
      <w:tr w:rsidR="00882514" w14:paraId="222696FC" w14:textId="77777777" w:rsidTr="00EA09C7">
        <w:tc>
          <w:tcPr>
            <w:tcW w:w="1800" w:type="dxa"/>
            <w:tcBorders>
              <w:top w:val="nil"/>
              <w:left w:val="nil"/>
              <w:bottom w:val="nil"/>
              <w:right w:val="nil"/>
            </w:tcBorders>
            <w:tcMar>
              <w:top w:w="-24" w:type="dxa"/>
              <w:left w:w="-24" w:type="dxa"/>
              <w:bottom w:w="-24" w:type="dxa"/>
              <w:right w:w="-24" w:type="dxa"/>
            </w:tcMar>
          </w:tcPr>
          <w:p w14:paraId="4A4B5934" w14:textId="77777777" w:rsidR="00882514" w:rsidRDefault="00882514" w:rsidP="00EA09C7">
            <w:pPr>
              <w:spacing w:line="240" w:lineRule="auto"/>
            </w:pPr>
            <w:r>
              <w:t>Knows</w:t>
            </w:r>
          </w:p>
        </w:tc>
        <w:tc>
          <w:tcPr>
            <w:tcW w:w="1800" w:type="dxa"/>
            <w:tcBorders>
              <w:top w:val="nil"/>
              <w:left w:val="nil"/>
              <w:bottom w:val="nil"/>
              <w:right w:val="nil"/>
            </w:tcBorders>
            <w:tcMar>
              <w:top w:w="-24" w:type="dxa"/>
              <w:left w:w="-24" w:type="dxa"/>
              <w:bottom w:w="-24" w:type="dxa"/>
              <w:right w:w="-24" w:type="dxa"/>
            </w:tcMar>
          </w:tcPr>
          <w:p w14:paraId="47AA0C89" w14:textId="77777777" w:rsidR="00882514" w:rsidRDefault="00882514" w:rsidP="00EA09C7">
            <w:pPr>
              <w:spacing w:line="240" w:lineRule="auto"/>
              <w:jc w:val="center"/>
            </w:pPr>
            <w:r>
              <w:t>5419 (39.00%)</w:t>
            </w:r>
          </w:p>
        </w:tc>
        <w:tc>
          <w:tcPr>
            <w:tcW w:w="1800" w:type="dxa"/>
            <w:tcBorders>
              <w:top w:val="nil"/>
              <w:left w:val="nil"/>
              <w:bottom w:val="nil"/>
              <w:right w:val="nil"/>
            </w:tcBorders>
            <w:tcMar>
              <w:top w:w="-24" w:type="dxa"/>
              <w:left w:w="-24" w:type="dxa"/>
              <w:bottom w:w="-24" w:type="dxa"/>
              <w:right w:w="-24" w:type="dxa"/>
            </w:tcMar>
          </w:tcPr>
          <w:p w14:paraId="61AFCC25" w14:textId="77777777" w:rsidR="00882514" w:rsidRDefault="00882514" w:rsidP="00EA09C7">
            <w:pPr>
              <w:spacing w:line="240" w:lineRule="auto"/>
              <w:jc w:val="center"/>
            </w:pPr>
            <w:r>
              <w:t xml:space="preserve">2614 (56.59%) </w:t>
            </w:r>
          </w:p>
        </w:tc>
        <w:tc>
          <w:tcPr>
            <w:tcW w:w="1800" w:type="dxa"/>
            <w:tcBorders>
              <w:top w:val="nil"/>
              <w:left w:val="nil"/>
              <w:bottom w:val="nil"/>
              <w:right w:val="nil"/>
            </w:tcBorders>
            <w:tcMar>
              <w:top w:w="-24" w:type="dxa"/>
              <w:left w:w="-24" w:type="dxa"/>
              <w:bottom w:w="-24" w:type="dxa"/>
              <w:right w:w="-24" w:type="dxa"/>
            </w:tcMar>
          </w:tcPr>
          <w:p w14:paraId="30378241" w14:textId="77777777" w:rsidR="00882514" w:rsidRDefault="00882514" w:rsidP="00EA09C7">
            <w:pPr>
              <w:spacing w:line="240" w:lineRule="auto"/>
              <w:jc w:val="center"/>
            </w:pPr>
            <w:r>
              <w:t>838 (17.94%)</w:t>
            </w:r>
          </w:p>
        </w:tc>
        <w:tc>
          <w:tcPr>
            <w:tcW w:w="1800" w:type="dxa"/>
            <w:tcBorders>
              <w:top w:val="nil"/>
              <w:left w:val="nil"/>
              <w:bottom w:val="nil"/>
              <w:right w:val="nil"/>
            </w:tcBorders>
            <w:tcMar>
              <w:top w:w="-24" w:type="dxa"/>
              <w:left w:w="-24" w:type="dxa"/>
              <w:bottom w:w="-24" w:type="dxa"/>
              <w:right w:w="-24" w:type="dxa"/>
            </w:tcMar>
          </w:tcPr>
          <w:p w14:paraId="5C8CD725" w14:textId="77777777" w:rsidR="00882514" w:rsidRDefault="00882514" w:rsidP="00EA09C7">
            <w:pPr>
              <w:spacing w:line="240" w:lineRule="auto"/>
              <w:jc w:val="center"/>
            </w:pPr>
            <w:r>
              <w:t>1967 (42.71%)</w:t>
            </w:r>
          </w:p>
        </w:tc>
      </w:tr>
      <w:tr w:rsidR="00882514" w14:paraId="7CC77E13" w14:textId="77777777" w:rsidTr="00EA09C7">
        <w:trPr>
          <w:trHeight w:val="285"/>
        </w:trPr>
        <w:tc>
          <w:tcPr>
            <w:tcW w:w="1800" w:type="dxa"/>
            <w:tcBorders>
              <w:top w:val="nil"/>
              <w:left w:val="nil"/>
              <w:bottom w:val="single" w:sz="8" w:space="0" w:color="333333"/>
              <w:right w:val="nil"/>
            </w:tcBorders>
            <w:tcMar>
              <w:top w:w="-24" w:type="dxa"/>
              <w:left w:w="-24" w:type="dxa"/>
              <w:bottom w:w="-24" w:type="dxa"/>
              <w:right w:w="-24" w:type="dxa"/>
            </w:tcMar>
          </w:tcPr>
          <w:p w14:paraId="3D7B14A5" w14:textId="77777777" w:rsidR="00882514" w:rsidRDefault="00882514" w:rsidP="00EA09C7">
            <w:pPr>
              <w:spacing w:line="240" w:lineRule="auto"/>
            </w:pPr>
            <w:r>
              <w:rPr>
                <w:rFonts w:ascii="Cambria Math" w:hAnsi="Cambria Math" w:cs="Cambria Math"/>
              </w:rPr>
              <w:t>𝜒</w:t>
            </w:r>
            <w:r>
              <w:rPr>
                <w:vertAlign w:val="superscript"/>
              </w:rPr>
              <w:t xml:space="preserve">2 </w:t>
            </w:r>
            <w:r>
              <w:t>(1)</w:t>
            </w:r>
          </w:p>
        </w:tc>
        <w:tc>
          <w:tcPr>
            <w:tcW w:w="1800" w:type="dxa"/>
            <w:tcBorders>
              <w:top w:val="nil"/>
              <w:bottom w:val="single" w:sz="8" w:space="0" w:color="000000"/>
            </w:tcBorders>
            <w:tcMar>
              <w:top w:w="-24" w:type="dxa"/>
              <w:left w:w="-24" w:type="dxa"/>
              <w:bottom w:w="-24" w:type="dxa"/>
              <w:right w:w="-24" w:type="dxa"/>
            </w:tcMar>
          </w:tcPr>
          <w:p w14:paraId="35D3C247" w14:textId="77777777" w:rsidR="00882514" w:rsidRDefault="00882514" w:rsidP="00EA09C7">
            <w:pPr>
              <w:spacing w:line="240" w:lineRule="auto"/>
              <w:rPr>
                <w:color w:val="333333"/>
              </w:rPr>
            </w:pPr>
          </w:p>
        </w:tc>
        <w:tc>
          <w:tcPr>
            <w:tcW w:w="1800" w:type="dxa"/>
            <w:tcBorders>
              <w:top w:val="nil"/>
              <w:bottom w:val="single" w:sz="8" w:space="0" w:color="000000"/>
            </w:tcBorders>
            <w:tcMar>
              <w:top w:w="-24" w:type="dxa"/>
              <w:left w:w="-24" w:type="dxa"/>
              <w:bottom w:w="-24" w:type="dxa"/>
              <w:right w:w="-24" w:type="dxa"/>
            </w:tcMar>
          </w:tcPr>
          <w:p w14:paraId="17D0EA73" w14:textId="77777777" w:rsidR="00882514" w:rsidRDefault="00882514" w:rsidP="00EA09C7">
            <w:pPr>
              <w:spacing w:line="240" w:lineRule="auto"/>
              <w:jc w:val="center"/>
              <w:rPr>
                <w:color w:val="333333"/>
              </w:rPr>
            </w:pPr>
            <w:r>
              <w:rPr>
                <w:color w:val="333333"/>
              </w:rPr>
              <w:t>80.29*</w:t>
            </w:r>
          </w:p>
        </w:tc>
        <w:tc>
          <w:tcPr>
            <w:tcW w:w="1800" w:type="dxa"/>
            <w:tcBorders>
              <w:top w:val="nil"/>
              <w:bottom w:val="single" w:sz="8" w:space="0" w:color="000000"/>
            </w:tcBorders>
            <w:tcMar>
              <w:top w:w="-24" w:type="dxa"/>
              <w:left w:w="-24" w:type="dxa"/>
              <w:bottom w:w="-24" w:type="dxa"/>
              <w:right w:w="-24" w:type="dxa"/>
            </w:tcMar>
          </w:tcPr>
          <w:p w14:paraId="44BEEA49" w14:textId="77777777" w:rsidR="00882514" w:rsidRDefault="00882514" w:rsidP="00EA09C7">
            <w:pPr>
              <w:spacing w:line="240" w:lineRule="auto"/>
              <w:jc w:val="center"/>
              <w:rPr>
                <w:color w:val="333333"/>
              </w:rPr>
            </w:pPr>
            <w:r>
              <w:rPr>
                <w:color w:val="333333"/>
              </w:rPr>
              <w:t>1920.37*</w:t>
            </w:r>
          </w:p>
        </w:tc>
        <w:tc>
          <w:tcPr>
            <w:tcW w:w="1800" w:type="dxa"/>
            <w:tcBorders>
              <w:top w:val="nil"/>
              <w:bottom w:val="single" w:sz="8" w:space="0" w:color="000000"/>
            </w:tcBorders>
            <w:tcMar>
              <w:top w:w="-24" w:type="dxa"/>
              <w:left w:w="-24" w:type="dxa"/>
              <w:bottom w:w="-24" w:type="dxa"/>
              <w:right w:w="-24" w:type="dxa"/>
            </w:tcMar>
          </w:tcPr>
          <w:p w14:paraId="6B2EC84F" w14:textId="77777777" w:rsidR="00882514" w:rsidRDefault="00882514" w:rsidP="00EA09C7">
            <w:pPr>
              <w:spacing w:line="240" w:lineRule="auto"/>
              <w:jc w:val="center"/>
              <w:rPr>
                <w:color w:val="333333"/>
              </w:rPr>
            </w:pPr>
            <w:r>
              <w:rPr>
                <w:color w:val="333333"/>
              </w:rPr>
              <w:t>97.77*</w:t>
            </w:r>
          </w:p>
        </w:tc>
      </w:tr>
    </w:tbl>
    <w:p w14:paraId="0C3C9704" w14:textId="77777777" w:rsidR="00882514" w:rsidRDefault="00882514" w:rsidP="00882514">
      <w:pPr>
        <w:pStyle w:val="Heading3"/>
        <w:spacing w:line="240" w:lineRule="auto"/>
        <w:rPr>
          <w:b w:val="0"/>
          <w:bCs/>
          <w:i w:val="0"/>
          <w:iCs/>
          <w:color w:val="000000"/>
        </w:rPr>
      </w:pPr>
      <w:bookmarkStart w:id="29" w:name="_yt45x49t4eko" w:colFirst="0" w:colLast="0"/>
      <w:bookmarkEnd w:id="29"/>
      <w:r>
        <w:rPr>
          <w:b w:val="0"/>
          <w:bCs/>
          <w:color w:val="000000"/>
        </w:rPr>
        <w:t xml:space="preserve">Note. </w:t>
      </w:r>
      <w:r w:rsidRPr="00200461">
        <w:rPr>
          <w:rFonts w:ascii="Cambria Math" w:hAnsi="Cambria Math" w:cs="Cambria Math"/>
          <w:b w:val="0"/>
          <w:bCs/>
          <w:i w:val="0"/>
          <w:iCs/>
          <w:color w:val="000000"/>
          <w:shd w:val="clear" w:color="auto" w:fill="FFFFFF"/>
        </w:rPr>
        <w:t>𝜒</w:t>
      </w:r>
      <w:r w:rsidRPr="00200461">
        <w:rPr>
          <w:b w:val="0"/>
          <w:bCs/>
          <w:i w:val="0"/>
          <w:iCs/>
          <w:color w:val="000000"/>
          <w:sz w:val="14"/>
          <w:szCs w:val="14"/>
          <w:shd w:val="clear" w:color="auto" w:fill="FFFFFF"/>
          <w:vertAlign w:val="superscript"/>
        </w:rPr>
        <w:t>2</w:t>
      </w:r>
      <w:r w:rsidRPr="00200461">
        <w:rPr>
          <w:b w:val="0"/>
          <w:bCs/>
          <w:i w:val="0"/>
          <w:iCs/>
          <w:color w:val="000000"/>
          <w:shd w:val="clear" w:color="auto" w:fill="FFFFFF"/>
        </w:rPr>
        <w:t xml:space="preserve"> tests</w:t>
      </w:r>
      <w:r>
        <w:rPr>
          <w:b w:val="0"/>
          <w:bCs/>
          <w:i w:val="0"/>
          <w:iCs/>
          <w:color w:val="000000"/>
          <w:shd w:val="clear" w:color="auto" w:fill="FFFFFF"/>
        </w:rPr>
        <w:t xml:space="preserve"> comparing participant knowledge attributions in each condition to chance were conducted using data from Model 6.</w:t>
      </w:r>
    </w:p>
    <w:p w14:paraId="49B3CD7C" w14:textId="2F25144C" w:rsidR="00E03554" w:rsidRDefault="00882514">
      <w:r>
        <w:t>*</w:t>
      </w:r>
      <w:r>
        <w:rPr>
          <w:i/>
          <w:iCs/>
        </w:rPr>
        <w:t xml:space="preserve">p </w:t>
      </w:r>
      <w:r>
        <w:t>&lt; .001</w:t>
      </w:r>
    </w:p>
    <w:p w14:paraId="11DED7B4" w14:textId="77777777" w:rsidR="00E03554" w:rsidRDefault="00DF0CFA">
      <w:pPr>
        <w:pStyle w:val="Heading3"/>
        <w:rPr>
          <w:color w:val="000000"/>
        </w:rPr>
      </w:pPr>
      <w:bookmarkStart w:id="30" w:name="_7ff1r82mic6s" w:colFirst="0" w:colLast="0"/>
      <w:bookmarkEnd w:id="30"/>
      <w:r>
        <w:rPr>
          <w:color w:val="000000"/>
        </w:rPr>
        <w:t>Does the effect of condition on knowledge attributions differ by vignette?</w:t>
      </w:r>
    </w:p>
    <w:p w14:paraId="2D05DD13" w14:textId="77777777" w:rsidR="00E03554" w:rsidRDefault="00DF0CFA">
      <w:pPr>
        <w:spacing w:after="160"/>
        <w:ind w:firstLine="720"/>
      </w:pPr>
      <w:r>
        <w:t>To better understand whether the effect of condition varied as a function of the vignette’s content, Model 6A was estimated including an interaction between vignette and condition (AIC = 15807.69). This model fit the data better (Pseudo-</w:t>
      </w:r>
      <w:r>
        <w:rPr>
          <w:i/>
        </w:rPr>
        <w:t>R</w:t>
      </w:r>
      <w:r>
        <w:rPr>
          <w:vertAlign w:val="superscript"/>
        </w:rPr>
        <w:t>2</w:t>
      </w:r>
      <w:r>
        <w:t xml:space="preserve"> = .20 to .24) than Model 6. As shown in Figure 3, </w:t>
      </w:r>
      <w:proofErr w:type="gramStart"/>
      <w:r>
        <w:t>the  pattern</w:t>
      </w:r>
      <w:proofErr w:type="gramEnd"/>
      <w:r>
        <w:t xml:space="preserve"> of results was the same for every vignette; however, values suggest that the interaction between condition and vignette accounted for some of the variance in knowledge attributions. The size of the differences between conditions (and between vignettes) depended on the vignette-condition combinations. </w:t>
      </w:r>
    </w:p>
    <w:p w14:paraId="54FEDCB8" w14:textId="77777777" w:rsidR="00E03554" w:rsidRDefault="00E03554">
      <w:pPr>
        <w:spacing w:after="160"/>
        <w:rPr>
          <w:rFonts w:ascii="Helvetica Neue" w:eastAsia="Helvetica Neue" w:hAnsi="Helvetica Neue" w:cs="Helvetica Neue"/>
          <w:color w:val="333333"/>
          <w:sz w:val="21"/>
          <w:szCs w:val="21"/>
        </w:rPr>
      </w:pPr>
    </w:p>
    <w:p w14:paraId="50666F3C" w14:textId="77777777" w:rsidR="00E03554" w:rsidRDefault="00E03554">
      <w:pPr>
        <w:spacing w:after="160"/>
        <w:ind w:firstLine="720"/>
      </w:pPr>
    </w:p>
    <w:p w14:paraId="04C63C53" w14:textId="77777777" w:rsidR="00E03554" w:rsidRDefault="00E03554">
      <w:pPr>
        <w:sectPr w:rsidR="00E03554">
          <w:pgSz w:w="12240" w:h="15840"/>
          <w:pgMar w:top="1440" w:right="1440" w:bottom="1440" w:left="1440" w:header="720" w:footer="720" w:gutter="0"/>
          <w:cols w:space="720"/>
        </w:sectPr>
      </w:pPr>
    </w:p>
    <w:p w14:paraId="4404E25E" w14:textId="77777777" w:rsidR="00E03554" w:rsidRDefault="00DF0CFA">
      <w:pPr>
        <w:rPr>
          <w:b/>
        </w:rPr>
      </w:pPr>
      <w:r>
        <w:rPr>
          <w:b/>
        </w:rPr>
        <w:lastRenderedPageBreak/>
        <w:t>Figure 3</w:t>
      </w:r>
    </w:p>
    <w:p w14:paraId="0A6CFC0E" w14:textId="77777777" w:rsidR="00E03554" w:rsidRDefault="00DF0CFA">
      <w:pPr>
        <w:rPr>
          <w:i/>
        </w:rPr>
      </w:pPr>
      <w:r>
        <w:rPr>
          <w:i/>
        </w:rPr>
        <w:t>Knowledge attribution, reasonableness, and luck/(in)ability rates by vignette and condition.</w:t>
      </w:r>
    </w:p>
    <w:p w14:paraId="120E58A4" w14:textId="77777777" w:rsidR="00E03554" w:rsidRDefault="00DF0CFA">
      <w:pPr>
        <w:spacing w:line="240" w:lineRule="auto"/>
        <w:jc w:val="center"/>
        <w:rPr>
          <w:i/>
        </w:rPr>
        <w:sectPr w:rsidR="00E03554">
          <w:pgSz w:w="15840" w:h="12240" w:orient="landscape"/>
          <w:pgMar w:top="1440" w:right="1440" w:bottom="1440" w:left="1440" w:header="720" w:footer="720" w:gutter="0"/>
          <w:cols w:space="720"/>
        </w:sectPr>
      </w:pPr>
      <w:r>
        <w:rPr>
          <w:i/>
          <w:noProof/>
          <w:lang w:val="en-US"/>
        </w:rPr>
        <w:drawing>
          <wp:inline distT="114300" distB="114300" distL="114300" distR="114300" wp14:anchorId="48E9B59B" wp14:editId="48E8C4D0">
            <wp:extent cx="7158038" cy="511687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7158038" cy="5116878"/>
                    </a:xfrm>
                    <a:prstGeom prst="rect">
                      <a:avLst/>
                    </a:prstGeom>
                    <a:ln/>
                  </pic:spPr>
                </pic:pic>
              </a:graphicData>
            </a:graphic>
          </wp:inline>
        </w:drawing>
      </w:r>
    </w:p>
    <w:p w14:paraId="4B6B3DDB" w14:textId="77777777" w:rsidR="00E03554" w:rsidRDefault="00DF0CFA">
      <w:pPr>
        <w:spacing w:after="160"/>
        <w:ind w:firstLine="720"/>
      </w:pPr>
      <w:r>
        <w:lastRenderedPageBreak/>
        <w:t>In responding to the Darrel vignette, participants attributed knowledge at different rates according to the vignette’s condition, 𝜒</w:t>
      </w:r>
      <w:r>
        <w:rPr>
          <w:vertAlign w:val="superscript"/>
        </w:rPr>
        <w:t>2</w:t>
      </w:r>
      <w:r>
        <w:t xml:space="preserve">(2) = 781.00, </w:t>
      </w:r>
      <w:r>
        <w:rPr>
          <w:i/>
        </w:rPr>
        <w:t>p</w:t>
      </w:r>
      <w:r>
        <w:t xml:space="preserve"> &lt; .001. Participants were more likely to attribute knowledge when responding to the Gettier condition version (p̂ = .60) than in the ignorance condition version (p̂ = .23; </w:t>
      </w:r>
      <w:proofErr w:type="spellStart"/>
      <w:r>
        <w:t>Cramér’s</w:t>
      </w:r>
      <w:proofErr w:type="spellEnd"/>
      <w:r>
        <w:t xml:space="preserve"> 𝑉 = .37, 95% CI [.34, .41], 𝜒</w:t>
      </w:r>
      <w:r>
        <w:rPr>
          <w:vertAlign w:val="superscript"/>
        </w:rPr>
        <w:t>2</w:t>
      </w:r>
      <w:r>
        <w:t xml:space="preserve">(1) = 425.61, 𝑝 &lt; .001). They were also more likely to attribute knowledge to Darrel when responding to the knowledge condition version (p̂ = .71) than in the Gettier condition version (p̂ = .60; </w:t>
      </w:r>
      <w:proofErr w:type="spellStart"/>
      <w:r>
        <w:t>Cramér’s</w:t>
      </w:r>
      <w:proofErr w:type="spellEnd"/>
      <w:r>
        <w:t xml:space="preserve"> 𝑉 = .12, 95% CI [.08, .15], 𝜒</w:t>
      </w:r>
      <w:r>
        <w:rPr>
          <w:vertAlign w:val="superscript"/>
        </w:rPr>
        <w:t>2</w:t>
      </w:r>
      <w:r>
        <w:t>(1) = 43.30, 𝑝 &lt; .001).</w:t>
      </w:r>
    </w:p>
    <w:p w14:paraId="6C30CFD3" w14:textId="77777777" w:rsidR="00E03554" w:rsidRDefault="00DF0CFA">
      <w:pPr>
        <w:spacing w:after="160"/>
        <w:ind w:firstLine="720"/>
      </w:pPr>
      <w:r>
        <w:t>The pattern of responding was similar for the Emma vignette; the likelihood that participants attributed knowledge to Emma differed according to the vignette’s condition, 𝜒</w:t>
      </w:r>
      <w:r>
        <w:rPr>
          <w:vertAlign w:val="superscript"/>
        </w:rPr>
        <w:t>2</w:t>
      </w:r>
      <w:r>
        <w:t xml:space="preserve">(2) = 291.42, </w:t>
      </w:r>
      <w:r>
        <w:rPr>
          <w:i/>
        </w:rPr>
        <w:t>p</w:t>
      </w:r>
      <w:r>
        <w:t xml:space="preserve"> &lt; .001. Participants were more likely to attribute knowledge when responding to the Gettier condition of the Emma vignette (p̂ = .18) than in the ignorance condition of the Emma vignette (p̂ = .10; </w:t>
      </w:r>
      <w:proofErr w:type="spellStart"/>
      <w:r>
        <w:t>Cramér’s</w:t>
      </w:r>
      <w:proofErr w:type="spellEnd"/>
      <w:r>
        <w:t xml:space="preserve"> 𝑉 = .11, 95% CI [.07, .14], 𝜒</w:t>
      </w:r>
      <w:r>
        <w:rPr>
          <w:vertAlign w:val="superscript"/>
        </w:rPr>
        <w:t>2</w:t>
      </w:r>
      <w:r>
        <w:t xml:space="preserve">(1) = 35.15, 𝑝 &lt; .001). The likelihood of knowledge attribution was higher for the knowledge version of the vignette (p̂ = .35) than for the Gettier version (p̂ = .18; </w:t>
      </w:r>
      <w:proofErr w:type="spellStart"/>
      <w:r>
        <w:t>Cramér’s</w:t>
      </w:r>
      <w:proofErr w:type="spellEnd"/>
      <w:r>
        <w:t xml:space="preserve"> 𝑉 = .19, 95% CI [.16, .23], 𝜒</w:t>
      </w:r>
      <w:r>
        <w:rPr>
          <w:vertAlign w:val="superscript"/>
        </w:rPr>
        <w:t>2</w:t>
      </w:r>
      <w:r>
        <w:t>(1) = 112.59, 𝑝 &lt; .001).</w:t>
      </w:r>
    </w:p>
    <w:p w14:paraId="27A1C69E" w14:textId="77777777" w:rsidR="00E03554" w:rsidRDefault="00DF0CFA">
      <w:pPr>
        <w:spacing w:after="160"/>
        <w:ind w:firstLine="720"/>
      </w:pPr>
      <w:r>
        <w:t>In response to the Gerald vignette, participant knowledge attributions similarly differed according to vignette condition, 𝜒</w:t>
      </w:r>
      <w:r>
        <w:rPr>
          <w:vertAlign w:val="superscript"/>
        </w:rPr>
        <w:t>2</w:t>
      </w:r>
      <w:r>
        <w:t xml:space="preserve">(2) = 607.03, </w:t>
      </w:r>
      <w:r>
        <w:rPr>
          <w:i/>
        </w:rPr>
        <w:t>p</w:t>
      </w:r>
      <w:r>
        <w:t xml:space="preserve"> &lt; .001. Participants were more likely to attribute knowledge in response to the Gettier condition version of the Gerald vignette (p̂ = .50) than to the ignorance condition version of the Gerald vignette (p̂ = .20; </w:t>
      </w:r>
      <w:proofErr w:type="spellStart"/>
      <w:r>
        <w:t>Cramér’s</w:t>
      </w:r>
      <w:proofErr w:type="spellEnd"/>
      <w:r>
        <w:t xml:space="preserve"> 𝑉 = .31, 95% CI [.28, .35], 𝜒</w:t>
      </w:r>
      <w:r>
        <w:rPr>
          <w:vertAlign w:val="superscript"/>
        </w:rPr>
        <w:t>2</w:t>
      </w:r>
      <w:r>
        <w:t xml:space="preserve">(1) = 304.67, 𝑝 &lt; .001). In addition, they were more likely to attribute knowledge to Gerald in the knowledge condition version (p̂ = .63) than in the Gettier condition version (p̂ = .50; </w:t>
      </w:r>
      <w:proofErr w:type="spellStart"/>
      <w:r>
        <w:t>Cramér’s</w:t>
      </w:r>
      <w:proofErr w:type="spellEnd"/>
      <w:r>
        <w:t xml:space="preserve"> 𝑉 = .13, 95% CI [.09, .17], 𝜒</w:t>
      </w:r>
      <w:r>
        <w:rPr>
          <w:vertAlign w:val="superscript"/>
        </w:rPr>
        <w:t>2</w:t>
      </w:r>
      <w:r>
        <w:t>(1) = 50.27, 𝑝 &lt; .001).</w:t>
      </w:r>
    </w:p>
    <w:p w14:paraId="044D63B5" w14:textId="77777777" w:rsidR="00E03554" w:rsidRDefault="00DF0CFA">
      <w:pPr>
        <w:spacing w:after="160"/>
        <w:ind w:firstLine="720"/>
      </w:pPr>
      <w:r>
        <w:lastRenderedPageBreak/>
        <w:t xml:space="preserve">To interpret the condition by vignette interaction, we examined </w:t>
      </w:r>
      <w:proofErr w:type="spellStart"/>
      <w:r>
        <w:t>Cramér’s</w:t>
      </w:r>
      <w:proofErr w:type="spellEnd"/>
      <w:r>
        <w:t xml:space="preserve"> </w:t>
      </w:r>
      <w:r>
        <w:rPr>
          <w:i/>
        </w:rPr>
        <w:t>V</w:t>
      </w:r>
      <w:r>
        <w:t xml:space="preserve"> for the analyses of each vignette. This approach revealed that the likelihood of knowledge attributions in the Gettier and ignorance conditions differed less for the Emma vignette than for the Darrel and Gerald vignettes. Additionally, the Gettier and knowledge conditions of the Darrel vignette produced a smaller difference in likelihood than that for those conditions of the other two vignettes. Thus, participants demonstrated Gettier intuitions in all three vignettes (i.e., participants were more likely to deny knowledge in the Gettier condition than in the knowledge condition, a case of justified true belief), but these Gettier intuitions were weakest in response to the Darrel vignette and strongest in response to the Emma vignette.</w:t>
      </w:r>
    </w:p>
    <w:p w14:paraId="27F6D519" w14:textId="77777777" w:rsidR="00E03554" w:rsidRDefault="00DF0CFA">
      <w:pPr>
        <w:pStyle w:val="Heading2"/>
        <w:rPr>
          <w:color w:val="000000"/>
        </w:rPr>
      </w:pPr>
      <w:bookmarkStart w:id="31" w:name="_whj98wdqjk2a" w:colFirst="0" w:colLast="0"/>
      <w:bookmarkEnd w:id="31"/>
      <w:r>
        <w:rPr>
          <w:color w:val="000000"/>
        </w:rPr>
        <w:t>Reasonableness Judgments</w:t>
      </w:r>
    </w:p>
    <w:p w14:paraId="4359D85A" w14:textId="77777777" w:rsidR="00E03554" w:rsidRDefault="00DF0CFA">
      <w:pPr>
        <w:spacing w:after="160"/>
        <w:ind w:firstLine="720"/>
        <w:sectPr w:rsidR="00E03554">
          <w:pgSz w:w="12240" w:h="15840"/>
          <w:pgMar w:top="1440" w:right="1440" w:bottom="1440" w:left="1440" w:header="720" w:footer="720" w:gutter="0"/>
          <w:cols w:space="720"/>
        </w:sectPr>
      </w:pPr>
      <w:r>
        <w:t>As a secondary dependent measure, judgments of reasonableness were predicted in a series of logistic regression models paralleling those for knowledge attributions. See Table 7 for a summary of model results. Compared to a baseline intercept-only model (Model 1, AIC = 7343.35), a model with a random intercept for vignette (Model 2, AIC = 7286.55) explained more variance. The likelihood of the protagonist being judged as reasonable varied by vignette (Pseudo-</w:t>
      </w:r>
      <w:r>
        <w:rPr>
          <w:i/>
        </w:rPr>
        <w:t>R</w:t>
      </w:r>
      <w:r>
        <w:rPr>
          <w:vertAlign w:val="superscript"/>
        </w:rPr>
        <w:t>2</w:t>
      </w:r>
      <w:r>
        <w:t xml:space="preserve"> = .00 to .02); although, overall participants were far more likely to respond that the protagonist was reasonable than unreasonable in all three vignettes. Collapsing across conditions, participants were more likely to judge Emma as unreasonable than Gerald. Participants were more likely to judge Gerald as unreasonable than Darrel (see Table 8).</w:t>
      </w:r>
    </w:p>
    <w:p w14:paraId="68CDDE58" w14:textId="77777777" w:rsidR="00E03554" w:rsidRDefault="00DF0CFA">
      <w:pPr>
        <w:widowControl w:val="0"/>
      </w:pPr>
      <w:r>
        <w:rPr>
          <w:b/>
        </w:rPr>
        <w:lastRenderedPageBreak/>
        <w:t>Table 7</w:t>
      </w:r>
    </w:p>
    <w:p w14:paraId="3CD7B427" w14:textId="77777777" w:rsidR="00E03554" w:rsidRDefault="00DF0CFA">
      <w:pPr>
        <w:widowControl w:val="0"/>
        <w:rPr>
          <w:i/>
        </w:rPr>
      </w:pPr>
      <w:r>
        <w:rPr>
          <w:i/>
        </w:rPr>
        <w:t>Reasonableness Judgment Model Summaries</w:t>
      </w:r>
    </w:p>
    <w:tbl>
      <w:tblPr>
        <w:tblW w:w="13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1517"/>
        <w:gridCol w:w="1517"/>
        <w:gridCol w:w="1517"/>
        <w:gridCol w:w="1517"/>
        <w:gridCol w:w="1517"/>
        <w:gridCol w:w="1530"/>
        <w:gridCol w:w="1710"/>
      </w:tblGrid>
      <w:tr w:rsidR="00882514" w14:paraId="319C4CC9" w14:textId="77777777" w:rsidTr="00EA09C7">
        <w:trPr>
          <w:trHeight w:val="260"/>
        </w:trPr>
        <w:tc>
          <w:tcPr>
            <w:tcW w:w="2310" w:type="dxa"/>
            <w:vMerge w:val="restart"/>
            <w:tcBorders>
              <w:left w:val="single" w:sz="4" w:space="0" w:color="FFFFFF"/>
              <w:right w:val="single" w:sz="4" w:space="0" w:color="FFFFFF"/>
            </w:tcBorders>
            <w:vAlign w:val="center"/>
          </w:tcPr>
          <w:p w14:paraId="1B9B6ED9" w14:textId="77777777" w:rsidR="00882514" w:rsidRPr="000241EE" w:rsidRDefault="00882514" w:rsidP="00882514">
            <w:pPr>
              <w:spacing w:line="240" w:lineRule="auto"/>
              <w:rPr>
                <w:b/>
                <w:sz w:val="22"/>
                <w:szCs w:val="22"/>
              </w:rPr>
            </w:pPr>
            <w:r w:rsidRPr="000241EE">
              <w:rPr>
                <w:b/>
                <w:sz w:val="22"/>
                <w:szCs w:val="22"/>
              </w:rPr>
              <w:t>Parameter Estimate or Statistic</w:t>
            </w:r>
          </w:p>
        </w:tc>
        <w:tc>
          <w:tcPr>
            <w:tcW w:w="10825" w:type="dxa"/>
            <w:gridSpan w:val="7"/>
            <w:tcBorders>
              <w:left w:val="single" w:sz="4" w:space="0" w:color="FFFFFF"/>
              <w:right w:val="nil"/>
            </w:tcBorders>
            <w:vAlign w:val="center"/>
          </w:tcPr>
          <w:p w14:paraId="34F83880" w14:textId="77777777" w:rsidR="00882514" w:rsidRPr="000241EE" w:rsidRDefault="00882514" w:rsidP="00882514">
            <w:pPr>
              <w:spacing w:line="240" w:lineRule="auto"/>
              <w:jc w:val="center"/>
              <w:rPr>
                <w:b/>
                <w:sz w:val="22"/>
                <w:szCs w:val="22"/>
              </w:rPr>
            </w:pPr>
            <w:r w:rsidRPr="000241EE">
              <w:rPr>
                <w:b/>
                <w:sz w:val="22"/>
                <w:szCs w:val="22"/>
              </w:rPr>
              <w:t>Model</w:t>
            </w:r>
          </w:p>
        </w:tc>
      </w:tr>
      <w:tr w:rsidR="00882514" w14:paraId="75956EF1" w14:textId="77777777" w:rsidTr="00EA09C7">
        <w:trPr>
          <w:trHeight w:val="240"/>
        </w:trPr>
        <w:tc>
          <w:tcPr>
            <w:tcW w:w="2310" w:type="dxa"/>
            <w:vMerge/>
            <w:tcBorders>
              <w:left w:val="single" w:sz="4" w:space="0" w:color="FFFFFF"/>
              <w:right w:val="single" w:sz="4" w:space="0" w:color="FFFFFF"/>
            </w:tcBorders>
            <w:vAlign w:val="center"/>
          </w:tcPr>
          <w:p w14:paraId="543A7D08" w14:textId="77777777" w:rsidR="00882514" w:rsidRPr="000241EE" w:rsidRDefault="00882514" w:rsidP="00882514">
            <w:pPr>
              <w:spacing w:line="240" w:lineRule="auto"/>
              <w:rPr>
                <w:b/>
                <w:sz w:val="22"/>
                <w:szCs w:val="22"/>
              </w:rPr>
            </w:pPr>
          </w:p>
        </w:tc>
        <w:tc>
          <w:tcPr>
            <w:tcW w:w="1517" w:type="dxa"/>
            <w:tcBorders>
              <w:left w:val="single" w:sz="4" w:space="0" w:color="FFFFFF"/>
              <w:right w:val="single" w:sz="4" w:space="0" w:color="FFFFFF"/>
            </w:tcBorders>
            <w:vAlign w:val="center"/>
          </w:tcPr>
          <w:p w14:paraId="62DB76B8" w14:textId="77777777" w:rsidR="00882514" w:rsidRPr="000241EE" w:rsidRDefault="00882514" w:rsidP="00882514">
            <w:pPr>
              <w:spacing w:line="240" w:lineRule="auto"/>
              <w:jc w:val="center"/>
              <w:rPr>
                <w:b/>
                <w:sz w:val="22"/>
                <w:szCs w:val="22"/>
              </w:rPr>
            </w:pPr>
            <w:r w:rsidRPr="000241EE">
              <w:rPr>
                <w:b/>
                <w:sz w:val="22"/>
                <w:szCs w:val="22"/>
              </w:rPr>
              <w:t>1</w:t>
            </w:r>
          </w:p>
        </w:tc>
        <w:tc>
          <w:tcPr>
            <w:tcW w:w="1517" w:type="dxa"/>
            <w:tcBorders>
              <w:left w:val="single" w:sz="4" w:space="0" w:color="FFFFFF"/>
              <w:right w:val="single" w:sz="4" w:space="0" w:color="FFFFFF"/>
            </w:tcBorders>
            <w:vAlign w:val="center"/>
          </w:tcPr>
          <w:p w14:paraId="18665061" w14:textId="77777777" w:rsidR="00882514" w:rsidRPr="00F84D49" w:rsidRDefault="00882514" w:rsidP="00882514">
            <w:pPr>
              <w:spacing w:line="240" w:lineRule="auto"/>
              <w:jc w:val="center"/>
              <w:rPr>
                <w:b/>
                <w:sz w:val="22"/>
                <w:szCs w:val="22"/>
              </w:rPr>
            </w:pPr>
            <w:r w:rsidRPr="00F84D49">
              <w:rPr>
                <w:b/>
                <w:sz w:val="22"/>
                <w:szCs w:val="22"/>
              </w:rPr>
              <w:t>2</w:t>
            </w:r>
          </w:p>
        </w:tc>
        <w:tc>
          <w:tcPr>
            <w:tcW w:w="1517" w:type="dxa"/>
            <w:tcBorders>
              <w:left w:val="single" w:sz="4" w:space="0" w:color="FFFFFF"/>
              <w:right w:val="single" w:sz="4" w:space="0" w:color="FFFFFF"/>
            </w:tcBorders>
            <w:vAlign w:val="center"/>
          </w:tcPr>
          <w:p w14:paraId="2826636B" w14:textId="77777777" w:rsidR="00882514" w:rsidRPr="00F84D49" w:rsidRDefault="00882514" w:rsidP="00882514">
            <w:pPr>
              <w:spacing w:line="240" w:lineRule="auto"/>
              <w:jc w:val="center"/>
              <w:rPr>
                <w:b/>
                <w:sz w:val="22"/>
                <w:szCs w:val="22"/>
              </w:rPr>
            </w:pPr>
            <w:r w:rsidRPr="00F84D49">
              <w:rPr>
                <w:b/>
                <w:sz w:val="22"/>
                <w:szCs w:val="22"/>
              </w:rPr>
              <w:t>3</w:t>
            </w:r>
          </w:p>
        </w:tc>
        <w:tc>
          <w:tcPr>
            <w:tcW w:w="1517" w:type="dxa"/>
            <w:tcBorders>
              <w:left w:val="single" w:sz="4" w:space="0" w:color="FFFFFF"/>
              <w:right w:val="single" w:sz="4" w:space="0" w:color="FFFFFF"/>
            </w:tcBorders>
            <w:vAlign w:val="center"/>
          </w:tcPr>
          <w:p w14:paraId="63C0D2F7" w14:textId="77777777" w:rsidR="00882514" w:rsidRPr="00F84D49" w:rsidRDefault="00882514" w:rsidP="00882514">
            <w:pPr>
              <w:spacing w:line="240" w:lineRule="auto"/>
              <w:jc w:val="center"/>
              <w:rPr>
                <w:b/>
                <w:sz w:val="22"/>
                <w:szCs w:val="22"/>
              </w:rPr>
            </w:pPr>
            <w:r w:rsidRPr="00F84D49">
              <w:rPr>
                <w:b/>
                <w:sz w:val="22"/>
                <w:szCs w:val="22"/>
              </w:rPr>
              <w:t>4</w:t>
            </w:r>
          </w:p>
        </w:tc>
        <w:tc>
          <w:tcPr>
            <w:tcW w:w="1517" w:type="dxa"/>
            <w:tcBorders>
              <w:left w:val="single" w:sz="4" w:space="0" w:color="FFFFFF"/>
              <w:right w:val="single" w:sz="4" w:space="0" w:color="FFFFFF"/>
            </w:tcBorders>
            <w:vAlign w:val="center"/>
          </w:tcPr>
          <w:p w14:paraId="776A386D" w14:textId="77777777" w:rsidR="00882514" w:rsidRPr="00F84D49" w:rsidRDefault="00882514" w:rsidP="00882514">
            <w:pPr>
              <w:spacing w:line="240" w:lineRule="auto"/>
              <w:jc w:val="center"/>
              <w:rPr>
                <w:b/>
                <w:sz w:val="22"/>
                <w:szCs w:val="22"/>
              </w:rPr>
            </w:pPr>
            <w:r w:rsidRPr="00F84D49">
              <w:rPr>
                <w:b/>
                <w:sz w:val="22"/>
                <w:szCs w:val="22"/>
              </w:rPr>
              <w:t>5</w:t>
            </w:r>
          </w:p>
        </w:tc>
        <w:tc>
          <w:tcPr>
            <w:tcW w:w="1530" w:type="dxa"/>
            <w:tcBorders>
              <w:left w:val="single" w:sz="4" w:space="0" w:color="FFFFFF"/>
              <w:right w:val="single" w:sz="4" w:space="0" w:color="FFFFFF"/>
            </w:tcBorders>
            <w:vAlign w:val="center"/>
          </w:tcPr>
          <w:p w14:paraId="4103A09D" w14:textId="77777777" w:rsidR="00882514" w:rsidRPr="00F84D49" w:rsidRDefault="00882514" w:rsidP="00882514">
            <w:pPr>
              <w:spacing w:line="240" w:lineRule="auto"/>
              <w:jc w:val="center"/>
              <w:rPr>
                <w:b/>
                <w:sz w:val="22"/>
                <w:szCs w:val="22"/>
              </w:rPr>
            </w:pPr>
            <w:r w:rsidRPr="00F84D49">
              <w:rPr>
                <w:b/>
                <w:sz w:val="22"/>
                <w:szCs w:val="22"/>
              </w:rPr>
              <w:t>6</w:t>
            </w:r>
          </w:p>
        </w:tc>
        <w:tc>
          <w:tcPr>
            <w:tcW w:w="1710" w:type="dxa"/>
            <w:tcBorders>
              <w:left w:val="single" w:sz="4" w:space="0" w:color="FFFFFF"/>
              <w:right w:val="single" w:sz="4" w:space="0" w:color="FFFFFF"/>
            </w:tcBorders>
            <w:vAlign w:val="center"/>
          </w:tcPr>
          <w:p w14:paraId="433579FB" w14:textId="77777777" w:rsidR="00882514" w:rsidRPr="00F84D49" w:rsidRDefault="00882514" w:rsidP="00882514">
            <w:pPr>
              <w:spacing w:line="240" w:lineRule="auto"/>
              <w:jc w:val="center"/>
              <w:rPr>
                <w:b/>
                <w:sz w:val="22"/>
                <w:szCs w:val="22"/>
              </w:rPr>
            </w:pPr>
            <w:r w:rsidRPr="00F84D49">
              <w:rPr>
                <w:b/>
                <w:sz w:val="22"/>
                <w:szCs w:val="22"/>
              </w:rPr>
              <w:t>6A</w:t>
            </w:r>
          </w:p>
        </w:tc>
      </w:tr>
      <w:tr w:rsidR="00882514" w14:paraId="0C50208E" w14:textId="77777777" w:rsidTr="00EA09C7">
        <w:trPr>
          <w:trHeight w:val="220"/>
        </w:trPr>
        <w:tc>
          <w:tcPr>
            <w:tcW w:w="2310" w:type="dxa"/>
            <w:tcBorders>
              <w:left w:val="single" w:sz="4" w:space="0" w:color="FFFFFF"/>
              <w:bottom w:val="single" w:sz="4" w:space="0" w:color="FFFFFF"/>
              <w:right w:val="single" w:sz="4" w:space="0" w:color="FFFFFF"/>
            </w:tcBorders>
            <w:vAlign w:val="center"/>
          </w:tcPr>
          <w:p w14:paraId="00CE0ED0" w14:textId="77777777" w:rsidR="00882514" w:rsidRPr="000241EE" w:rsidRDefault="00882514" w:rsidP="00882514">
            <w:pPr>
              <w:spacing w:line="240" w:lineRule="auto"/>
              <w:rPr>
                <w:sz w:val="20"/>
                <w:szCs w:val="20"/>
              </w:rPr>
            </w:pPr>
            <w:r w:rsidRPr="000241EE">
              <w:rPr>
                <w:sz w:val="20"/>
                <w:szCs w:val="20"/>
              </w:rPr>
              <w:t>Fixed Effects</w:t>
            </w:r>
          </w:p>
        </w:tc>
        <w:tc>
          <w:tcPr>
            <w:tcW w:w="1517" w:type="dxa"/>
            <w:tcBorders>
              <w:left w:val="single" w:sz="4" w:space="0" w:color="FFFFFF"/>
              <w:bottom w:val="single" w:sz="4" w:space="0" w:color="FFFFFF"/>
              <w:right w:val="single" w:sz="4" w:space="0" w:color="FFFFFF"/>
            </w:tcBorders>
            <w:vAlign w:val="center"/>
          </w:tcPr>
          <w:p w14:paraId="7C1AED64" w14:textId="77777777" w:rsidR="00882514" w:rsidRPr="000241EE" w:rsidRDefault="00882514" w:rsidP="00882514">
            <w:pPr>
              <w:spacing w:line="240" w:lineRule="auto"/>
              <w:rPr>
                <w:sz w:val="20"/>
                <w:szCs w:val="20"/>
              </w:rPr>
            </w:pPr>
          </w:p>
        </w:tc>
        <w:tc>
          <w:tcPr>
            <w:tcW w:w="1517" w:type="dxa"/>
            <w:tcBorders>
              <w:left w:val="single" w:sz="4" w:space="0" w:color="FFFFFF"/>
              <w:bottom w:val="single" w:sz="4" w:space="0" w:color="FFFFFF"/>
              <w:right w:val="single" w:sz="4" w:space="0" w:color="FFFFFF"/>
            </w:tcBorders>
            <w:vAlign w:val="center"/>
          </w:tcPr>
          <w:p w14:paraId="30121F80" w14:textId="77777777" w:rsidR="00882514" w:rsidRPr="000241EE" w:rsidRDefault="00882514" w:rsidP="00882514">
            <w:pPr>
              <w:spacing w:line="240" w:lineRule="auto"/>
              <w:rPr>
                <w:sz w:val="20"/>
                <w:szCs w:val="20"/>
              </w:rPr>
            </w:pPr>
          </w:p>
        </w:tc>
        <w:tc>
          <w:tcPr>
            <w:tcW w:w="1517" w:type="dxa"/>
            <w:tcBorders>
              <w:left w:val="single" w:sz="4" w:space="0" w:color="FFFFFF"/>
              <w:bottom w:val="single" w:sz="4" w:space="0" w:color="FFFFFF"/>
              <w:right w:val="single" w:sz="4" w:space="0" w:color="FFFFFF"/>
            </w:tcBorders>
            <w:vAlign w:val="center"/>
          </w:tcPr>
          <w:p w14:paraId="424F2E6B" w14:textId="77777777" w:rsidR="00882514" w:rsidRPr="000241EE" w:rsidRDefault="00882514" w:rsidP="00882514">
            <w:pPr>
              <w:spacing w:line="240" w:lineRule="auto"/>
              <w:rPr>
                <w:sz w:val="20"/>
                <w:szCs w:val="20"/>
              </w:rPr>
            </w:pPr>
          </w:p>
        </w:tc>
        <w:tc>
          <w:tcPr>
            <w:tcW w:w="1517" w:type="dxa"/>
            <w:tcBorders>
              <w:left w:val="single" w:sz="4" w:space="0" w:color="FFFFFF"/>
              <w:bottom w:val="single" w:sz="4" w:space="0" w:color="FFFFFF"/>
              <w:right w:val="single" w:sz="4" w:space="0" w:color="FFFFFF"/>
            </w:tcBorders>
            <w:vAlign w:val="center"/>
          </w:tcPr>
          <w:p w14:paraId="72B48C32" w14:textId="77777777" w:rsidR="00882514" w:rsidRPr="000241EE" w:rsidRDefault="00882514" w:rsidP="00882514">
            <w:pPr>
              <w:spacing w:line="240" w:lineRule="auto"/>
              <w:rPr>
                <w:sz w:val="20"/>
                <w:szCs w:val="20"/>
              </w:rPr>
            </w:pPr>
          </w:p>
        </w:tc>
        <w:tc>
          <w:tcPr>
            <w:tcW w:w="1517" w:type="dxa"/>
            <w:tcBorders>
              <w:left w:val="single" w:sz="4" w:space="0" w:color="FFFFFF"/>
              <w:bottom w:val="single" w:sz="4" w:space="0" w:color="FFFFFF"/>
              <w:right w:val="single" w:sz="4" w:space="0" w:color="FFFFFF"/>
            </w:tcBorders>
            <w:vAlign w:val="center"/>
          </w:tcPr>
          <w:p w14:paraId="13734564" w14:textId="77777777" w:rsidR="00882514" w:rsidRPr="000241EE" w:rsidRDefault="00882514" w:rsidP="00882514">
            <w:pPr>
              <w:spacing w:line="240" w:lineRule="auto"/>
              <w:rPr>
                <w:sz w:val="20"/>
                <w:szCs w:val="20"/>
              </w:rPr>
            </w:pPr>
          </w:p>
        </w:tc>
        <w:tc>
          <w:tcPr>
            <w:tcW w:w="1530" w:type="dxa"/>
            <w:tcBorders>
              <w:left w:val="single" w:sz="4" w:space="0" w:color="FFFFFF"/>
              <w:bottom w:val="single" w:sz="4" w:space="0" w:color="FFFFFF"/>
              <w:right w:val="single" w:sz="4" w:space="0" w:color="FFFFFF"/>
            </w:tcBorders>
            <w:vAlign w:val="center"/>
          </w:tcPr>
          <w:p w14:paraId="4839BE1B" w14:textId="77777777" w:rsidR="00882514" w:rsidRPr="000241EE" w:rsidRDefault="00882514" w:rsidP="00882514">
            <w:pPr>
              <w:spacing w:line="240" w:lineRule="auto"/>
              <w:rPr>
                <w:sz w:val="20"/>
                <w:szCs w:val="20"/>
              </w:rPr>
            </w:pPr>
          </w:p>
        </w:tc>
        <w:tc>
          <w:tcPr>
            <w:tcW w:w="1710" w:type="dxa"/>
            <w:tcBorders>
              <w:left w:val="single" w:sz="4" w:space="0" w:color="FFFFFF"/>
              <w:bottom w:val="single" w:sz="4" w:space="0" w:color="FFFFFF"/>
              <w:right w:val="single" w:sz="4" w:space="0" w:color="FFFFFF"/>
            </w:tcBorders>
            <w:vAlign w:val="center"/>
          </w:tcPr>
          <w:p w14:paraId="6A3EF529" w14:textId="77777777" w:rsidR="00882514" w:rsidRPr="000241EE" w:rsidRDefault="00882514" w:rsidP="00882514">
            <w:pPr>
              <w:spacing w:line="240" w:lineRule="auto"/>
              <w:rPr>
                <w:sz w:val="20"/>
                <w:szCs w:val="20"/>
              </w:rPr>
            </w:pPr>
          </w:p>
        </w:tc>
      </w:tr>
      <w:tr w:rsidR="00882514" w14:paraId="2C3E6C02" w14:textId="77777777" w:rsidTr="00EA09C7">
        <w:trPr>
          <w:trHeight w:val="230"/>
        </w:trPr>
        <w:tc>
          <w:tcPr>
            <w:tcW w:w="2310" w:type="dxa"/>
            <w:tcBorders>
              <w:top w:val="single" w:sz="4" w:space="0" w:color="FFFFFF"/>
              <w:left w:val="single" w:sz="4" w:space="0" w:color="FFFFFF"/>
              <w:bottom w:val="single" w:sz="4" w:space="0" w:color="FFFFFF"/>
              <w:right w:val="single" w:sz="4" w:space="0" w:color="FFFFFF"/>
            </w:tcBorders>
            <w:vAlign w:val="center"/>
          </w:tcPr>
          <w:p w14:paraId="78FDA852" w14:textId="77777777" w:rsidR="00882514" w:rsidRPr="000241EE" w:rsidRDefault="00882514" w:rsidP="00882514">
            <w:pPr>
              <w:spacing w:line="240" w:lineRule="auto"/>
              <w:ind w:left="-27" w:firstLine="276"/>
              <w:rPr>
                <w:sz w:val="20"/>
                <w:szCs w:val="20"/>
              </w:rPr>
            </w:pPr>
            <w:r w:rsidRPr="000241EE">
              <w:rPr>
                <w:sz w:val="20"/>
                <w:szCs w:val="20"/>
              </w:rPr>
              <w:t>Intercept</w:t>
            </w:r>
          </w:p>
        </w:tc>
        <w:tc>
          <w:tcPr>
            <w:tcW w:w="1517" w:type="dxa"/>
            <w:tcBorders>
              <w:top w:val="single" w:sz="4" w:space="0" w:color="FFFFFF"/>
              <w:left w:val="single" w:sz="4" w:space="0" w:color="FFFFFF"/>
              <w:bottom w:val="single" w:sz="4" w:space="0" w:color="FFFFFF"/>
              <w:right w:val="single" w:sz="4" w:space="0" w:color="FFFFFF"/>
            </w:tcBorders>
            <w:vAlign w:val="center"/>
          </w:tcPr>
          <w:p w14:paraId="362F4F98" w14:textId="77777777" w:rsidR="00882514" w:rsidRPr="000241EE" w:rsidRDefault="00882514" w:rsidP="00882514">
            <w:pPr>
              <w:spacing w:line="240" w:lineRule="auto"/>
              <w:jc w:val="center"/>
              <w:rPr>
                <w:sz w:val="20"/>
                <w:szCs w:val="20"/>
              </w:rPr>
            </w:pPr>
            <w:r w:rsidRPr="000241EE">
              <w:rPr>
                <w:sz w:val="20"/>
                <w:szCs w:val="20"/>
              </w:rPr>
              <w:t>2.56 (0.03)***</w:t>
            </w:r>
          </w:p>
        </w:tc>
        <w:tc>
          <w:tcPr>
            <w:tcW w:w="1517" w:type="dxa"/>
            <w:tcBorders>
              <w:top w:val="single" w:sz="4" w:space="0" w:color="FFFFFF"/>
              <w:left w:val="single" w:sz="4" w:space="0" w:color="FFFFFF"/>
              <w:bottom w:val="single" w:sz="4" w:space="0" w:color="FFFFFF"/>
              <w:right w:val="single" w:sz="4" w:space="0" w:color="FFFFFF"/>
            </w:tcBorders>
            <w:vAlign w:val="center"/>
          </w:tcPr>
          <w:p w14:paraId="500D5328" w14:textId="77777777" w:rsidR="00882514" w:rsidRPr="000241EE" w:rsidRDefault="00882514" w:rsidP="00882514">
            <w:pPr>
              <w:spacing w:line="240" w:lineRule="auto"/>
              <w:jc w:val="center"/>
              <w:rPr>
                <w:sz w:val="20"/>
                <w:szCs w:val="20"/>
              </w:rPr>
            </w:pPr>
            <w:r w:rsidRPr="000241EE">
              <w:rPr>
                <w:sz w:val="20"/>
                <w:szCs w:val="20"/>
              </w:rPr>
              <w:t>2.59 (0.16)***</w:t>
            </w:r>
          </w:p>
        </w:tc>
        <w:tc>
          <w:tcPr>
            <w:tcW w:w="1517" w:type="dxa"/>
            <w:tcBorders>
              <w:top w:val="single" w:sz="4" w:space="0" w:color="FFFFFF"/>
              <w:left w:val="single" w:sz="4" w:space="0" w:color="FFFFFF"/>
              <w:bottom w:val="single" w:sz="4" w:space="0" w:color="FFFFFF"/>
              <w:right w:val="single" w:sz="4" w:space="0" w:color="FFFFFF"/>
            </w:tcBorders>
            <w:vAlign w:val="center"/>
          </w:tcPr>
          <w:p w14:paraId="2A3C16AD" w14:textId="77777777" w:rsidR="00882514" w:rsidRPr="000241EE" w:rsidRDefault="00882514" w:rsidP="00882514">
            <w:pPr>
              <w:spacing w:line="240" w:lineRule="auto"/>
              <w:jc w:val="center"/>
              <w:rPr>
                <w:sz w:val="20"/>
                <w:szCs w:val="20"/>
              </w:rPr>
            </w:pPr>
            <w:r w:rsidRPr="000241EE">
              <w:rPr>
                <w:sz w:val="20"/>
                <w:szCs w:val="20"/>
              </w:rPr>
              <w:t>2.59 (0.16)***</w:t>
            </w:r>
          </w:p>
        </w:tc>
        <w:tc>
          <w:tcPr>
            <w:tcW w:w="1517" w:type="dxa"/>
            <w:tcBorders>
              <w:top w:val="single" w:sz="4" w:space="0" w:color="FFFFFF"/>
              <w:left w:val="single" w:sz="4" w:space="0" w:color="FFFFFF"/>
              <w:bottom w:val="single" w:sz="4" w:space="0" w:color="FFFFFF"/>
              <w:right w:val="single" w:sz="4" w:space="0" w:color="FFFFFF"/>
            </w:tcBorders>
            <w:vAlign w:val="center"/>
          </w:tcPr>
          <w:p w14:paraId="5E3EA8F6" w14:textId="77777777" w:rsidR="00882514" w:rsidRPr="000241EE" w:rsidRDefault="00882514" w:rsidP="00882514">
            <w:pPr>
              <w:spacing w:line="240" w:lineRule="auto"/>
              <w:jc w:val="center"/>
              <w:rPr>
                <w:sz w:val="20"/>
                <w:szCs w:val="20"/>
              </w:rPr>
            </w:pPr>
            <w:r w:rsidRPr="000241EE">
              <w:rPr>
                <w:sz w:val="20"/>
                <w:szCs w:val="20"/>
              </w:rPr>
              <w:t>2.59 (0.16)***</w:t>
            </w:r>
          </w:p>
        </w:tc>
        <w:tc>
          <w:tcPr>
            <w:tcW w:w="1517" w:type="dxa"/>
            <w:tcBorders>
              <w:top w:val="single" w:sz="4" w:space="0" w:color="FFFFFF"/>
              <w:left w:val="single" w:sz="4" w:space="0" w:color="FFFFFF"/>
              <w:bottom w:val="single" w:sz="4" w:space="0" w:color="FFFFFF"/>
              <w:right w:val="single" w:sz="4" w:space="0" w:color="FFFFFF"/>
            </w:tcBorders>
            <w:vAlign w:val="center"/>
          </w:tcPr>
          <w:p w14:paraId="24E4D576" w14:textId="77777777" w:rsidR="00882514" w:rsidRPr="000241EE" w:rsidRDefault="00882514" w:rsidP="00882514">
            <w:pPr>
              <w:tabs>
                <w:tab w:val="decimal" w:pos="165"/>
              </w:tabs>
              <w:spacing w:line="240" w:lineRule="auto"/>
              <w:rPr>
                <w:sz w:val="20"/>
                <w:szCs w:val="20"/>
              </w:rPr>
            </w:pPr>
            <w:r w:rsidRPr="000241EE">
              <w:rPr>
                <w:sz w:val="20"/>
                <w:szCs w:val="20"/>
              </w:rPr>
              <w:t>1.81 (0.24)***</w:t>
            </w:r>
          </w:p>
        </w:tc>
        <w:tc>
          <w:tcPr>
            <w:tcW w:w="1530" w:type="dxa"/>
            <w:tcBorders>
              <w:top w:val="single" w:sz="4" w:space="0" w:color="FFFFFF"/>
              <w:left w:val="single" w:sz="4" w:space="0" w:color="FFFFFF"/>
              <w:bottom w:val="single" w:sz="4" w:space="0" w:color="FFFFFF"/>
              <w:right w:val="single" w:sz="4" w:space="0" w:color="FFFFFF"/>
            </w:tcBorders>
            <w:vAlign w:val="center"/>
          </w:tcPr>
          <w:p w14:paraId="79DDDF83" w14:textId="77777777" w:rsidR="00882514" w:rsidRPr="000241EE" w:rsidRDefault="00882514" w:rsidP="00882514">
            <w:pPr>
              <w:tabs>
                <w:tab w:val="decimal" w:pos="157"/>
              </w:tabs>
              <w:spacing w:line="240" w:lineRule="auto"/>
              <w:rPr>
                <w:sz w:val="20"/>
                <w:szCs w:val="20"/>
              </w:rPr>
            </w:pPr>
            <w:r w:rsidRPr="000241EE">
              <w:rPr>
                <w:sz w:val="20"/>
                <w:szCs w:val="20"/>
              </w:rPr>
              <w:t>1.84 (0.25)***</w:t>
            </w:r>
          </w:p>
        </w:tc>
        <w:tc>
          <w:tcPr>
            <w:tcW w:w="1710" w:type="dxa"/>
            <w:tcBorders>
              <w:top w:val="single" w:sz="4" w:space="0" w:color="FFFFFF"/>
              <w:left w:val="single" w:sz="4" w:space="0" w:color="FFFFFF"/>
              <w:bottom w:val="single" w:sz="4" w:space="0" w:color="FFFFFF"/>
              <w:right w:val="single" w:sz="4" w:space="0" w:color="FFFFFF"/>
            </w:tcBorders>
            <w:vAlign w:val="center"/>
          </w:tcPr>
          <w:p w14:paraId="4FD4A803" w14:textId="77777777" w:rsidR="00882514" w:rsidRPr="000241EE" w:rsidRDefault="00882514" w:rsidP="00882514">
            <w:pPr>
              <w:tabs>
                <w:tab w:val="decimal" w:pos="165"/>
              </w:tabs>
              <w:spacing w:line="240" w:lineRule="auto"/>
              <w:rPr>
                <w:sz w:val="20"/>
                <w:szCs w:val="20"/>
              </w:rPr>
            </w:pPr>
            <w:r w:rsidRPr="000241EE">
              <w:rPr>
                <w:sz w:val="20"/>
                <w:szCs w:val="20"/>
              </w:rPr>
              <w:t>2.43 (0.22)***</w:t>
            </w:r>
          </w:p>
        </w:tc>
      </w:tr>
      <w:tr w:rsidR="00882514" w14:paraId="413BF679" w14:textId="77777777" w:rsidTr="00EA09C7">
        <w:trPr>
          <w:trHeight w:val="230"/>
        </w:trPr>
        <w:tc>
          <w:tcPr>
            <w:tcW w:w="2310" w:type="dxa"/>
            <w:tcBorders>
              <w:top w:val="single" w:sz="4" w:space="0" w:color="FFFFFF"/>
              <w:left w:val="single" w:sz="4" w:space="0" w:color="FFFFFF"/>
              <w:bottom w:val="single" w:sz="4" w:space="0" w:color="FFFFFF"/>
              <w:right w:val="single" w:sz="4" w:space="0" w:color="FFFFFF"/>
            </w:tcBorders>
            <w:vAlign w:val="center"/>
          </w:tcPr>
          <w:p w14:paraId="71C2584C" w14:textId="77777777" w:rsidR="00882514" w:rsidRPr="000241EE" w:rsidRDefault="00882514" w:rsidP="00882514">
            <w:pPr>
              <w:spacing w:line="240" w:lineRule="auto"/>
              <w:ind w:left="-27" w:firstLine="276"/>
              <w:rPr>
                <w:sz w:val="20"/>
                <w:szCs w:val="20"/>
              </w:rPr>
            </w:pPr>
            <w:r w:rsidRPr="000241EE">
              <w:rPr>
                <w:sz w:val="20"/>
                <w:szCs w:val="20"/>
              </w:rPr>
              <w:t>Age</w:t>
            </w:r>
          </w:p>
        </w:tc>
        <w:tc>
          <w:tcPr>
            <w:tcW w:w="1517" w:type="dxa"/>
            <w:tcBorders>
              <w:top w:val="single" w:sz="4" w:space="0" w:color="FFFFFF"/>
              <w:left w:val="single" w:sz="4" w:space="0" w:color="FFFFFF"/>
              <w:bottom w:val="single" w:sz="4" w:space="0" w:color="FFFFFF"/>
              <w:right w:val="single" w:sz="4" w:space="0" w:color="FFFFFF"/>
            </w:tcBorders>
            <w:vAlign w:val="center"/>
          </w:tcPr>
          <w:p w14:paraId="47C25811"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05B952C8"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31A96486"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4A82466A"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02D43344" w14:textId="77777777" w:rsidR="00882514" w:rsidRPr="000241EE" w:rsidRDefault="00882514" w:rsidP="00882514">
            <w:pPr>
              <w:tabs>
                <w:tab w:val="decimal" w:pos="165"/>
              </w:tabs>
              <w:spacing w:line="240" w:lineRule="auto"/>
              <w:rPr>
                <w:sz w:val="20"/>
                <w:szCs w:val="20"/>
              </w:rPr>
            </w:pPr>
            <w:r w:rsidRPr="000241EE">
              <w:rPr>
                <w:sz w:val="20"/>
                <w:szCs w:val="20"/>
              </w:rPr>
              <w:t>-0.005 (0.00)</w:t>
            </w:r>
          </w:p>
        </w:tc>
        <w:tc>
          <w:tcPr>
            <w:tcW w:w="1530" w:type="dxa"/>
            <w:tcBorders>
              <w:top w:val="single" w:sz="4" w:space="0" w:color="FFFFFF"/>
              <w:left w:val="single" w:sz="4" w:space="0" w:color="FFFFFF"/>
              <w:bottom w:val="single" w:sz="4" w:space="0" w:color="FFFFFF"/>
              <w:right w:val="single" w:sz="4" w:space="0" w:color="FFFFFF"/>
            </w:tcBorders>
            <w:vAlign w:val="center"/>
          </w:tcPr>
          <w:p w14:paraId="21BF7A9E" w14:textId="77777777" w:rsidR="00882514" w:rsidRPr="000241EE" w:rsidRDefault="00882514" w:rsidP="00882514">
            <w:pPr>
              <w:tabs>
                <w:tab w:val="decimal" w:pos="157"/>
              </w:tabs>
              <w:spacing w:line="240" w:lineRule="auto"/>
              <w:rPr>
                <w:sz w:val="20"/>
                <w:szCs w:val="20"/>
              </w:rPr>
            </w:pPr>
            <w:r w:rsidRPr="000241EE">
              <w:rPr>
                <w:sz w:val="20"/>
                <w:szCs w:val="20"/>
              </w:rPr>
              <w:t>-0.005 (0.00)</w:t>
            </w:r>
          </w:p>
        </w:tc>
        <w:tc>
          <w:tcPr>
            <w:tcW w:w="1710" w:type="dxa"/>
            <w:tcBorders>
              <w:top w:val="single" w:sz="4" w:space="0" w:color="FFFFFF"/>
              <w:left w:val="single" w:sz="4" w:space="0" w:color="FFFFFF"/>
              <w:bottom w:val="single" w:sz="4" w:space="0" w:color="FFFFFF"/>
              <w:right w:val="single" w:sz="4" w:space="0" w:color="FFFFFF"/>
            </w:tcBorders>
            <w:vAlign w:val="center"/>
          </w:tcPr>
          <w:p w14:paraId="49CFBABE" w14:textId="77777777" w:rsidR="00882514" w:rsidRPr="000241EE" w:rsidRDefault="00882514" w:rsidP="00882514">
            <w:pPr>
              <w:tabs>
                <w:tab w:val="decimal" w:pos="165"/>
              </w:tabs>
              <w:spacing w:line="240" w:lineRule="auto"/>
              <w:rPr>
                <w:sz w:val="20"/>
                <w:szCs w:val="20"/>
              </w:rPr>
            </w:pPr>
            <w:r w:rsidRPr="000241EE">
              <w:rPr>
                <w:sz w:val="20"/>
                <w:szCs w:val="20"/>
              </w:rPr>
              <w:t>-0.005 (0.07)***</w:t>
            </w:r>
          </w:p>
        </w:tc>
      </w:tr>
      <w:tr w:rsidR="00882514" w14:paraId="4085AF0C" w14:textId="77777777" w:rsidTr="00EA09C7">
        <w:trPr>
          <w:trHeight w:val="230"/>
        </w:trPr>
        <w:tc>
          <w:tcPr>
            <w:tcW w:w="2310" w:type="dxa"/>
            <w:tcBorders>
              <w:top w:val="single" w:sz="4" w:space="0" w:color="FFFFFF"/>
              <w:left w:val="single" w:sz="4" w:space="0" w:color="FFFFFF"/>
              <w:bottom w:val="single" w:sz="4" w:space="0" w:color="FFFFFF"/>
              <w:right w:val="single" w:sz="4" w:space="0" w:color="FFFFFF"/>
            </w:tcBorders>
            <w:vAlign w:val="center"/>
          </w:tcPr>
          <w:p w14:paraId="346B4591" w14:textId="77777777" w:rsidR="00882514" w:rsidRPr="000241EE" w:rsidRDefault="00882514" w:rsidP="00882514">
            <w:pPr>
              <w:spacing w:line="240" w:lineRule="auto"/>
              <w:ind w:left="-27" w:firstLine="276"/>
              <w:rPr>
                <w:sz w:val="20"/>
                <w:szCs w:val="20"/>
              </w:rPr>
            </w:pPr>
            <w:r w:rsidRPr="000241EE">
              <w:rPr>
                <w:sz w:val="20"/>
                <w:szCs w:val="20"/>
              </w:rPr>
              <w:t>Gender</w:t>
            </w:r>
          </w:p>
        </w:tc>
        <w:tc>
          <w:tcPr>
            <w:tcW w:w="1517" w:type="dxa"/>
            <w:tcBorders>
              <w:top w:val="single" w:sz="4" w:space="0" w:color="FFFFFF"/>
              <w:left w:val="single" w:sz="4" w:space="0" w:color="FFFFFF"/>
              <w:bottom w:val="single" w:sz="4" w:space="0" w:color="FFFFFF"/>
              <w:right w:val="single" w:sz="4" w:space="0" w:color="FFFFFF"/>
            </w:tcBorders>
            <w:vAlign w:val="center"/>
          </w:tcPr>
          <w:p w14:paraId="12589BB4"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6C59FB90"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5314C5D6"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5EF68CC4"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338315DE" w14:textId="77777777" w:rsidR="00882514" w:rsidRPr="000241EE" w:rsidRDefault="00882514" w:rsidP="00882514">
            <w:pPr>
              <w:tabs>
                <w:tab w:val="decimal" w:pos="165"/>
              </w:tabs>
              <w:spacing w:line="240" w:lineRule="auto"/>
              <w:rPr>
                <w:sz w:val="20"/>
                <w:szCs w:val="20"/>
              </w:rPr>
            </w:pPr>
            <w:r w:rsidRPr="000241EE">
              <w:rPr>
                <w:sz w:val="20"/>
                <w:szCs w:val="20"/>
              </w:rPr>
              <w:t>-0.18 (0.07)*</w:t>
            </w:r>
          </w:p>
        </w:tc>
        <w:tc>
          <w:tcPr>
            <w:tcW w:w="1530" w:type="dxa"/>
            <w:tcBorders>
              <w:top w:val="single" w:sz="4" w:space="0" w:color="FFFFFF"/>
              <w:left w:val="single" w:sz="4" w:space="0" w:color="FFFFFF"/>
              <w:bottom w:val="single" w:sz="4" w:space="0" w:color="FFFFFF"/>
              <w:right w:val="single" w:sz="4" w:space="0" w:color="FFFFFF"/>
            </w:tcBorders>
            <w:vAlign w:val="center"/>
          </w:tcPr>
          <w:p w14:paraId="46EAB73F" w14:textId="77777777" w:rsidR="00882514" w:rsidRPr="000241EE" w:rsidRDefault="00882514" w:rsidP="00882514">
            <w:pPr>
              <w:tabs>
                <w:tab w:val="decimal" w:pos="157"/>
              </w:tabs>
              <w:spacing w:line="240" w:lineRule="auto"/>
              <w:rPr>
                <w:sz w:val="20"/>
                <w:szCs w:val="20"/>
              </w:rPr>
            </w:pPr>
            <w:r w:rsidRPr="000241EE">
              <w:rPr>
                <w:sz w:val="20"/>
                <w:szCs w:val="20"/>
              </w:rPr>
              <w:t>-0.18 (0.07)*</w:t>
            </w:r>
          </w:p>
        </w:tc>
        <w:tc>
          <w:tcPr>
            <w:tcW w:w="1710" w:type="dxa"/>
            <w:tcBorders>
              <w:top w:val="single" w:sz="4" w:space="0" w:color="FFFFFF"/>
              <w:left w:val="single" w:sz="4" w:space="0" w:color="FFFFFF"/>
              <w:bottom w:val="single" w:sz="4" w:space="0" w:color="FFFFFF"/>
              <w:right w:val="single" w:sz="4" w:space="0" w:color="FFFFFF"/>
            </w:tcBorders>
            <w:vAlign w:val="center"/>
          </w:tcPr>
          <w:p w14:paraId="3584BE4F" w14:textId="77777777" w:rsidR="00882514" w:rsidRPr="000241EE" w:rsidRDefault="00882514" w:rsidP="00882514">
            <w:pPr>
              <w:tabs>
                <w:tab w:val="decimal" w:pos="165"/>
              </w:tabs>
              <w:spacing w:line="240" w:lineRule="auto"/>
              <w:rPr>
                <w:sz w:val="20"/>
                <w:szCs w:val="20"/>
              </w:rPr>
            </w:pPr>
            <w:r w:rsidRPr="000241EE">
              <w:rPr>
                <w:sz w:val="20"/>
                <w:szCs w:val="20"/>
              </w:rPr>
              <w:t>-0.18 (0.07)*</w:t>
            </w:r>
          </w:p>
        </w:tc>
      </w:tr>
      <w:tr w:rsidR="00882514" w14:paraId="0B5C8699" w14:textId="77777777" w:rsidTr="00EA09C7">
        <w:trPr>
          <w:trHeight w:val="50"/>
        </w:trPr>
        <w:tc>
          <w:tcPr>
            <w:tcW w:w="2310" w:type="dxa"/>
            <w:tcBorders>
              <w:top w:val="single" w:sz="4" w:space="0" w:color="FFFFFF"/>
              <w:left w:val="single" w:sz="4" w:space="0" w:color="FFFFFF"/>
              <w:bottom w:val="single" w:sz="4" w:space="0" w:color="FFFFFF"/>
              <w:right w:val="single" w:sz="4" w:space="0" w:color="FFFFFF"/>
            </w:tcBorders>
            <w:vAlign w:val="center"/>
          </w:tcPr>
          <w:p w14:paraId="63992ABC" w14:textId="77777777" w:rsidR="00882514" w:rsidRPr="000241EE" w:rsidRDefault="00882514" w:rsidP="00882514">
            <w:pPr>
              <w:spacing w:line="240" w:lineRule="auto"/>
              <w:ind w:left="-27" w:firstLine="276"/>
              <w:rPr>
                <w:sz w:val="20"/>
                <w:szCs w:val="20"/>
              </w:rPr>
            </w:pPr>
            <w:r w:rsidRPr="000241EE">
              <w:rPr>
                <w:sz w:val="20"/>
                <w:szCs w:val="20"/>
              </w:rPr>
              <w:t>Education</w:t>
            </w:r>
          </w:p>
        </w:tc>
        <w:tc>
          <w:tcPr>
            <w:tcW w:w="1517" w:type="dxa"/>
            <w:tcBorders>
              <w:top w:val="single" w:sz="4" w:space="0" w:color="FFFFFF"/>
              <w:left w:val="single" w:sz="4" w:space="0" w:color="FFFFFF"/>
              <w:bottom w:val="single" w:sz="4" w:space="0" w:color="FFFFFF"/>
              <w:right w:val="single" w:sz="4" w:space="0" w:color="FFFFFF"/>
            </w:tcBorders>
            <w:vAlign w:val="center"/>
          </w:tcPr>
          <w:p w14:paraId="0609642A"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31544805"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095BBA77"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1F0D281F"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56C8EC46" w14:textId="77777777" w:rsidR="00882514" w:rsidRPr="000241EE" w:rsidRDefault="00882514" w:rsidP="00882514">
            <w:pPr>
              <w:tabs>
                <w:tab w:val="decimal" w:pos="165"/>
              </w:tabs>
              <w:spacing w:line="240" w:lineRule="auto"/>
              <w:rPr>
                <w:sz w:val="20"/>
                <w:szCs w:val="20"/>
              </w:rPr>
            </w:pPr>
            <w:r w:rsidRPr="000241EE">
              <w:rPr>
                <w:sz w:val="20"/>
                <w:szCs w:val="20"/>
              </w:rPr>
              <w:t>0.06 (0.01)***</w:t>
            </w:r>
          </w:p>
        </w:tc>
        <w:tc>
          <w:tcPr>
            <w:tcW w:w="1530" w:type="dxa"/>
            <w:tcBorders>
              <w:top w:val="single" w:sz="4" w:space="0" w:color="FFFFFF"/>
              <w:left w:val="single" w:sz="4" w:space="0" w:color="FFFFFF"/>
              <w:bottom w:val="single" w:sz="4" w:space="0" w:color="FFFFFF"/>
              <w:right w:val="single" w:sz="4" w:space="0" w:color="FFFFFF"/>
            </w:tcBorders>
            <w:vAlign w:val="center"/>
          </w:tcPr>
          <w:p w14:paraId="751D306A" w14:textId="77777777" w:rsidR="00882514" w:rsidRPr="000241EE" w:rsidRDefault="00882514" w:rsidP="00882514">
            <w:pPr>
              <w:tabs>
                <w:tab w:val="decimal" w:pos="157"/>
              </w:tabs>
              <w:spacing w:line="240" w:lineRule="auto"/>
              <w:rPr>
                <w:sz w:val="20"/>
                <w:szCs w:val="20"/>
              </w:rPr>
            </w:pPr>
            <w:r w:rsidRPr="000241EE">
              <w:rPr>
                <w:sz w:val="20"/>
                <w:szCs w:val="20"/>
              </w:rPr>
              <w:t>0.06 (0.01)***</w:t>
            </w:r>
          </w:p>
        </w:tc>
        <w:tc>
          <w:tcPr>
            <w:tcW w:w="1710" w:type="dxa"/>
            <w:tcBorders>
              <w:top w:val="single" w:sz="4" w:space="0" w:color="FFFFFF"/>
              <w:left w:val="single" w:sz="4" w:space="0" w:color="FFFFFF"/>
              <w:bottom w:val="single" w:sz="4" w:space="0" w:color="FFFFFF"/>
              <w:right w:val="single" w:sz="4" w:space="0" w:color="FFFFFF"/>
            </w:tcBorders>
            <w:vAlign w:val="center"/>
          </w:tcPr>
          <w:p w14:paraId="7BD73D6D" w14:textId="77777777" w:rsidR="00882514" w:rsidRPr="000241EE" w:rsidRDefault="00882514" w:rsidP="00882514">
            <w:pPr>
              <w:tabs>
                <w:tab w:val="decimal" w:pos="165"/>
              </w:tabs>
              <w:spacing w:line="240" w:lineRule="auto"/>
              <w:rPr>
                <w:sz w:val="20"/>
                <w:szCs w:val="20"/>
              </w:rPr>
            </w:pPr>
            <w:r w:rsidRPr="000241EE">
              <w:rPr>
                <w:sz w:val="20"/>
                <w:szCs w:val="20"/>
              </w:rPr>
              <w:t>0.06 (0.01)***</w:t>
            </w:r>
          </w:p>
        </w:tc>
      </w:tr>
      <w:tr w:rsidR="00882514" w14:paraId="3F58B13B" w14:textId="77777777" w:rsidTr="00EA09C7">
        <w:trPr>
          <w:trHeight w:val="154"/>
        </w:trPr>
        <w:tc>
          <w:tcPr>
            <w:tcW w:w="2310" w:type="dxa"/>
            <w:tcBorders>
              <w:top w:val="single" w:sz="4" w:space="0" w:color="FFFFFF"/>
              <w:left w:val="single" w:sz="4" w:space="0" w:color="FFFFFF"/>
              <w:bottom w:val="single" w:sz="4" w:space="0" w:color="FFFFFF"/>
              <w:right w:val="single" w:sz="4" w:space="0" w:color="FFFFFF"/>
            </w:tcBorders>
            <w:vAlign w:val="center"/>
          </w:tcPr>
          <w:p w14:paraId="77A442C4" w14:textId="77777777" w:rsidR="00882514" w:rsidRPr="000241EE" w:rsidRDefault="00882514" w:rsidP="00882514">
            <w:pPr>
              <w:spacing w:line="240" w:lineRule="auto"/>
              <w:ind w:left="-27" w:firstLine="276"/>
              <w:rPr>
                <w:sz w:val="20"/>
                <w:szCs w:val="20"/>
              </w:rPr>
            </w:pPr>
            <w:r w:rsidRPr="000241EE">
              <w:rPr>
                <w:sz w:val="20"/>
                <w:szCs w:val="20"/>
              </w:rPr>
              <w:t>Compensation</w:t>
            </w:r>
          </w:p>
        </w:tc>
        <w:tc>
          <w:tcPr>
            <w:tcW w:w="1517" w:type="dxa"/>
            <w:tcBorders>
              <w:top w:val="single" w:sz="4" w:space="0" w:color="FFFFFF"/>
              <w:left w:val="single" w:sz="4" w:space="0" w:color="FFFFFF"/>
              <w:bottom w:val="single" w:sz="4" w:space="0" w:color="FFFFFF"/>
              <w:right w:val="single" w:sz="4" w:space="0" w:color="FFFFFF"/>
            </w:tcBorders>
            <w:vAlign w:val="center"/>
          </w:tcPr>
          <w:p w14:paraId="73A25954"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3649DCBC"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4AA5DD75"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582D9E14"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69165787" w14:textId="77777777" w:rsidR="00882514" w:rsidRPr="000241EE" w:rsidRDefault="00882514" w:rsidP="00882514">
            <w:pPr>
              <w:tabs>
                <w:tab w:val="decimal" w:pos="165"/>
              </w:tabs>
              <w:spacing w:line="240" w:lineRule="auto"/>
              <w:rPr>
                <w:sz w:val="20"/>
                <w:szCs w:val="20"/>
              </w:rPr>
            </w:pPr>
            <w:r w:rsidRPr="000241EE">
              <w:rPr>
                <w:sz w:val="20"/>
                <w:szCs w:val="20"/>
              </w:rPr>
              <w:t>0.25 (0.07)**</w:t>
            </w:r>
          </w:p>
        </w:tc>
        <w:tc>
          <w:tcPr>
            <w:tcW w:w="1530" w:type="dxa"/>
            <w:tcBorders>
              <w:top w:val="single" w:sz="4" w:space="0" w:color="FFFFFF"/>
              <w:left w:val="single" w:sz="4" w:space="0" w:color="FFFFFF"/>
              <w:bottom w:val="single" w:sz="4" w:space="0" w:color="FFFFFF"/>
              <w:right w:val="single" w:sz="4" w:space="0" w:color="FFFFFF"/>
            </w:tcBorders>
            <w:vAlign w:val="center"/>
          </w:tcPr>
          <w:p w14:paraId="1928D653" w14:textId="77777777" w:rsidR="00882514" w:rsidRPr="000241EE" w:rsidRDefault="00882514" w:rsidP="00882514">
            <w:pPr>
              <w:tabs>
                <w:tab w:val="decimal" w:pos="157"/>
              </w:tabs>
              <w:spacing w:line="240" w:lineRule="auto"/>
              <w:rPr>
                <w:sz w:val="20"/>
                <w:szCs w:val="20"/>
              </w:rPr>
            </w:pPr>
            <w:r w:rsidRPr="000241EE">
              <w:rPr>
                <w:sz w:val="20"/>
                <w:szCs w:val="20"/>
              </w:rPr>
              <w:t>0.25 (0.07)***</w:t>
            </w:r>
          </w:p>
        </w:tc>
        <w:tc>
          <w:tcPr>
            <w:tcW w:w="1710" w:type="dxa"/>
            <w:tcBorders>
              <w:top w:val="single" w:sz="4" w:space="0" w:color="FFFFFF"/>
              <w:left w:val="single" w:sz="4" w:space="0" w:color="FFFFFF"/>
              <w:bottom w:val="single" w:sz="4" w:space="0" w:color="FFFFFF"/>
              <w:right w:val="single" w:sz="4" w:space="0" w:color="FFFFFF"/>
            </w:tcBorders>
            <w:vAlign w:val="center"/>
          </w:tcPr>
          <w:p w14:paraId="4EB2E06E" w14:textId="77777777" w:rsidR="00882514" w:rsidRPr="000241EE" w:rsidRDefault="00882514" w:rsidP="00882514">
            <w:pPr>
              <w:tabs>
                <w:tab w:val="decimal" w:pos="165"/>
              </w:tabs>
              <w:spacing w:line="240" w:lineRule="auto"/>
              <w:rPr>
                <w:sz w:val="20"/>
                <w:szCs w:val="20"/>
              </w:rPr>
            </w:pPr>
            <w:r w:rsidRPr="000241EE">
              <w:rPr>
                <w:sz w:val="20"/>
                <w:szCs w:val="20"/>
              </w:rPr>
              <w:t>0.25 (0.07)***</w:t>
            </w:r>
          </w:p>
        </w:tc>
      </w:tr>
      <w:tr w:rsidR="00882514" w14:paraId="53F65BAE" w14:textId="77777777" w:rsidTr="00EA09C7">
        <w:trPr>
          <w:trHeight w:val="230"/>
        </w:trPr>
        <w:tc>
          <w:tcPr>
            <w:tcW w:w="2310" w:type="dxa"/>
            <w:tcBorders>
              <w:top w:val="single" w:sz="4" w:space="0" w:color="FFFFFF"/>
              <w:left w:val="single" w:sz="4" w:space="0" w:color="FFFFFF"/>
              <w:bottom w:val="single" w:sz="4" w:space="0" w:color="FFFFFF"/>
              <w:right w:val="single" w:sz="4" w:space="0" w:color="FFFFFF"/>
            </w:tcBorders>
            <w:vAlign w:val="center"/>
          </w:tcPr>
          <w:p w14:paraId="4893F308" w14:textId="77777777" w:rsidR="00882514" w:rsidRPr="000241EE" w:rsidRDefault="00882514" w:rsidP="00882514">
            <w:pPr>
              <w:spacing w:line="240" w:lineRule="auto"/>
              <w:ind w:left="-27" w:firstLine="276"/>
              <w:rPr>
                <w:sz w:val="20"/>
                <w:szCs w:val="20"/>
              </w:rPr>
            </w:pPr>
            <w:r w:rsidRPr="000241EE">
              <w:rPr>
                <w:sz w:val="20"/>
                <w:szCs w:val="20"/>
              </w:rPr>
              <w:t>Condition: Ignorance</w:t>
            </w:r>
          </w:p>
        </w:tc>
        <w:tc>
          <w:tcPr>
            <w:tcW w:w="1517" w:type="dxa"/>
            <w:tcBorders>
              <w:top w:val="single" w:sz="4" w:space="0" w:color="FFFFFF"/>
              <w:left w:val="single" w:sz="4" w:space="0" w:color="FFFFFF"/>
              <w:bottom w:val="single" w:sz="4" w:space="0" w:color="FFFFFF"/>
              <w:right w:val="single" w:sz="4" w:space="0" w:color="FFFFFF"/>
            </w:tcBorders>
            <w:vAlign w:val="center"/>
          </w:tcPr>
          <w:p w14:paraId="6EDF687F"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0BB8D43D"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4CB2E4A0"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05F9BE5F"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5908F9BC" w14:textId="77777777" w:rsidR="00882514" w:rsidRPr="000241EE" w:rsidRDefault="00882514" w:rsidP="00882514">
            <w:pPr>
              <w:spacing w:line="240" w:lineRule="auto"/>
              <w:rPr>
                <w:sz w:val="20"/>
                <w:szCs w:val="20"/>
              </w:rPr>
            </w:pPr>
          </w:p>
        </w:tc>
        <w:tc>
          <w:tcPr>
            <w:tcW w:w="1530" w:type="dxa"/>
            <w:tcBorders>
              <w:top w:val="single" w:sz="4" w:space="0" w:color="FFFFFF"/>
              <w:left w:val="single" w:sz="4" w:space="0" w:color="FFFFFF"/>
              <w:bottom w:val="single" w:sz="4" w:space="0" w:color="FFFFFF"/>
              <w:right w:val="single" w:sz="4" w:space="0" w:color="FFFFFF"/>
            </w:tcBorders>
            <w:vAlign w:val="center"/>
          </w:tcPr>
          <w:p w14:paraId="4861761E" w14:textId="77777777" w:rsidR="00882514" w:rsidRPr="000241EE" w:rsidRDefault="00882514" w:rsidP="00882514">
            <w:pPr>
              <w:tabs>
                <w:tab w:val="decimal" w:pos="157"/>
              </w:tabs>
              <w:spacing w:line="240" w:lineRule="auto"/>
              <w:rPr>
                <w:sz w:val="20"/>
                <w:szCs w:val="20"/>
              </w:rPr>
            </w:pPr>
            <w:r w:rsidRPr="000241EE">
              <w:rPr>
                <w:sz w:val="20"/>
                <w:szCs w:val="20"/>
              </w:rPr>
              <w:t>-0.40 (0.08)***</w:t>
            </w:r>
          </w:p>
        </w:tc>
        <w:tc>
          <w:tcPr>
            <w:tcW w:w="1710" w:type="dxa"/>
            <w:tcBorders>
              <w:top w:val="single" w:sz="4" w:space="0" w:color="FFFFFF"/>
              <w:left w:val="single" w:sz="4" w:space="0" w:color="FFFFFF"/>
              <w:bottom w:val="single" w:sz="4" w:space="0" w:color="FFFFFF"/>
              <w:right w:val="single" w:sz="4" w:space="0" w:color="FFFFFF"/>
            </w:tcBorders>
            <w:vAlign w:val="center"/>
          </w:tcPr>
          <w:p w14:paraId="5DFD280D" w14:textId="77777777" w:rsidR="00882514" w:rsidRPr="000241EE" w:rsidRDefault="00882514" w:rsidP="00882514">
            <w:pPr>
              <w:tabs>
                <w:tab w:val="decimal" w:pos="165"/>
              </w:tabs>
              <w:spacing w:line="240" w:lineRule="auto"/>
              <w:rPr>
                <w:sz w:val="20"/>
                <w:szCs w:val="20"/>
              </w:rPr>
            </w:pPr>
            <w:r w:rsidRPr="000241EE">
              <w:rPr>
                <w:sz w:val="20"/>
                <w:szCs w:val="20"/>
              </w:rPr>
              <w:t>-0.86 (0.16)***</w:t>
            </w:r>
          </w:p>
        </w:tc>
      </w:tr>
      <w:tr w:rsidR="00882514" w14:paraId="24C24323" w14:textId="77777777" w:rsidTr="00EA09C7">
        <w:trPr>
          <w:trHeight w:val="230"/>
        </w:trPr>
        <w:tc>
          <w:tcPr>
            <w:tcW w:w="2310" w:type="dxa"/>
            <w:tcBorders>
              <w:top w:val="single" w:sz="4" w:space="0" w:color="FFFFFF"/>
              <w:left w:val="single" w:sz="4" w:space="0" w:color="FFFFFF"/>
              <w:bottom w:val="single" w:sz="4" w:space="0" w:color="FFFFFF"/>
              <w:right w:val="single" w:sz="4" w:space="0" w:color="FFFFFF"/>
            </w:tcBorders>
            <w:vAlign w:val="center"/>
          </w:tcPr>
          <w:p w14:paraId="2D27FDB3" w14:textId="77777777" w:rsidR="00882514" w:rsidRPr="000241EE" w:rsidRDefault="00882514" w:rsidP="00882514">
            <w:pPr>
              <w:spacing w:line="240" w:lineRule="auto"/>
              <w:ind w:left="-27" w:firstLine="276"/>
              <w:rPr>
                <w:sz w:val="20"/>
                <w:szCs w:val="20"/>
              </w:rPr>
            </w:pPr>
            <w:r w:rsidRPr="000241EE">
              <w:rPr>
                <w:sz w:val="20"/>
                <w:szCs w:val="20"/>
              </w:rPr>
              <w:t>Condition: Knowledge</w:t>
            </w:r>
          </w:p>
        </w:tc>
        <w:tc>
          <w:tcPr>
            <w:tcW w:w="1517" w:type="dxa"/>
            <w:tcBorders>
              <w:top w:val="single" w:sz="4" w:space="0" w:color="FFFFFF"/>
              <w:left w:val="single" w:sz="4" w:space="0" w:color="FFFFFF"/>
              <w:bottom w:val="single" w:sz="4" w:space="0" w:color="FFFFFF"/>
              <w:right w:val="single" w:sz="4" w:space="0" w:color="FFFFFF"/>
            </w:tcBorders>
            <w:vAlign w:val="center"/>
          </w:tcPr>
          <w:p w14:paraId="723C8D8C"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180F25AE"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18253465"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6657B24C"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4D6002DF" w14:textId="77777777" w:rsidR="00882514" w:rsidRPr="000241EE" w:rsidRDefault="00882514" w:rsidP="00882514">
            <w:pPr>
              <w:spacing w:line="240" w:lineRule="auto"/>
              <w:rPr>
                <w:sz w:val="20"/>
                <w:szCs w:val="20"/>
              </w:rPr>
            </w:pPr>
          </w:p>
        </w:tc>
        <w:tc>
          <w:tcPr>
            <w:tcW w:w="1530" w:type="dxa"/>
            <w:tcBorders>
              <w:top w:val="single" w:sz="4" w:space="0" w:color="FFFFFF"/>
              <w:left w:val="single" w:sz="4" w:space="0" w:color="FFFFFF"/>
              <w:bottom w:val="single" w:sz="4" w:space="0" w:color="FFFFFF"/>
              <w:right w:val="single" w:sz="4" w:space="0" w:color="FFFFFF"/>
            </w:tcBorders>
            <w:vAlign w:val="center"/>
          </w:tcPr>
          <w:p w14:paraId="775B091D" w14:textId="77777777" w:rsidR="00882514" w:rsidRPr="000241EE" w:rsidRDefault="00882514" w:rsidP="00882514">
            <w:pPr>
              <w:tabs>
                <w:tab w:val="decimal" w:pos="157"/>
              </w:tabs>
              <w:spacing w:line="240" w:lineRule="auto"/>
              <w:rPr>
                <w:sz w:val="20"/>
                <w:szCs w:val="20"/>
              </w:rPr>
            </w:pPr>
            <w:r w:rsidRPr="000241EE">
              <w:rPr>
                <w:sz w:val="20"/>
                <w:szCs w:val="20"/>
              </w:rPr>
              <w:t>0.43 (0.09)***</w:t>
            </w:r>
          </w:p>
        </w:tc>
        <w:tc>
          <w:tcPr>
            <w:tcW w:w="1710" w:type="dxa"/>
            <w:tcBorders>
              <w:top w:val="single" w:sz="4" w:space="0" w:color="FFFFFF"/>
              <w:left w:val="single" w:sz="4" w:space="0" w:color="FFFFFF"/>
              <w:bottom w:val="single" w:sz="4" w:space="0" w:color="FFFFFF"/>
              <w:right w:val="single" w:sz="4" w:space="0" w:color="FFFFFF"/>
            </w:tcBorders>
            <w:vAlign w:val="center"/>
          </w:tcPr>
          <w:p w14:paraId="7A799125" w14:textId="77777777" w:rsidR="00882514" w:rsidRPr="000241EE" w:rsidRDefault="00882514" w:rsidP="00882514">
            <w:pPr>
              <w:tabs>
                <w:tab w:val="decimal" w:pos="165"/>
              </w:tabs>
              <w:spacing w:line="240" w:lineRule="auto"/>
              <w:rPr>
                <w:sz w:val="20"/>
                <w:szCs w:val="20"/>
              </w:rPr>
            </w:pPr>
            <w:r w:rsidRPr="000241EE">
              <w:rPr>
                <w:sz w:val="20"/>
                <w:szCs w:val="20"/>
              </w:rPr>
              <w:t>0.39 (0.20)</w:t>
            </w:r>
          </w:p>
        </w:tc>
      </w:tr>
      <w:tr w:rsidR="00882514" w14:paraId="4EFDAD99" w14:textId="77777777" w:rsidTr="00EA09C7">
        <w:trPr>
          <w:trHeight w:val="230"/>
        </w:trPr>
        <w:tc>
          <w:tcPr>
            <w:tcW w:w="2310" w:type="dxa"/>
            <w:tcBorders>
              <w:top w:val="single" w:sz="4" w:space="0" w:color="FFFFFF"/>
              <w:left w:val="single" w:sz="4" w:space="0" w:color="FFFFFF"/>
              <w:bottom w:val="single" w:sz="4" w:space="0" w:color="FFFFFF"/>
              <w:right w:val="single" w:sz="4" w:space="0" w:color="FFFFFF"/>
            </w:tcBorders>
            <w:vAlign w:val="center"/>
          </w:tcPr>
          <w:p w14:paraId="4B965195" w14:textId="77777777" w:rsidR="00882514" w:rsidRPr="000241EE" w:rsidRDefault="00882514" w:rsidP="00882514">
            <w:pPr>
              <w:spacing w:line="240" w:lineRule="auto"/>
              <w:ind w:left="-27" w:firstLine="276"/>
              <w:rPr>
                <w:sz w:val="20"/>
                <w:szCs w:val="20"/>
              </w:rPr>
            </w:pPr>
            <w:r w:rsidRPr="000241EE">
              <w:rPr>
                <w:sz w:val="20"/>
                <w:szCs w:val="20"/>
              </w:rPr>
              <w:t>Vignette: Emma</w:t>
            </w:r>
          </w:p>
        </w:tc>
        <w:tc>
          <w:tcPr>
            <w:tcW w:w="1517" w:type="dxa"/>
            <w:tcBorders>
              <w:top w:val="single" w:sz="4" w:space="0" w:color="FFFFFF"/>
              <w:left w:val="single" w:sz="4" w:space="0" w:color="FFFFFF"/>
              <w:bottom w:val="single" w:sz="4" w:space="0" w:color="FFFFFF"/>
              <w:right w:val="single" w:sz="4" w:space="0" w:color="FFFFFF"/>
            </w:tcBorders>
            <w:vAlign w:val="center"/>
          </w:tcPr>
          <w:p w14:paraId="60C49FFD"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723A8519"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4A110844"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0A770008"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1248F8E4" w14:textId="77777777" w:rsidR="00882514" w:rsidRPr="000241EE" w:rsidRDefault="00882514" w:rsidP="00882514">
            <w:pPr>
              <w:spacing w:line="240" w:lineRule="auto"/>
              <w:rPr>
                <w:sz w:val="20"/>
                <w:szCs w:val="20"/>
              </w:rPr>
            </w:pPr>
          </w:p>
        </w:tc>
        <w:tc>
          <w:tcPr>
            <w:tcW w:w="1530" w:type="dxa"/>
            <w:tcBorders>
              <w:top w:val="single" w:sz="4" w:space="0" w:color="FFFFFF"/>
              <w:left w:val="single" w:sz="4" w:space="0" w:color="FFFFFF"/>
              <w:bottom w:val="single" w:sz="4" w:space="0" w:color="FFFFFF"/>
              <w:right w:val="single" w:sz="4" w:space="0" w:color="FFFFFF"/>
            </w:tcBorders>
            <w:vAlign w:val="center"/>
          </w:tcPr>
          <w:p w14:paraId="14810F55" w14:textId="77777777" w:rsidR="00882514" w:rsidRPr="000241EE" w:rsidRDefault="00882514" w:rsidP="00882514">
            <w:pPr>
              <w:tabs>
                <w:tab w:val="decimal" w:pos="157"/>
              </w:tabs>
              <w:spacing w:line="240" w:lineRule="auto"/>
              <w:rPr>
                <w:sz w:val="20"/>
                <w:szCs w:val="20"/>
              </w:rPr>
            </w:pPr>
          </w:p>
        </w:tc>
        <w:tc>
          <w:tcPr>
            <w:tcW w:w="1710" w:type="dxa"/>
            <w:tcBorders>
              <w:top w:val="single" w:sz="4" w:space="0" w:color="FFFFFF"/>
              <w:left w:val="single" w:sz="4" w:space="0" w:color="FFFFFF"/>
              <w:bottom w:val="single" w:sz="4" w:space="0" w:color="FFFFFF"/>
              <w:right w:val="single" w:sz="4" w:space="0" w:color="FFFFFF"/>
            </w:tcBorders>
            <w:vAlign w:val="center"/>
          </w:tcPr>
          <w:p w14:paraId="3635F4D0" w14:textId="77777777" w:rsidR="00882514" w:rsidRPr="000241EE" w:rsidRDefault="00882514" w:rsidP="00882514">
            <w:pPr>
              <w:tabs>
                <w:tab w:val="decimal" w:pos="165"/>
              </w:tabs>
              <w:spacing w:line="240" w:lineRule="auto"/>
              <w:rPr>
                <w:sz w:val="20"/>
                <w:szCs w:val="20"/>
              </w:rPr>
            </w:pPr>
            <w:r w:rsidRPr="000241EE">
              <w:rPr>
                <w:sz w:val="20"/>
                <w:szCs w:val="20"/>
              </w:rPr>
              <w:t>-1.10 (0.16)***</w:t>
            </w:r>
          </w:p>
        </w:tc>
      </w:tr>
      <w:tr w:rsidR="00882514" w14:paraId="7365C5BF" w14:textId="77777777" w:rsidTr="00EA09C7">
        <w:trPr>
          <w:trHeight w:val="230"/>
        </w:trPr>
        <w:tc>
          <w:tcPr>
            <w:tcW w:w="2310" w:type="dxa"/>
            <w:tcBorders>
              <w:top w:val="single" w:sz="4" w:space="0" w:color="FFFFFF"/>
              <w:left w:val="single" w:sz="4" w:space="0" w:color="FFFFFF"/>
              <w:bottom w:val="single" w:sz="4" w:space="0" w:color="FFFFFF"/>
              <w:right w:val="single" w:sz="4" w:space="0" w:color="FFFFFF"/>
            </w:tcBorders>
            <w:vAlign w:val="center"/>
          </w:tcPr>
          <w:p w14:paraId="74F99ED8" w14:textId="77777777" w:rsidR="00882514" w:rsidRPr="000241EE" w:rsidRDefault="00882514" w:rsidP="00882514">
            <w:pPr>
              <w:spacing w:line="240" w:lineRule="auto"/>
              <w:ind w:left="-27" w:firstLine="276"/>
              <w:rPr>
                <w:sz w:val="20"/>
                <w:szCs w:val="20"/>
              </w:rPr>
            </w:pPr>
            <w:r w:rsidRPr="000241EE">
              <w:rPr>
                <w:sz w:val="20"/>
                <w:szCs w:val="20"/>
              </w:rPr>
              <w:t>Vignette: Gerald</w:t>
            </w:r>
          </w:p>
        </w:tc>
        <w:tc>
          <w:tcPr>
            <w:tcW w:w="1517" w:type="dxa"/>
            <w:tcBorders>
              <w:top w:val="single" w:sz="4" w:space="0" w:color="FFFFFF"/>
              <w:left w:val="single" w:sz="4" w:space="0" w:color="FFFFFF"/>
              <w:bottom w:val="single" w:sz="4" w:space="0" w:color="FFFFFF"/>
              <w:right w:val="single" w:sz="4" w:space="0" w:color="FFFFFF"/>
            </w:tcBorders>
            <w:vAlign w:val="center"/>
          </w:tcPr>
          <w:p w14:paraId="274FC3A0"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3A108E0B"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28260953"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56407A03"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02959C29" w14:textId="77777777" w:rsidR="00882514" w:rsidRPr="000241EE" w:rsidRDefault="00882514" w:rsidP="00882514">
            <w:pPr>
              <w:spacing w:line="240" w:lineRule="auto"/>
              <w:rPr>
                <w:sz w:val="20"/>
                <w:szCs w:val="20"/>
              </w:rPr>
            </w:pPr>
          </w:p>
        </w:tc>
        <w:tc>
          <w:tcPr>
            <w:tcW w:w="1530" w:type="dxa"/>
            <w:tcBorders>
              <w:top w:val="single" w:sz="4" w:space="0" w:color="FFFFFF"/>
              <w:left w:val="single" w:sz="4" w:space="0" w:color="FFFFFF"/>
              <w:bottom w:val="single" w:sz="4" w:space="0" w:color="FFFFFF"/>
              <w:right w:val="single" w:sz="4" w:space="0" w:color="FFFFFF"/>
            </w:tcBorders>
            <w:vAlign w:val="center"/>
          </w:tcPr>
          <w:p w14:paraId="409486EB" w14:textId="77777777" w:rsidR="00882514" w:rsidRPr="000241EE" w:rsidRDefault="00882514" w:rsidP="00882514">
            <w:pPr>
              <w:spacing w:line="240" w:lineRule="auto"/>
              <w:rPr>
                <w:sz w:val="20"/>
                <w:szCs w:val="20"/>
              </w:rPr>
            </w:pPr>
          </w:p>
        </w:tc>
        <w:tc>
          <w:tcPr>
            <w:tcW w:w="1710" w:type="dxa"/>
            <w:tcBorders>
              <w:top w:val="single" w:sz="4" w:space="0" w:color="FFFFFF"/>
              <w:left w:val="single" w:sz="4" w:space="0" w:color="FFFFFF"/>
              <w:bottom w:val="single" w:sz="4" w:space="0" w:color="FFFFFF"/>
              <w:right w:val="single" w:sz="4" w:space="0" w:color="FFFFFF"/>
            </w:tcBorders>
            <w:vAlign w:val="center"/>
          </w:tcPr>
          <w:p w14:paraId="1D08BDCB" w14:textId="77777777" w:rsidR="00882514" w:rsidRPr="000241EE" w:rsidRDefault="00882514" w:rsidP="00882514">
            <w:pPr>
              <w:tabs>
                <w:tab w:val="decimal" w:pos="165"/>
              </w:tabs>
              <w:spacing w:line="240" w:lineRule="auto"/>
              <w:rPr>
                <w:sz w:val="20"/>
                <w:szCs w:val="20"/>
              </w:rPr>
            </w:pPr>
            <w:r w:rsidRPr="000241EE">
              <w:rPr>
                <w:sz w:val="20"/>
                <w:szCs w:val="20"/>
              </w:rPr>
              <w:t>-0.52 (0.17)**</w:t>
            </w:r>
          </w:p>
        </w:tc>
      </w:tr>
      <w:tr w:rsidR="00882514" w14:paraId="17A041BF" w14:textId="77777777" w:rsidTr="00EA09C7">
        <w:trPr>
          <w:trHeight w:val="230"/>
        </w:trPr>
        <w:tc>
          <w:tcPr>
            <w:tcW w:w="2310" w:type="dxa"/>
            <w:tcBorders>
              <w:top w:val="single" w:sz="4" w:space="0" w:color="FFFFFF"/>
              <w:left w:val="single" w:sz="4" w:space="0" w:color="FFFFFF"/>
              <w:bottom w:val="single" w:sz="4" w:space="0" w:color="FFFFFF"/>
              <w:right w:val="single" w:sz="4" w:space="0" w:color="FFFFFF"/>
            </w:tcBorders>
            <w:vAlign w:val="center"/>
          </w:tcPr>
          <w:p w14:paraId="226028A6" w14:textId="77777777" w:rsidR="00882514" w:rsidRPr="000241EE" w:rsidRDefault="00882514" w:rsidP="00882514">
            <w:pPr>
              <w:spacing w:line="240" w:lineRule="auto"/>
              <w:ind w:left="-27" w:firstLine="276"/>
              <w:rPr>
                <w:sz w:val="20"/>
                <w:szCs w:val="20"/>
              </w:rPr>
            </w:pPr>
            <w:r w:rsidRPr="000241EE">
              <w:rPr>
                <w:sz w:val="20"/>
                <w:szCs w:val="20"/>
              </w:rPr>
              <w:t>Ignorance X Emma</w:t>
            </w:r>
          </w:p>
        </w:tc>
        <w:tc>
          <w:tcPr>
            <w:tcW w:w="1517" w:type="dxa"/>
            <w:tcBorders>
              <w:top w:val="single" w:sz="4" w:space="0" w:color="FFFFFF"/>
              <w:left w:val="single" w:sz="4" w:space="0" w:color="FFFFFF"/>
              <w:bottom w:val="single" w:sz="4" w:space="0" w:color="FFFFFF"/>
              <w:right w:val="single" w:sz="4" w:space="0" w:color="FFFFFF"/>
            </w:tcBorders>
            <w:vAlign w:val="center"/>
          </w:tcPr>
          <w:p w14:paraId="5E04304F"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61BE35E4"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59265AF2"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2F7BDE11"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3E02F816" w14:textId="77777777" w:rsidR="00882514" w:rsidRPr="000241EE" w:rsidRDefault="00882514" w:rsidP="00882514">
            <w:pPr>
              <w:spacing w:line="240" w:lineRule="auto"/>
              <w:rPr>
                <w:sz w:val="20"/>
                <w:szCs w:val="20"/>
              </w:rPr>
            </w:pPr>
          </w:p>
        </w:tc>
        <w:tc>
          <w:tcPr>
            <w:tcW w:w="1530" w:type="dxa"/>
            <w:tcBorders>
              <w:top w:val="single" w:sz="4" w:space="0" w:color="FFFFFF"/>
              <w:left w:val="single" w:sz="4" w:space="0" w:color="FFFFFF"/>
              <w:bottom w:val="single" w:sz="4" w:space="0" w:color="FFFFFF"/>
              <w:right w:val="single" w:sz="4" w:space="0" w:color="FFFFFF"/>
            </w:tcBorders>
            <w:vAlign w:val="center"/>
          </w:tcPr>
          <w:p w14:paraId="12F42987" w14:textId="77777777" w:rsidR="00882514" w:rsidRPr="000241EE" w:rsidRDefault="00882514" w:rsidP="00882514">
            <w:pPr>
              <w:spacing w:line="240" w:lineRule="auto"/>
              <w:rPr>
                <w:sz w:val="20"/>
                <w:szCs w:val="20"/>
              </w:rPr>
            </w:pPr>
          </w:p>
        </w:tc>
        <w:tc>
          <w:tcPr>
            <w:tcW w:w="1710" w:type="dxa"/>
            <w:tcBorders>
              <w:top w:val="single" w:sz="4" w:space="0" w:color="FFFFFF"/>
              <w:left w:val="single" w:sz="4" w:space="0" w:color="FFFFFF"/>
              <w:bottom w:val="single" w:sz="4" w:space="0" w:color="FFFFFF"/>
              <w:right w:val="single" w:sz="4" w:space="0" w:color="FFFFFF"/>
            </w:tcBorders>
            <w:vAlign w:val="center"/>
          </w:tcPr>
          <w:p w14:paraId="3BE9E919" w14:textId="77777777" w:rsidR="00882514" w:rsidRPr="000241EE" w:rsidRDefault="00882514" w:rsidP="00882514">
            <w:pPr>
              <w:tabs>
                <w:tab w:val="decimal" w:pos="165"/>
              </w:tabs>
              <w:spacing w:line="240" w:lineRule="auto"/>
              <w:rPr>
                <w:sz w:val="20"/>
                <w:szCs w:val="20"/>
              </w:rPr>
            </w:pPr>
            <w:r w:rsidRPr="000241EE">
              <w:rPr>
                <w:sz w:val="20"/>
                <w:szCs w:val="20"/>
              </w:rPr>
              <w:t>0.74 (0.20)***</w:t>
            </w:r>
          </w:p>
        </w:tc>
      </w:tr>
      <w:tr w:rsidR="00882514" w14:paraId="6F74B023" w14:textId="77777777" w:rsidTr="00EA09C7">
        <w:trPr>
          <w:trHeight w:val="230"/>
        </w:trPr>
        <w:tc>
          <w:tcPr>
            <w:tcW w:w="2310" w:type="dxa"/>
            <w:tcBorders>
              <w:top w:val="single" w:sz="4" w:space="0" w:color="FFFFFF"/>
              <w:left w:val="single" w:sz="4" w:space="0" w:color="FFFFFF"/>
              <w:bottom w:val="single" w:sz="4" w:space="0" w:color="FFFFFF"/>
              <w:right w:val="single" w:sz="4" w:space="0" w:color="FFFFFF"/>
            </w:tcBorders>
            <w:vAlign w:val="center"/>
          </w:tcPr>
          <w:p w14:paraId="7A06F1CF" w14:textId="77777777" w:rsidR="00882514" w:rsidRPr="000241EE" w:rsidRDefault="00882514" w:rsidP="00882514">
            <w:pPr>
              <w:spacing w:line="240" w:lineRule="auto"/>
              <w:ind w:left="-27" w:firstLine="276"/>
              <w:rPr>
                <w:sz w:val="20"/>
                <w:szCs w:val="20"/>
              </w:rPr>
            </w:pPr>
            <w:r w:rsidRPr="000241EE">
              <w:rPr>
                <w:sz w:val="20"/>
                <w:szCs w:val="20"/>
              </w:rPr>
              <w:t>Ignorance X Gerald</w:t>
            </w:r>
          </w:p>
        </w:tc>
        <w:tc>
          <w:tcPr>
            <w:tcW w:w="1517" w:type="dxa"/>
            <w:tcBorders>
              <w:top w:val="single" w:sz="4" w:space="0" w:color="FFFFFF"/>
              <w:left w:val="single" w:sz="4" w:space="0" w:color="FFFFFF"/>
              <w:bottom w:val="single" w:sz="4" w:space="0" w:color="FFFFFF"/>
              <w:right w:val="single" w:sz="4" w:space="0" w:color="FFFFFF"/>
            </w:tcBorders>
            <w:vAlign w:val="center"/>
          </w:tcPr>
          <w:p w14:paraId="77777F97"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3E66CB8D"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089BB844"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58F8CC96"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5BCD860F" w14:textId="77777777" w:rsidR="00882514" w:rsidRPr="000241EE" w:rsidRDefault="00882514" w:rsidP="00882514">
            <w:pPr>
              <w:spacing w:line="240" w:lineRule="auto"/>
              <w:rPr>
                <w:sz w:val="20"/>
                <w:szCs w:val="20"/>
              </w:rPr>
            </w:pPr>
          </w:p>
        </w:tc>
        <w:tc>
          <w:tcPr>
            <w:tcW w:w="1530" w:type="dxa"/>
            <w:tcBorders>
              <w:top w:val="single" w:sz="4" w:space="0" w:color="FFFFFF"/>
              <w:left w:val="single" w:sz="4" w:space="0" w:color="FFFFFF"/>
              <w:bottom w:val="single" w:sz="4" w:space="0" w:color="FFFFFF"/>
              <w:right w:val="single" w:sz="4" w:space="0" w:color="FFFFFF"/>
            </w:tcBorders>
            <w:vAlign w:val="center"/>
          </w:tcPr>
          <w:p w14:paraId="769CD90B" w14:textId="77777777" w:rsidR="00882514" w:rsidRPr="000241EE" w:rsidRDefault="00882514" w:rsidP="00882514">
            <w:pPr>
              <w:spacing w:line="240" w:lineRule="auto"/>
              <w:rPr>
                <w:sz w:val="20"/>
                <w:szCs w:val="20"/>
              </w:rPr>
            </w:pPr>
          </w:p>
        </w:tc>
        <w:tc>
          <w:tcPr>
            <w:tcW w:w="1710" w:type="dxa"/>
            <w:tcBorders>
              <w:top w:val="single" w:sz="4" w:space="0" w:color="FFFFFF"/>
              <w:left w:val="single" w:sz="4" w:space="0" w:color="FFFFFF"/>
              <w:bottom w:val="single" w:sz="4" w:space="0" w:color="FFFFFF"/>
              <w:right w:val="single" w:sz="4" w:space="0" w:color="FFFFFF"/>
            </w:tcBorders>
            <w:vAlign w:val="center"/>
          </w:tcPr>
          <w:p w14:paraId="7A3F74E7" w14:textId="77777777" w:rsidR="00882514" w:rsidRPr="000241EE" w:rsidRDefault="00882514" w:rsidP="00882514">
            <w:pPr>
              <w:tabs>
                <w:tab w:val="decimal" w:pos="165"/>
              </w:tabs>
              <w:spacing w:line="240" w:lineRule="auto"/>
              <w:rPr>
                <w:sz w:val="20"/>
                <w:szCs w:val="20"/>
              </w:rPr>
            </w:pPr>
            <w:r w:rsidRPr="000241EE">
              <w:rPr>
                <w:sz w:val="20"/>
                <w:szCs w:val="20"/>
              </w:rPr>
              <w:t>0.42 (0.21)*</w:t>
            </w:r>
          </w:p>
        </w:tc>
      </w:tr>
      <w:tr w:rsidR="00882514" w14:paraId="08556683" w14:textId="77777777" w:rsidTr="00EA09C7">
        <w:trPr>
          <w:trHeight w:val="230"/>
        </w:trPr>
        <w:tc>
          <w:tcPr>
            <w:tcW w:w="2310" w:type="dxa"/>
            <w:tcBorders>
              <w:top w:val="single" w:sz="4" w:space="0" w:color="FFFFFF"/>
              <w:left w:val="single" w:sz="4" w:space="0" w:color="FFFFFF"/>
              <w:bottom w:val="single" w:sz="4" w:space="0" w:color="FFFFFF"/>
              <w:right w:val="single" w:sz="4" w:space="0" w:color="FFFFFF"/>
            </w:tcBorders>
            <w:vAlign w:val="center"/>
          </w:tcPr>
          <w:p w14:paraId="6A96100B" w14:textId="77777777" w:rsidR="00882514" w:rsidRPr="000241EE" w:rsidRDefault="00882514" w:rsidP="00882514">
            <w:pPr>
              <w:spacing w:line="240" w:lineRule="auto"/>
              <w:ind w:left="-27" w:firstLine="276"/>
              <w:rPr>
                <w:sz w:val="20"/>
                <w:szCs w:val="20"/>
              </w:rPr>
            </w:pPr>
            <w:r w:rsidRPr="000241EE">
              <w:rPr>
                <w:sz w:val="20"/>
                <w:szCs w:val="20"/>
              </w:rPr>
              <w:t>Knowledge X Emma</w:t>
            </w:r>
          </w:p>
        </w:tc>
        <w:tc>
          <w:tcPr>
            <w:tcW w:w="1517" w:type="dxa"/>
            <w:tcBorders>
              <w:top w:val="single" w:sz="4" w:space="0" w:color="FFFFFF"/>
              <w:left w:val="single" w:sz="4" w:space="0" w:color="FFFFFF"/>
              <w:bottom w:val="single" w:sz="4" w:space="0" w:color="FFFFFF"/>
              <w:right w:val="single" w:sz="4" w:space="0" w:color="FFFFFF"/>
            </w:tcBorders>
            <w:vAlign w:val="center"/>
          </w:tcPr>
          <w:p w14:paraId="19F27467"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0568574F"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0EEA148B"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4522DDBB"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65A1227A" w14:textId="77777777" w:rsidR="00882514" w:rsidRPr="000241EE" w:rsidRDefault="00882514" w:rsidP="00882514">
            <w:pPr>
              <w:spacing w:line="240" w:lineRule="auto"/>
              <w:rPr>
                <w:sz w:val="20"/>
                <w:szCs w:val="20"/>
              </w:rPr>
            </w:pPr>
          </w:p>
        </w:tc>
        <w:tc>
          <w:tcPr>
            <w:tcW w:w="1530" w:type="dxa"/>
            <w:tcBorders>
              <w:top w:val="single" w:sz="4" w:space="0" w:color="FFFFFF"/>
              <w:left w:val="single" w:sz="4" w:space="0" w:color="FFFFFF"/>
              <w:bottom w:val="single" w:sz="4" w:space="0" w:color="FFFFFF"/>
              <w:right w:val="single" w:sz="4" w:space="0" w:color="FFFFFF"/>
            </w:tcBorders>
            <w:vAlign w:val="center"/>
          </w:tcPr>
          <w:p w14:paraId="71B49076" w14:textId="77777777" w:rsidR="00882514" w:rsidRPr="000241EE" w:rsidRDefault="00882514" w:rsidP="00882514">
            <w:pPr>
              <w:spacing w:line="240" w:lineRule="auto"/>
              <w:rPr>
                <w:sz w:val="20"/>
                <w:szCs w:val="20"/>
              </w:rPr>
            </w:pPr>
          </w:p>
        </w:tc>
        <w:tc>
          <w:tcPr>
            <w:tcW w:w="1710" w:type="dxa"/>
            <w:tcBorders>
              <w:top w:val="single" w:sz="4" w:space="0" w:color="FFFFFF"/>
              <w:left w:val="single" w:sz="4" w:space="0" w:color="FFFFFF"/>
              <w:bottom w:val="single" w:sz="4" w:space="0" w:color="FFFFFF"/>
              <w:right w:val="single" w:sz="4" w:space="0" w:color="FFFFFF"/>
            </w:tcBorders>
            <w:vAlign w:val="center"/>
          </w:tcPr>
          <w:p w14:paraId="3716FF85" w14:textId="77777777" w:rsidR="00882514" w:rsidRPr="000241EE" w:rsidRDefault="00882514" w:rsidP="00882514">
            <w:pPr>
              <w:tabs>
                <w:tab w:val="decimal" w:pos="165"/>
              </w:tabs>
              <w:spacing w:line="240" w:lineRule="auto"/>
              <w:rPr>
                <w:sz w:val="20"/>
                <w:szCs w:val="20"/>
              </w:rPr>
            </w:pPr>
            <w:r w:rsidRPr="000241EE">
              <w:rPr>
                <w:sz w:val="20"/>
                <w:szCs w:val="20"/>
              </w:rPr>
              <w:t>0.26 (0.25)</w:t>
            </w:r>
          </w:p>
        </w:tc>
      </w:tr>
      <w:tr w:rsidR="00882514" w14:paraId="39BC678C" w14:textId="77777777" w:rsidTr="00EA09C7">
        <w:trPr>
          <w:trHeight w:val="230"/>
        </w:trPr>
        <w:tc>
          <w:tcPr>
            <w:tcW w:w="2310" w:type="dxa"/>
            <w:tcBorders>
              <w:top w:val="single" w:sz="4" w:space="0" w:color="FFFFFF"/>
              <w:left w:val="single" w:sz="4" w:space="0" w:color="FFFFFF"/>
              <w:bottom w:val="single" w:sz="4" w:space="0" w:color="FFFFFF"/>
              <w:right w:val="single" w:sz="4" w:space="0" w:color="FFFFFF"/>
            </w:tcBorders>
            <w:vAlign w:val="center"/>
          </w:tcPr>
          <w:p w14:paraId="4F4A7738" w14:textId="77777777" w:rsidR="00882514" w:rsidRPr="000241EE" w:rsidRDefault="00882514" w:rsidP="00882514">
            <w:pPr>
              <w:spacing w:line="240" w:lineRule="auto"/>
              <w:ind w:left="-27" w:firstLine="276"/>
              <w:rPr>
                <w:sz w:val="20"/>
                <w:szCs w:val="20"/>
              </w:rPr>
            </w:pPr>
            <w:r w:rsidRPr="000241EE">
              <w:rPr>
                <w:sz w:val="20"/>
                <w:szCs w:val="20"/>
              </w:rPr>
              <w:t>Knowledge X Gerald</w:t>
            </w:r>
          </w:p>
        </w:tc>
        <w:tc>
          <w:tcPr>
            <w:tcW w:w="1517" w:type="dxa"/>
            <w:tcBorders>
              <w:top w:val="single" w:sz="4" w:space="0" w:color="FFFFFF"/>
              <w:left w:val="single" w:sz="4" w:space="0" w:color="FFFFFF"/>
              <w:bottom w:val="single" w:sz="4" w:space="0" w:color="FFFFFF"/>
              <w:right w:val="single" w:sz="4" w:space="0" w:color="FFFFFF"/>
            </w:tcBorders>
            <w:vAlign w:val="center"/>
          </w:tcPr>
          <w:p w14:paraId="76CC920E"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210C26D0"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6A39B9A0"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43931494"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7C89495A" w14:textId="77777777" w:rsidR="00882514" w:rsidRPr="000241EE" w:rsidRDefault="00882514" w:rsidP="00882514">
            <w:pPr>
              <w:spacing w:line="240" w:lineRule="auto"/>
              <w:rPr>
                <w:sz w:val="20"/>
                <w:szCs w:val="20"/>
              </w:rPr>
            </w:pPr>
          </w:p>
        </w:tc>
        <w:tc>
          <w:tcPr>
            <w:tcW w:w="1530" w:type="dxa"/>
            <w:tcBorders>
              <w:top w:val="single" w:sz="4" w:space="0" w:color="FFFFFF"/>
              <w:left w:val="single" w:sz="4" w:space="0" w:color="FFFFFF"/>
              <w:bottom w:val="single" w:sz="4" w:space="0" w:color="FFFFFF"/>
              <w:right w:val="single" w:sz="4" w:space="0" w:color="FFFFFF"/>
            </w:tcBorders>
            <w:vAlign w:val="center"/>
          </w:tcPr>
          <w:p w14:paraId="39D00EDC" w14:textId="77777777" w:rsidR="00882514" w:rsidRPr="000241EE" w:rsidRDefault="00882514" w:rsidP="00882514">
            <w:pPr>
              <w:spacing w:line="240" w:lineRule="auto"/>
              <w:rPr>
                <w:sz w:val="20"/>
                <w:szCs w:val="20"/>
              </w:rPr>
            </w:pPr>
          </w:p>
        </w:tc>
        <w:tc>
          <w:tcPr>
            <w:tcW w:w="1710" w:type="dxa"/>
            <w:tcBorders>
              <w:top w:val="single" w:sz="4" w:space="0" w:color="FFFFFF"/>
              <w:left w:val="single" w:sz="4" w:space="0" w:color="FFFFFF"/>
              <w:bottom w:val="single" w:sz="4" w:space="0" w:color="FFFFFF"/>
              <w:right w:val="single" w:sz="4" w:space="0" w:color="FFFFFF"/>
            </w:tcBorders>
            <w:vAlign w:val="center"/>
          </w:tcPr>
          <w:p w14:paraId="7DD6EFDA" w14:textId="77777777" w:rsidR="00882514" w:rsidRPr="000241EE" w:rsidRDefault="00882514" w:rsidP="00882514">
            <w:pPr>
              <w:tabs>
                <w:tab w:val="decimal" w:pos="165"/>
              </w:tabs>
              <w:spacing w:line="240" w:lineRule="auto"/>
              <w:rPr>
                <w:sz w:val="20"/>
                <w:szCs w:val="20"/>
              </w:rPr>
            </w:pPr>
            <w:r w:rsidRPr="000241EE">
              <w:rPr>
                <w:sz w:val="20"/>
                <w:szCs w:val="20"/>
              </w:rPr>
              <w:t>-0.24 (0.26)</w:t>
            </w:r>
          </w:p>
        </w:tc>
      </w:tr>
      <w:tr w:rsidR="00882514" w14:paraId="32F1CB14" w14:textId="77777777" w:rsidTr="00EA09C7">
        <w:trPr>
          <w:trHeight w:val="220"/>
        </w:trPr>
        <w:tc>
          <w:tcPr>
            <w:tcW w:w="2310" w:type="dxa"/>
            <w:tcBorders>
              <w:top w:val="single" w:sz="4" w:space="0" w:color="FFFFFF"/>
              <w:left w:val="single" w:sz="4" w:space="0" w:color="FFFFFF"/>
              <w:bottom w:val="single" w:sz="4" w:space="0" w:color="FFFFFF"/>
              <w:right w:val="single" w:sz="4" w:space="0" w:color="FFFFFF"/>
            </w:tcBorders>
            <w:vAlign w:val="center"/>
          </w:tcPr>
          <w:p w14:paraId="0BDD2853" w14:textId="77777777" w:rsidR="00882514" w:rsidRPr="000241EE" w:rsidRDefault="00882514" w:rsidP="00882514">
            <w:pPr>
              <w:spacing w:line="240" w:lineRule="auto"/>
              <w:rPr>
                <w:sz w:val="20"/>
                <w:szCs w:val="20"/>
              </w:rPr>
            </w:pPr>
            <w:r w:rsidRPr="000241EE">
              <w:rPr>
                <w:sz w:val="20"/>
                <w:szCs w:val="20"/>
              </w:rPr>
              <w:t>Random Effects</w:t>
            </w:r>
          </w:p>
        </w:tc>
        <w:tc>
          <w:tcPr>
            <w:tcW w:w="1517" w:type="dxa"/>
            <w:tcBorders>
              <w:top w:val="single" w:sz="4" w:space="0" w:color="FFFFFF"/>
              <w:left w:val="single" w:sz="4" w:space="0" w:color="FFFFFF"/>
              <w:bottom w:val="single" w:sz="4" w:space="0" w:color="FFFFFF"/>
              <w:right w:val="single" w:sz="4" w:space="0" w:color="FFFFFF"/>
            </w:tcBorders>
            <w:vAlign w:val="center"/>
          </w:tcPr>
          <w:p w14:paraId="3E60B00D"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1E4EA988"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4ACA92D5"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586FD9B5"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55FFD6E9" w14:textId="77777777" w:rsidR="00882514" w:rsidRPr="000241EE" w:rsidRDefault="00882514" w:rsidP="00882514">
            <w:pPr>
              <w:spacing w:line="240" w:lineRule="auto"/>
              <w:rPr>
                <w:sz w:val="20"/>
                <w:szCs w:val="20"/>
              </w:rPr>
            </w:pPr>
          </w:p>
        </w:tc>
        <w:tc>
          <w:tcPr>
            <w:tcW w:w="1530" w:type="dxa"/>
            <w:tcBorders>
              <w:top w:val="single" w:sz="4" w:space="0" w:color="FFFFFF"/>
              <w:left w:val="single" w:sz="4" w:space="0" w:color="FFFFFF"/>
              <w:bottom w:val="single" w:sz="4" w:space="0" w:color="FFFFFF"/>
              <w:right w:val="single" w:sz="4" w:space="0" w:color="FFFFFF"/>
            </w:tcBorders>
            <w:vAlign w:val="center"/>
          </w:tcPr>
          <w:p w14:paraId="52E48089" w14:textId="77777777" w:rsidR="00882514" w:rsidRPr="000241EE" w:rsidRDefault="00882514" w:rsidP="00882514">
            <w:pPr>
              <w:spacing w:line="240" w:lineRule="auto"/>
              <w:rPr>
                <w:sz w:val="20"/>
                <w:szCs w:val="20"/>
              </w:rPr>
            </w:pPr>
          </w:p>
        </w:tc>
        <w:tc>
          <w:tcPr>
            <w:tcW w:w="1710" w:type="dxa"/>
            <w:tcBorders>
              <w:top w:val="single" w:sz="4" w:space="0" w:color="FFFFFF"/>
              <w:left w:val="single" w:sz="4" w:space="0" w:color="FFFFFF"/>
              <w:bottom w:val="single" w:sz="4" w:space="0" w:color="FFFFFF"/>
              <w:right w:val="single" w:sz="4" w:space="0" w:color="FFFFFF"/>
            </w:tcBorders>
            <w:vAlign w:val="center"/>
          </w:tcPr>
          <w:p w14:paraId="2323E415" w14:textId="77777777" w:rsidR="00882514" w:rsidRPr="000241EE" w:rsidRDefault="00882514" w:rsidP="00882514">
            <w:pPr>
              <w:spacing w:line="240" w:lineRule="auto"/>
              <w:rPr>
                <w:sz w:val="20"/>
                <w:szCs w:val="20"/>
              </w:rPr>
            </w:pPr>
          </w:p>
        </w:tc>
      </w:tr>
      <w:tr w:rsidR="00882514" w14:paraId="20DE5DB6" w14:textId="77777777" w:rsidTr="00EA09C7">
        <w:trPr>
          <w:trHeight w:val="230"/>
        </w:trPr>
        <w:tc>
          <w:tcPr>
            <w:tcW w:w="2310" w:type="dxa"/>
            <w:tcBorders>
              <w:top w:val="single" w:sz="4" w:space="0" w:color="FFFFFF"/>
              <w:left w:val="single" w:sz="4" w:space="0" w:color="FFFFFF"/>
              <w:bottom w:val="single" w:sz="4" w:space="0" w:color="FFFFFF"/>
              <w:right w:val="single" w:sz="4" w:space="0" w:color="FFFFFF"/>
            </w:tcBorders>
            <w:vAlign w:val="center"/>
          </w:tcPr>
          <w:p w14:paraId="010882C1" w14:textId="77777777" w:rsidR="00882514" w:rsidRPr="000241EE" w:rsidRDefault="00882514" w:rsidP="00882514">
            <w:pPr>
              <w:spacing w:line="240" w:lineRule="auto"/>
              <w:ind w:firstLine="249"/>
              <w:rPr>
                <w:sz w:val="20"/>
                <w:szCs w:val="20"/>
              </w:rPr>
            </w:pPr>
            <w:r w:rsidRPr="000241EE">
              <w:rPr>
                <w:sz w:val="20"/>
                <w:szCs w:val="20"/>
              </w:rPr>
              <w:t>Site</w:t>
            </w:r>
          </w:p>
        </w:tc>
        <w:tc>
          <w:tcPr>
            <w:tcW w:w="1517" w:type="dxa"/>
            <w:tcBorders>
              <w:top w:val="single" w:sz="4" w:space="0" w:color="FFFFFF"/>
              <w:left w:val="single" w:sz="4" w:space="0" w:color="FFFFFF"/>
              <w:bottom w:val="single" w:sz="4" w:space="0" w:color="FFFFFF"/>
              <w:right w:val="single" w:sz="4" w:space="0" w:color="FFFFFF"/>
            </w:tcBorders>
            <w:vAlign w:val="center"/>
          </w:tcPr>
          <w:p w14:paraId="3E8CDA57"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3CA1063C" w14:textId="77777777" w:rsidR="00882514" w:rsidRPr="000241EE" w:rsidRDefault="00882514" w:rsidP="00882514">
            <w:pPr>
              <w:spacing w:line="240" w:lineRule="auto"/>
              <w:jc w:val="center"/>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08790DCF" w14:textId="77777777" w:rsidR="00882514" w:rsidRPr="000241EE" w:rsidRDefault="00882514" w:rsidP="00882514">
            <w:pPr>
              <w:spacing w:line="240" w:lineRule="auto"/>
              <w:jc w:val="center"/>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271361CB" w14:textId="77777777" w:rsidR="00882514" w:rsidRPr="000241EE" w:rsidRDefault="00882514" w:rsidP="00882514">
            <w:pPr>
              <w:spacing w:line="240" w:lineRule="auto"/>
              <w:ind w:right="116"/>
              <w:jc w:val="center"/>
              <w:rPr>
                <w:sz w:val="20"/>
                <w:szCs w:val="20"/>
              </w:rPr>
            </w:pPr>
            <w:r w:rsidRPr="000241EE">
              <w:rPr>
                <w:sz w:val="20"/>
                <w:szCs w:val="20"/>
              </w:rPr>
              <w:t>&lt; 0.001</w:t>
            </w:r>
          </w:p>
        </w:tc>
        <w:tc>
          <w:tcPr>
            <w:tcW w:w="1517" w:type="dxa"/>
            <w:tcBorders>
              <w:top w:val="single" w:sz="4" w:space="0" w:color="FFFFFF"/>
              <w:left w:val="single" w:sz="4" w:space="0" w:color="FFFFFF"/>
              <w:bottom w:val="single" w:sz="4" w:space="0" w:color="FFFFFF"/>
              <w:right w:val="single" w:sz="4" w:space="0" w:color="FFFFFF"/>
            </w:tcBorders>
            <w:vAlign w:val="center"/>
          </w:tcPr>
          <w:p w14:paraId="2D9B66F0" w14:textId="77777777" w:rsidR="00882514" w:rsidRPr="000241EE" w:rsidRDefault="00882514" w:rsidP="00882514">
            <w:pPr>
              <w:spacing w:line="240" w:lineRule="auto"/>
              <w:ind w:right="126"/>
              <w:jc w:val="center"/>
              <w:rPr>
                <w:sz w:val="20"/>
                <w:szCs w:val="20"/>
              </w:rPr>
            </w:pPr>
            <w:r w:rsidRPr="000241EE">
              <w:rPr>
                <w:sz w:val="20"/>
                <w:szCs w:val="20"/>
              </w:rPr>
              <w:t>&lt; 0.001</w:t>
            </w:r>
          </w:p>
        </w:tc>
        <w:tc>
          <w:tcPr>
            <w:tcW w:w="1530" w:type="dxa"/>
            <w:tcBorders>
              <w:top w:val="single" w:sz="4" w:space="0" w:color="FFFFFF"/>
              <w:left w:val="single" w:sz="4" w:space="0" w:color="FFFFFF"/>
              <w:bottom w:val="single" w:sz="4" w:space="0" w:color="FFFFFF"/>
              <w:right w:val="single" w:sz="4" w:space="0" w:color="FFFFFF"/>
            </w:tcBorders>
            <w:vAlign w:val="center"/>
          </w:tcPr>
          <w:p w14:paraId="3DC8D5E3" w14:textId="77777777" w:rsidR="00882514" w:rsidRPr="000241EE" w:rsidRDefault="00882514" w:rsidP="00882514">
            <w:pPr>
              <w:spacing w:line="240" w:lineRule="auto"/>
              <w:jc w:val="center"/>
              <w:rPr>
                <w:sz w:val="20"/>
                <w:szCs w:val="20"/>
              </w:rPr>
            </w:pPr>
            <w:r w:rsidRPr="000241EE">
              <w:rPr>
                <w:sz w:val="20"/>
                <w:szCs w:val="20"/>
              </w:rPr>
              <w:t>0.023</w:t>
            </w:r>
          </w:p>
        </w:tc>
        <w:tc>
          <w:tcPr>
            <w:tcW w:w="1710" w:type="dxa"/>
            <w:tcBorders>
              <w:top w:val="single" w:sz="4" w:space="0" w:color="FFFFFF"/>
              <w:left w:val="single" w:sz="4" w:space="0" w:color="FFFFFF"/>
              <w:bottom w:val="single" w:sz="4" w:space="0" w:color="FFFFFF"/>
              <w:right w:val="single" w:sz="4" w:space="0" w:color="FFFFFF"/>
            </w:tcBorders>
            <w:vAlign w:val="center"/>
          </w:tcPr>
          <w:p w14:paraId="5CC230FE" w14:textId="77777777" w:rsidR="00882514" w:rsidRPr="000241EE" w:rsidRDefault="00882514" w:rsidP="00882514">
            <w:pPr>
              <w:spacing w:line="240" w:lineRule="auto"/>
              <w:ind w:right="168"/>
              <w:jc w:val="center"/>
              <w:rPr>
                <w:sz w:val="20"/>
                <w:szCs w:val="20"/>
              </w:rPr>
            </w:pPr>
            <w:r w:rsidRPr="000241EE">
              <w:rPr>
                <w:sz w:val="20"/>
                <w:szCs w:val="20"/>
              </w:rPr>
              <w:t>&lt; 0.001</w:t>
            </w:r>
          </w:p>
        </w:tc>
      </w:tr>
      <w:tr w:rsidR="00882514" w14:paraId="6A07BB06" w14:textId="77777777" w:rsidTr="00EA09C7">
        <w:trPr>
          <w:trHeight w:val="230"/>
        </w:trPr>
        <w:tc>
          <w:tcPr>
            <w:tcW w:w="2310" w:type="dxa"/>
            <w:tcBorders>
              <w:top w:val="single" w:sz="4" w:space="0" w:color="FFFFFF"/>
              <w:left w:val="single" w:sz="4" w:space="0" w:color="FFFFFF"/>
              <w:bottom w:val="single" w:sz="4" w:space="0" w:color="FFFFFF"/>
              <w:right w:val="single" w:sz="4" w:space="0" w:color="FFFFFF"/>
            </w:tcBorders>
            <w:vAlign w:val="center"/>
          </w:tcPr>
          <w:p w14:paraId="0DBDD601" w14:textId="77777777" w:rsidR="00882514" w:rsidRPr="000241EE" w:rsidRDefault="00882514" w:rsidP="00882514">
            <w:pPr>
              <w:spacing w:line="240" w:lineRule="auto"/>
              <w:ind w:firstLine="249"/>
              <w:rPr>
                <w:sz w:val="20"/>
                <w:szCs w:val="20"/>
              </w:rPr>
            </w:pPr>
            <w:r w:rsidRPr="000241EE">
              <w:rPr>
                <w:sz w:val="20"/>
                <w:szCs w:val="20"/>
              </w:rPr>
              <w:t xml:space="preserve">Participant </w:t>
            </w:r>
          </w:p>
        </w:tc>
        <w:tc>
          <w:tcPr>
            <w:tcW w:w="1517" w:type="dxa"/>
            <w:tcBorders>
              <w:top w:val="single" w:sz="4" w:space="0" w:color="FFFFFF"/>
              <w:left w:val="single" w:sz="4" w:space="0" w:color="FFFFFF"/>
              <w:bottom w:val="single" w:sz="4" w:space="0" w:color="FFFFFF"/>
              <w:right w:val="single" w:sz="4" w:space="0" w:color="FFFFFF"/>
            </w:tcBorders>
            <w:vAlign w:val="center"/>
          </w:tcPr>
          <w:p w14:paraId="46C79165"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7121AFE6" w14:textId="77777777" w:rsidR="00882514" w:rsidRPr="000241EE" w:rsidRDefault="00882514" w:rsidP="00882514">
            <w:pPr>
              <w:spacing w:line="240" w:lineRule="auto"/>
              <w:jc w:val="center"/>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3465ED16" w14:textId="77777777" w:rsidR="00882514" w:rsidRPr="000241EE" w:rsidRDefault="00882514" w:rsidP="00882514">
            <w:pPr>
              <w:spacing w:line="240" w:lineRule="auto"/>
              <w:ind w:right="185"/>
              <w:jc w:val="center"/>
              <w:rPr>
                <w:sz w:val="20"/>
                <w:szCs w:val="20"/>
              </w:rPr>
            </w:pPr>
            <w:r w:rsidRPr="000241EE">
              <w:rPr>
                <w:sz w:val="20"/>
                <w:szCs w:val="20"/>
              </w:rPr>
              <w:t>&lt; 0.001</w:t>
            </w:r>
          </w:p>
        </w:tc>
        <w:tc>
          <w:tcPr>
            <w:tcW w:w="1517" w:type="dxa"/>
            <w:tcBorders>
              <w:top w:val="single" w:sz="4" w:space="0" w:color="FFFFFF"/>
              <w:left w:val="single" w:sz="4" w:space="0" w:color="FFFFFF"/>
              <w:bottom w:val="single" w:sz="4" w:space="0" w:color="FFFFFF"/>
              <w:right w:val="single" w:sz="4" w:space="0" w:color="FFFFFF"/>
            </w:tcBorders>
            <w:vAlign w:val="center"/>
          </w:tcPr>
          <w:p w14:paraId="45453970" w14:textId="77777777" w:rsidR="00882514" w:rsidRPr="000241EE" w:rsidRDefault="00882514" w:rsidP="00882514">
            <w:pPr>
              <w:spacing w:line="240" w:lineRule="auto"/>
              <w:ind w:right="116"/>
              <w:jc w:val="center"/>
              <w:rPr>
                <w:sz w:val="20"/>
                <w:szCs w:val="20"/>
              </w:rPr>
            </w:pPr>
            <w:r w:rsidRPr="000241EE">
              <w:rPr>
                <w:sz w:val="20"/>
                <w:szCs w:val="20"/>
              </w:rPr>
              <w:t>&lt; 0.001</w:t>
            </w:r>
          </w:p>
        </w:tc>
        <w:tc>
          <w:tcPr>
            <w:tcW w:w="1517" w:type="dxa"/>
            <w:tcBorders>
              <w:top w:val="single" w:sz="4" w:space="0" w:color="FFFFFF"/>
              <w:left w:val="single" w:sz="4" w:space="0" w:color="FFFFFF"/>
              <w:bottom w:val="single" w:sz="4" w:space="0" w:color="FFFFFF"/>
              <w:right w:val="single" w:sz="4" w:space="0" w:color="FFFFFF"/>
            </w:tcBorders>
            <w:vAlign w:val="center"/>
          </w:tcPr>
          <w:p w14:paraId="0BB94C5E" w14:textId="77777777" w:rsidR="00882514" w:rsidRPr="000241EE" w:rsidRDefault="00882514" w:rsidP="00882514">
            <w:pPr>
              <w:spacing w:line="240" w:lineRule="auto"/>
              <w:ind w:right="126"/>
              <w:jc w:val="center"/>
              <w:rPr>
                <w:sz w:val="20"/>
                <w:szCs w:val="20"/>
              </w:rPr>
            </w:pPr>
            <w:r w:rsidRPr="000241EE">
              <w:rPr>
                <w:sz w:val="20"/>
                <w:szCs w:val="20"/>
              </w:rPr>
              <w:t>&lt; 0.001</w:t>
            </w:r>
          </w:p>
        </w:tc>
        <w:tc>
          <w:tcPr>
            <w:tcW w:w="1530" w:type="dxa"/>
            <w:tcBorders>
              <w:top w:val="single" w:sz="4" w:space="0" w:color="FFFFFF"/>
              <w:left w:val="single" w:sz="4" w:space="0" w:color="FFFFFF"/>
              <w:bottom w:val="single" w:sz="4" w:space="0" w:color="FFFFFF"/>
              <w:right w:val="single" w:sz="4" w:space="0" w:color="FFFFFF"/>
            </w:tcBorders>
            <w:vAlign w:val="center"/>
          </w:tcPr>
          <w:p w14:paraId="5EB35AFC" w14:textId="77777777" w:rsidR="00882514" w:rsidRPr="000241EE" w:rsidRDefault="00882514" w:rsidP="00882514">
            <w:pPr>
              <w:spacing w:line="240" w:lineRule="auto"/>
              <w:jc w:val="center"/>
              <w:rPr>
                <w:sz w:val="20"/>
                <w:szCs w:val="20"/>
              </w:rPr>
            </w:pPr>
            <w:r w:rsidRPr="000241EE">
              <w:rPr>
                <w:sz w:val="20"/>
                <w:szCs w:val="20"/>
              </w:rPr>
              <w:t>0.091</w:t>
            </w:r>
          </w:p>
        </w:tc>
        <w:tc>
          <w:tcPr>
            <w:tcW w:w="1710" w:type="dxa"/>
            <w:tcBorders>
              <w:top w:val="single" w:sz="4" w:space="0" w:color="FFFFFF"/>
              <w:left w:val="single" w:sz="4" w:space="0" w:color="FFFFFF"/>
              <w:bottom w:val="single" w:sz="4" w:space="0" w:color="FFFFFF"/>
              <w:right w:val="single" w:sz="4" w:space="0" w:color="FFFFFF"/>
            </w:tcBorders>
            <w:vAlign w:val="center"/>
          </w:tcPr>
          <w:p w14:paraId="21B64F2A" w14:textId="77777777" w:rsidR="00882514" w:rsidRPr="000241EE" w:rsidRDefault="00882514" w:rsidP="00882514">
            <w:pPr>
              <w:spacing w:line="240" w:lineRule="auto"/>
              <w:jc w:val="center"/>
              <w:rPr>
                <w:sz w:val="20"/>
                <w:szCs w:val="20"/>
              </w:rPr>
            </w:pPr>
            <w:r w:rsidRPr="000241EE">
              <w:rPr>
                <w:sz w:val="20"/>
                <w:szCs w:val="20"/>
              </w:rPr>
              <w:t>0.046</w:t>
            </w:r>
          </w:p>
        </w:tc>
      </w:tr>
      <w:tr w:rsidR="00882514" w14:paraId="2FF2C86D" w14:textId="77777777" w:rsidTr="00EA09C7">
        <w:trPr>
          <w:trHeight w:val="230"/>
        </w:trPr>
        <w:tc>
          <w:tcPr>
            <w:tcW w:w="2310" w:type="dxa"/>
            <w:tcBorders>
              <w:top w:val="single" w:sz="4" w:space="0" w:color="FFFFFF"/>
              <w:left w:val="single" w:sz="4" w:space="0" w:color="FFFFFF"/>
              <w:bottom w:val="single" w:sz="4" w:space="0" w:color="FFFFFF"/>
              <w:right w:val="single" w:sz="4" w:space="0" w:color="FFFFFF"/>
            </w:tcBorders>
            <w:vAlign w:val="center"/>
          </w:tcPr>
          <w:p w14:paraId="459EBAEF" w14:textId="77777777" w:rsidR="00882514" w:rsidRPr="000241EE" w:rsidRDefault="00882514" w:rsidP="00882514">
            <w:pPr>
              <w:spacing w:line="240" w:lineRule="auto"/>
              <w:ind w:firstLine="249"/>
              <w:rPr>
                <w:sz w:val="20"/>
                <w:szCs w:val="20"/>
              </w:rPr>
            </w:pPr>
            <w:r w:rsidRPr="000241EE">
              <w:rPr>
                <w:sz w:val="20"/>
                <w:szCs w:val="20"/>
              </w:rPr>
              <w:t>Vignette</w:t>
            </w:r>
          </w:p>
        </w:tc>
        <w:tc>
          <w:tcPr>
            <w:tcW w:w="1517" w:type="dxa"/>
            <w:tcBorders>
              <w:top w:val="single" w:sz="4" w:space="0" w:color="FFFFFF"/>
              <w:left w:val="single" w:sz="4" w:space="0" w:color="FFFFFF"/>
              <w:bottom w:val="single" w:sz="4" w:space="0" w:color="FFFFFF"/>
              <w:right w:val="single" w:sz="4" w:space="0" w:color="FFFFFF"/>
            </w:tcBorders>
            <w:vAlign w:val="center"/>
          </w:tcPr>
          <w:p w14:paraId="75762FEC" w14:textId="77777777" w:rsidR="00882514" w:rsidRPr="000241EE" w:rsidRDefault="00882514" w:rsidP="00882514">
            <w:pPr>
              <w:spacing w:line="240" w:lineRule="auto"/>
              <w:rPr>
                <w:sz w:val="20"/>
                <w:szCs w:val="20"/>
              </w:rPr>
            </w:pPr>
          </w:p>
        </w:tc>
        <w:tc>
          <w:tcPr>
            <w:tcW w:w="1517" w:type="dxa"/>
            <w:tcBorders>
              <w:top w:val="single" w:sz="4" w:space="0" w:color="FFFFFF"/>
              <w:left w:val="single" w:sz="4" w:space="0" w:color="FFFFFF"/>
              <w:bottom w:val="single" w:sz="4" w:space="0" w:color="FFFFFF"/>
              <w:right w:val="single" w:sz="4" w:space="0" w:color="FFFFFF"/>
            </w:tcBorders>
            <w:vAlign w:val="center"/>
          </w:tcPr>
          <w:p w14:paraId="52196D6A" w14:textId="77777777" w:rsidR="00882514" w:rsidRPr="000241EE" w:rsidRDefault="00882514" w:rsidP="00882514">
            <w:pPr>
              <w:spacing w:line="240" w:lineRule="auto"/>
              <w:jc w:val="center"/>
              <w:rPr>
                <w:sz w:val="20"/>
                <w:szCs w:val="20"/>
              </w:rPr>
            </w:pPr>
            <w:r w:rsidRPr="000241EE">
              <w:rPr>
                <w:sz w:val="20"/>
                <w:szCs w:val="20"/>
              </w:rPr>
              <w:t>0.274</w:t>
            </w:r>
          </w:p>
        </w:tc>
        <w:tc>
          <w:tcPr>
            <w:tcW w:w="1517" w:type="dxa"/>
            <w:tcBorders>
              <w:top w:val="single" w:sz="4" w:space="0" w:color="FFFFFF"/>
              <w:left w:val="single" w:sz="4" w:space="0" w:color="FFFFFF"/>
              <w:bottom w:val="single" w:sz="4" w:space="0" w:color="FFFFFF"/>
              <w:right w:val="single" w:sz="4" w:space="0" w:color="FFFFFF"/>
            </w:tcBorders>
            <w:vAlign w:val="center"/>
          </w:tcPr>
          <w:p w14:paraId="34875EF0" w14:textId="77777777" w:rsidR="00882514" w:rsidRPr="000241EE" w:rsidRDefault="00882514" w:rsidP="00882514">
            <w:pPr>
              <w:spacing w:line="240" w:lineRule="auto"/>
              <w:jc w:val="center"/>
              <w:rPr>
                <w:sz w:val="20"/>
                <w:szCs w:val="20"/>
              </w:rPr>
            </w:pPr>
            <w:r w:rsidRPr="000241EE">
              <w:rPr>
                <w:sz w:val="20"/>
                <w:szCs w:val="20"/>
              </w:rPr>
              <w:t>0.274</w:t>
            </w:r>
          </w:p>
        </w:tc>
        <w:tc>
          <w:tcPr>
            <w:tcW w:w="1517" w:type="dxa"/>
            <w:tcBorders>
              <w:top w:val="single" w:sz="4" w:space="0" w:color="FFFFFF"/>
              <w:left w:val="single" w:sz="4" w:space="0" w:color="FFFFFF"/>
              <w:bottom w:val="single" w:sz="4" w:space="0" w:color="FFFFFF"/>
              <w:right w:val="single" w:sz="4" w:space="0" w:color="FFFFFF"/>
            </w:tcBorders>
            <w:vAlign w:val="center"/>
          </w:tcPr>
          <w:p w14:paraId="4851F873" w14:textId="77777777" w:rsidR="00882514" w:rsidRPr="000241EE" w:rsidRDefault="00882514" w:rsidP="00882514">
            <w:pPr>
              <w:spacing w:line="240" w:lineRule="auto"/>
              <w:jc w:val="center"/>
              <w:rPr>
                <w:sz w:val="20"/>
                <w:szCs w:val="20"/>
              </w:rPr>
            </w:pPr>
            <w:r w:rsidRPr="000241EE">
              <w:rPr>
                <w:sz w:val="20"/>
                <w:szCs w:val="20"/>
              </w:rPr>
              <w:t>0.274</w:t>
            </w:r>
          </w:p>
        </w:tc>
        <w:tc>
          <w:tcPr>
            <w:tcW w:w="1517" w:type="dxa"/>
            <w:tcBorders>
              <w:top w:val="single" w:sz="4" w:space="0" w:color="FFFFFF"/>
              <w:left w:val="single" w:sz="4" w:space="0" w:color="FFFFFF"/>
              <w:bottom w:val="single" w:sz="4" w:space="0" w:color="FFFFFF"/>
              <w:right w:val="single" w:sz="4" w:space="0" w:color="FFFFFF"/>
            </w:tcBorders>
            <w:vAlign w:val="center"/>
          </w:tcPr>
          <w:p w14:paraId="0BB536C3" w14:textId="77777777" w:rsidR="00882514" w:rsidRPr="000241EE" w:rsidRDefault="00882514" w:rsidP="00882514">
            <w:pPr>
              <w:spacing w:line="240" w:lineRule="auto"/>
              <w:jc w:val="center"/>
              <w:rPr>
                <w:sz w:val="20"/>
                <w:szCs w:val="20"/>
              </w:rPr>
            </w:pPr>
            <w:r w:rsidRPr="000241EE">
              <w:rPr>
                <w:sz w:val="20"/>
                <w:szCs w:val="20"/>
              </w:rPr>
              <w:t>0.278</w:t>
            </w:r>
          </w:p>
        </w:tc>
        <w:tc>
          <w:tcPr>
            <w:tcW w:w="1530" w:type="dxa"/>
            <w:tcBorders>
              <w:top w:val="single" w:sz="4" w:space="0" w:color="FFFFFF"/>
              <w:left w:val="single" w:sz="4" w:space="0" w:color="FFFFFF"/>
              <w:bottom w:val="single" w:sz="4" w:space="0" w:color="FFFFFF"/>
              <w:right w:val="single" w:sz="4" w:space="0" w:color="FFFFFF"/>
            </w:tcBorders>
            <w:vAlign w:val="center"/>
          </w:tcPr>
          <w:p w14:paraId="4202884B" w14:textId="77777777" w:rsidR="00882514" w:rsidRPr="000241EE" w:rsidRDefault="00882514" w:rsidP="00882514">
            <w:pPr>
              <w:spacing w:line="240" w:lineRule="auto"/>
              <w:jc w:val="center"/>
              <w:rPr>
                <w:sz w:val="20"/>
                <w:szCs w:val="20"/>
              </w:rPr>
            </w:pPr>
            <w:r w:rsidRPr="000241EE">
              <w:rPr>
                <w:sz w:val="20"/>
                <w:szCs w:val="20"/>
              </w:rPr>
              <w:t>0.277</w:t>
            </w:r>
          </w:p>
        </w:tc>
        <w:tc>
          <w:tcPr>
            <w:tcW w:w="1710" w:type="dxa"/>
            <w:tcBorders>
              <w:top w:val="single" w:sz="4" w:space="0" w:color="FFFFFF"/>
              <w:left w:val="single" w:sz="4" w:space="0" w:color="FFFFFF"/>
              <w:bottom w:val="single" w:sz="4" w:space="0" w:color="FFFFFF"/>
              <w:right w:val="single" w:sz="4" w:space="0" w:color="FFFFFF"/>
            </w:tcBorders>
            <w:vAlign w:val="center"/>
          </w:tcPr>
          <w:p w14:paraId="76337A96" w14:textId="77777777" w:rsidR="00882514" w:rsidRPr="000241EE" w:rsidRDefault="00882514" w:rsidP="00882514">
            <w:pPr>
              <w:spacing w:line="240" w:lineRule="auto"/>
              <w:ind w:right="168"/>
              <w:jc w:val="center"/>
              <w:rPr>
                <w:sz w:val="20"/>
                <w:szCs w:val="20"/>
              </w:rPr>
            </w:pPr>
            <w:r w:rsidRPr="000241EE">
              <w:rPr>
                <w:sz w:val="20"/>
                <w:szCs w:val="20"/>
              </w:rPr>
              <w:t>&lt; 0.001</w:t>
            </w:r>
          </w:p>
        </w:tc>
      </w:tr>
      <w:tr w:rsidR="00882514" w14:paraId="69281BF5" w14:textId="77777777" w:rsidTr="00EA09C7">
        <w:trPr>
          <w:trHeight w:val="230"/>
        </w:trPr>
        <w:tc>
          <w:tcPr>
            <w:tcW w:w="2310" w:type="dxa"/>
            <w:tcBorders>
              <w:left w:val="single" w:sz="4" w:space="0" w:color="FFFFFF"/>
              <w:right w:val="single" w:sz="4" w:space="0" w:color="FFFFFF"/>
            </w:tcBorders>
            <w:vAlign w:val="center"/>
          </w:tcPr>
          <w:p w14:paraId="0FFFC1DC" w14:textId="77777777" w:rsidR="00882514" w:rsidRPr="000241EE" w:rsidRDefault="00882514" w:rsidP="00882514">
            <w:pPr>
              <w:spacing w:line="240" w:lineRule="auto"/>
              <w:rPr>
                <w:sz w:val="20"/>
                <w:szCs w:val="20"/>
              </w:rPr>
            </w:pPr>
            <w:r w:rsidRPr="000241EE">
              <w:rPr>
                <w:sz w:val="20"/>
                <w:szCs w:val="20"/>
              </w:rPr>
              <w:t>AIC</w:t>
            </w:r>
          </w:p>
        </w:tc>
        <w:tc>
          <w:tcPr>
            <w:tcW w:w="1517" w:type="dxa"/>
            <w:tcBorders>
              <w:left w:val="single" w:sz="4" w:space="0" w:color="FFFFFF"/>
              <w:right w:val="single" w:sz="4" w:space="0" w:color="FFFFFF"/>
            </w:tcBorders>
            <w:vAlign w:val="center"/>
          </w:tcPr>
          <w:p w14:paraId="61BCDA9A" w14:textId="77777777" w:rsidR="00882514" w:rsidRPr="000241EE" w:rsidRDefault="00882514" w:rsidP="00882514">
            <w:pPr>
              <w:spacing w:line="240" w:lineRule="auto"/>
              <w:jc w:val="center"/>
              <w:rPr>
                <w:sz w:val="20"/>
                <w:szCs w:val="20"/>
              </w:rPr>
            </w:pPr>
            <w:r w:rsidRPr="000241EE">
              <w:rPr>
                <w:sz w:val="20"/>
                <w:szCs w:val="20"/>
              </w:rPr>
              <w:t>7343.35</w:t>
            </w:r>
          </w:p>
        </w:tc>
        <w:tc>
          <w:tcPr>
            <w:tcW w:w="1517" w:type="dxa"/>
            <w:tcBorders>
              <w:left w:val="single" w:sz="4" w:space="0" w:color="FFFFFF"/>
              <w:right w:val="single" w:sz="4" w:space="0" w:color="FFFFFF"/>
            </w:tcBorders>
            <w:vAlign w:val="center"/>
          </w:tcPr>
          <w:p w14:paraId="251B434D" w14:textId="77777777" w:rsidR="00882514" w:rsidRPr="000241EE" w:rsidRDefault="00882514" w:rsidP="00882514">
            <w:pPr>
              <w:spacing w:line="240" w:lineRule="auto"/>
              <w:jc w:val="center"/>
              <w:rPr>
                <w:sz w:val="20"/>
                <w:szCs w:val="20"/>
              </w:rPr>
            </w:pPr>
            <w:r w:rsidRPr="000241EE">
              <w:rPr>
                <w:sz w:val="20"/>
                <w:szCs w:val="20"/>
              </w:rPr>
              <w:t>7286.55</w:t>
            </w:r>
          </w:p>
        </w:tc>
        <w:tc>
          <w:tcPr>
            <w:tcW w:w="1517" w:type="dxa"/>
            <w:tcBorders>
              <w:left w:val="single" w:sz="4" w:space="0" w:color="FFFFFF"/>
              <w:right w:val="single" w:sz="4" w:space="0" w:color="FFFFFF"/>
            </w:tcBorders>
            <w:vAlign w:val="center"/>
          </w:tcPr>
          <w:p w14:paraId="21F1B665" w14:textId="77777777" w:rsidR="00882514" w:rsidRPr="000241EE" w:rsidRDefault="00882514" w:rsidP="00882514">
            <w:pPr>
              <w:spacing w:line="240" w:lineRule="auto"/>
              <w:jc w:val="center"/>
              <w:rPr>
                <w:sz w:val="20"/>
                <w:szCs w:val="20"/>
              </w:rPr>
            </w:pPr>
            <w:r w:rsidRPr="000241EE">
              <w:rPr>
                <w:sz w:val="20"/>
                <w:szCs w:val="20"/>
              </w:rPr>
              <w:t>7288.56</w:t>
            </w:r>
          </w:p>
        </w:tc>
        <w:tc>
          <w:tcPr>
            <w:tcW w:w="1517" w:type="dxa"/>
            <w:tcBorders>
              <w:left w:val="single" w:sz="4" w:space="0" w:color="FFFFFF"/>
              <w:right w:val="single" w:sz="4" w:space="0" w:color="FFFFFF"/>
            </w:tcBorders>
            <w:vAlign w:val="center"/>
          </w:tcPr>
          <w:p w14:paraId="50EEF6DD" w14:textId="77777777" w:rsidR="00882514" w:rsidRPr="000241EE" w:rsidRDefault="00882514" w:rsidP="00882514">
            <w:pPr>
              <w:spacing w:line="240" w:lineRule="auto"/>
              <w:jc w:val="center"/>
              <w:rPr>
                <w:sz w:val="20"/>
                <w:szCs w:val="20"/>
              </w:rPr>
            </w:pPr>
            <w:r w:rsidRPr="000241EE">
              <w:rPr>
                <w:sz w:val="20"/>
                <w:szCs w:val="20"/>
              </w:rPr>
              <w:t>7290.55</w:t>
            </w:r>
          </w:p>
        </w:tc>
        <w:tc>
          <w:tcPr>
            <w:tcW w:w="1517" w:type="dxa"/>
            <w:tcBorders>
              <w:left w:val="single" w:sz="4" w:space="0" w:color="FFFFFF"/>
              <w:right w:val="single" w:sz="4" w:space="0" w:color="FFFFFF"/>
            </w:tcBorders>
            <w:vAlign w:val="center"/>
          </w:tcPr>
          <w:p w14:paraId="7A8162A2" w14:textId="77777777" w:rsidR="00882514" w:rsidRPr="000241EE" w:rsidRDefault="00882514" w:rsidP="00882514">
            <w:pPr>
              <w:spacing w:line="240" w:lineRule="auto"/>
              <w:jc w:val="center"/>
              <w:rPr>
                <w:sz w:val="20"/>
                <w:szCs w:val="20"/>
              </w:rPr>
            </w:pPr>
            <w:r w:rsidRPr="000241EE">
              <w:rPr>
                <w:sz w:val="20"/>
                <w:szCs w:val="20"/>
              </w:rPr>
              <w:t>7144.10</w:t>
            </w:r>
          </w:p>
        </w:tc>
        <w:tc>
          <w:tcPr>
            <w:tcW w:w="1530" w:type="dxa"/>
            <w:tcBorders>
              <w:left w:val="single" w:sz="4" w:space="0" w:color="FFFFFF"/>
              <w:right w:val="single" w:sz="4" w:space="0" w:color="FFFFFF"/>
            </w:tcBorders>
            <w:vAlign w:val="center"/>
          </w:tcPr>
          <w:p w14:paraId="50B1E5B3" w14:textId="77777777" w:rsidR="00882514" w:rsidRPr="000241EE" w:rsidRDefault="00882514" w:rsidP="00882514">
            <w:pPr>
              <w:spacing w:line="240" w:lineRule="auto"/>
              <w:jc w:val="center"/>
              <w:rPr>
                <w:sz w:val="20"/>
                <w:szCs w:val="20"/>
              </w:rPr>
            </w:pPr>
            <w:r w:rsidRPr="000241EE">
              <w:rPr>
                <w:sz w:val="20"/>
                <w:szCs w:val="20"/>
              </w:rPr>
              <w:t>7047.13</w:t>
            </w:r>
          </w:p>
        </w:tc>
        <w:tc>
          <w:tcPr>
            <w:tcW w:w="1710" w:type="dxa"/>
            <w:tcBorders>
              <w:left w:val="single" w:sz="4" w:space="0" w:color="FFFFFF"/>
              <w:right w:val="single" w:sz="4" w:space="0" w:color="FFFFFF"/>
            </w:tcBorders>
            <w:vAlign w:val="center"/>
          </w:tcPr>
          <w:p w14:paraId="53C5DFD0" w14:textId="77777777" w:rsidR="00882514" w:rsidRPr="000241EE" w:rsidRDefault="00882514" w:rsidP="00882514">
            <w:pPr>
              <w:spacing w:line="240" w:lineRule="auto"/>
              <w:jc w:val="center"/>
              <w:rPr>
                <w:sz w:val="20"/>
                <w:szCs w:val="20"/>
              </w:rPr>
            </w:pPr>
            <w:r w:rsidRPr="000241EE">
              <w:rPr>
                <w:sz w:val="20"/>
                <w:szCs w:val="20"/>
              </w:rPr>
              <w:t>7025.80</w:t>
            </w:r>
          </w:p>
        </w:tc>
      </w:tr>
    </w:tbl>
    <w:p w14:paraId="42C56756" w14:textId="77777777" w:rsidR="00882514" w:rsidRPr="000241EE" w:rsidRDefault="00882514" w:rsidP="00882514">
      <w:pPr>
        <w:spacing w:line="240" w:lineRule="auto"/>
        <w:rPr>
          <w:sz w:val="22"/>
          <w:szCs w:val="22"/>
        </w:rPr>
      </w:pPr>
      <w:r w:rsidRPr="000241EE">
        <w:rPr>
          <w:i/>
          <w:sz w:val="22"/>
          <w:szCs w:val="22"/>
        </w:rPr>
        <w:t xml:space="preserve">Note. </w:t>
      </w:r>
      <w:r w:rsidRPr="000241EE">
        <w:rPr>
          <w:sz w:val="22"/>
          <w:szCs w:val="22"/>
        </w:rPr>
        <w:t>Estimates and their standard errors, in parentheses where applicable, are provided for each variable in the model. Positive values suggest increasing likelihood of reasonableness judgments. For condition, the comparison group was Gett</w:t>
      </w:r>
      <w:r>
        <w:rPr>
          <w:sz w:val="22"/>
          <w:szCs w:val="22"/>
        </w:rPr>
        <w:t>i</w:t>
      </w:r>
      <w:r w:rsidRPr="000241EE">
        <w:rPr>
          <w:sz w:val="22"/>
          <w:szCs w:val="22"/>
        </w:rPr>
        <w:t xml:space="preserve">er, and for vignette, the comparison group was Darrel. Full model statistics can be found at </w:t>
      </w:r>
      <w:hyperlink r:id="rId21">
        <w:r w:rsidRPr="000241EE">
          <w:rPr>
            <w:color w:val="1155CC"/>
            <w:sz w:val="22"/>
            <w:szCs w:val="22"/>
            <w:u w:val="single"/>
          </w:rPr>
          <w:t>https://osf.io/8ut6e/</w:t>
        </w:r>
      </w:hyperlink>
      <w:r w:rsidRPr="000241EE">
        <w:rPr>
          <w:sz w:val="22"/>
          <w:szCs w:val="22"/>
        </w:rPr>
        <w:t xml:space="preserve"> in the analysis folder. </w:t>
      </w:r>
    </w:p>
    <w:p w14:paraId="2A1A2636" w14:textId="77777777" w:rsidR="00882514" w:rsidRPr="000241EE" w:rsidRDefault="00882514" w:rsidP="00882514">
      <w:pPr>
        <w:rPr>
          <w:i/>
          <w:sz w:val="22"/>
          <w:szCs w:val="22"/>
        </w:rPr>
      </w:pPr>
      <w:r w:rsidRPr="000241EE">
        <w:rPr>
          <w:sz w:val="22"/>
          <w:szCs w:val="22"/>
        </w:rPr>
        <w:t xml:space="preserve">* </w:t>
      </w:r>
      <w:r w:rsidRPr="000241EE">
        <w:rPr>
          <w:i/>
          <w:sz w:val="22"/>
          <w:szCs w:val="22"/>
        </w:rPr>
        <w:t>p</w:t>
      </w:r>
      <w:r w:rsidRPr="000241EE">
        <w:rPr>
          <w:sz w:val="22"/>
          <w:szCs w:val="22"/>
        </w:rPr>
        <w:t xml:space="preserve"> &lt; .05; ** </w:t>
      </w:r>
      <w:r w:rsidRPr="000241EE">
        <w:rPr>
          <w:i/>
          <w:sz w:val="22"/>
          <w:szCs w:val="22"/>
        </w:rPr>
        <w:t>p</w:t>
      </w:r>
      <w:r w:rsidRPr="000241EE">
        <w:rPr>
          <w:sz w:val="22"/>
          <w:szCs w:val="22"/>
        </w:rPr>
        <w:t xml:space="preserve"> &lt; .01; *** </w:t>
      </w:r>
      <w:r w:rsidRPr="000241EE">
        <w:rPr>
          <w:i/>
          <w:sz w:val="22"/>
          <w:szCs w:val="22"/>
        </w:rPr>
        <w:t>p</w:t>
      </w:r>
      <w:r w:rsidRPr="000241EE">
        <w:rPr>
          <w:sz w:val="22"/>
          <w:szCs w:val="22"/>
        </w:rPr>
        <w:t xml:space="preserve"> &lt; .001</w:t>
      </w:r>
    </w:p>
    <w:p w14:paraId="0A5E6710" w14:textId="77777777" w:rsidR="00E03554" w:rsidRDefault="00E03554">
      <w:pPr>
        <w:spacing w:after="160"/>
        <w:sectPr w:rsidR="00E03554">
          <w:pgSz w:w="15840" w:h="12240" w:orient="landscape"/>
          <w:pgMar w:top="1440" w:right="1440" w:bottom="1440" w:left="1440" w:header="720" w:footer="720" w:gutter="0"/>
          <w:cols w:space="720"/>
        </w:sectPr>
      </w:pPr>
    </w:p>
    <w:p w14:paraId="62A48E67" w14:textId="77777777" w:rsidR="00E03554" w:rsidRDefault="00DF0CFA">
      <w:pPr>
        <w:rPr>
          <w:b/>
        </w:rPr>
      </w:pPr>
      <w:r>
        <w:rPr>
          <w:b/>
        </w:rPr>
        <w:lastRenderedPageBreak/>
        <w:t>Table 8</w:t>
      </w:r>
    </w:p>
    <w:p w14:paraId="5DF7EB18" w14:textId="77777777" w:rsidR="00E03554" w:rsidRDefault="00DF0CFA">
      <w:pPr>
        <w:rPr>
          <w:i/>
        </w:rPr>
      </w:pPr>
      <w:r>
        <w:rPr>
          <w:i/>
        </w:rPr>
        <w:t>Reasonableness Judgments from Model 2 Overall and by Vignette</w:t>
      </w:r>
    </w:p>
    <w:tbl>
      <w:tblPr>
        <w:tblW w:w="5000" w:type="pct"/>
        <w:tblLook w:val="0600" w:firstRow="0" w:lastRow="0" w:firstColumn="0" w:lastColumn="0" w:noHBand="1" w:noVBand="1"/>
      </w:tblPr>
      <w:tblGrid>
        <w:gridCol w:w="1872"/>
        <w:gridCol w:w="1872"/>
        <w:gridCol w:w="1872"/>
        <w:gridCol w:w="1872"/>
        <w:gridCol w:w="1872"/>
      </w:tblGrid>
      <w:tr w:rsidR="00882514" w14:paraId="434DC552" w14:textId="77777777" w:rsidTr="00EA09C7">
        <w:tc>
          <w:tcPr>
            <w:tcW w:w="1000" w:type="pct"/>
            <w:tcBorders>
              <w:top w:val="single" w:sz="8" w:space="0" w:color="333333"/>
              <w:left w:val="nil"/>
              <w:bottom w:val="single" w:sz="8" w:space="0" w:color="333333"/>
              <w:right w:val="nil"/>
            </w:tcBorders>
            <w:tcMar>
              <w:top w:w="0" w:type="dxa"/>
              <w:left w:w="0" w:type="dxa"/>
              <w:bottom w:w="0" w:type="dxa"/>
              <w:right w:w="0" w:type="dxa"/>
            </w:tcMar>
            <w:vAlign w:val="bottom"/>
          </w:tcPr>
          <w:p w14:paraId="7AB7F1C2" w14:textId="77777777" w:rsidR="00882514" w:rsidRDefault="00882514" w:rsidP="00EA09C7">
            <w:pPr>
              <w:spacing w:line="240" w:lineRule="auto"/>
            </w:pPr>
          </w:p>
        </w:tc>
        <w:tc>
          <w:tcPr>
            <w:tcW w:w="1000" w:type="pct"/>
            <w:tcBorders>
              <w:top w:val="single" w:sz="8" w:space="0" w:color="333333"/>
              <w:left w:val="nil"/>
              <w:bottom w:val="single" w:sz="8" w:space="0" w:color="333333"/>
              <w:right w:val="nil"/>
            </w:tcBorders>
            <w:tcMar>
              <w:top w:w="0" w:type="dxa"/>
              <w:left w:w="0" w:type="dxa"/>
              <w:bottom w:w="0" w:type="dxa"/>
              <w:right w:w="0" w:type="dxa"/>
            </w:tcMar>
            <w:vAlign w:val="bottom"/>
          </w:tcPr>
          <w:p w14:paraId="7DC29FFA" w14:textId="77777777" w:rsidR="00882514" w:rsidRDefault="00882514" w:rsidP="00EA09C7">
            <w:pPr>
              <w:spacing w:line="240" w:lineRule="auto"/>
              <w:jc w:val="center"/>
            </w:pPr>
            <w:r>
              <w:t>Overall</w:t>
            </w:r>
          </w:p>
        </w:tc>
        <w:tc>
          <w:tcPr>
            <w:tcW w:w="1000" w:type="pct"/>
            <w:tcBorders>
              <w:top w:val="single" w:sz="8" w:space="0" w:color="333333"/>
              <w:left w:val="nil"/>
              <w:bottom w:val="single" w:sz="8" w:space="0" w:color="333333"/>
              <w:right w:val="nil"/>
            </w:tcBorders>
            <w:tcMar>
              <w:top w:w="0" w:type="dxa"/>
              <w:left w:w="0" w:type="dxa"/>
              <w:bottom w:w="0" w:type="dxa"/>
              <w:right w:w="0" w:type="dxa"/>
            </w:tcMar>
            <w:vAlign w:val="bottom"/>
          </w:tcPr>
          <w:p w14:paraId="2E802771" w14:textId="77777777" w:rsidR="00882514" w:rsidRDefault="00882514" w:rsidP="00EA09C7">
            <w:pPr>
              <w:spacing w:line="240" w:lineRule="auto"/>
              <w:jc w:val="center"/>
            </w:pPr>
            <w:r>
              <w:t>Darrel</w:t>
            </w:r>
          </w:p>
        </w:tc>
        <w:tc>
          <w:tcPr>
            <w:tcW w:w="1000" w:type="pct"/>
            <w:tcBorders>
              <w:top w:val="single" w:sz="8" w:space="0" w:color="333333"/>
              <w:left w:val="nil"/>
              <w:bottom w:val="single" w:sz="8" w:space="0" w:color="333333"/>
              <w:right w:val="nil"/>
            </w:tcBorders>
            <w:tcMar>
              <w:top w:w="0" w:type="dxa"/>
              <w:left w:w="0" w:type="dxa"/>
              <w:bottom w:w="0" w:type="dxa"/>
              <w:right w:w="0" w:type="dxa"/>
            </w:tcMar>
            <w:vAlign w:val="bottom"/>
          </w:tcPr>
          <w:p w14:paraId="0575EA01" w14:textId="77777777" w:rsidR="00882514" w:rsidRDefault="00882514" w:rsidP="00EA09C7">
            <w:pPr>
              <w:spacing w:line="240" w:lineRule="auto"/>
              <w:jc w:val="center"/>
            </w:pPr>
            <w:r>
              <w:t>Emma</w:t>
            </w:r>
          </w:p>
        </w:tc>
        <w:tc>
          <w:tcPr>
            <w:tcW w:w="1000" w:type="pct"/>
            <w:tcBorders>
              <w:top w:val="single" w:sz="8" w:space="0" w:color="333333"/>
              <w:left w:val="nil"/>
              <w:bottom w:val="single" w:sz="8" w:space="0" w:color="333333"/>
              <w:right w:val="nil"/>
            </w:tcBorders>
            <w:tcMar>
              <w:top w:w="0" w:type="dxa"/>
              <w:left w:w="0" w:type="dxa"/>
              <w:bottom w:w="0" w:type="dxa"/>
              <w:right w:w="0" w:type="dxa"/>
            </w:tcMar>
            <w:vAlign w:val="bottom"/>
          </w:tcPr>
          <w:p w14:paraId="179ED493" w14:textId="77777777" w:rsidR="00882514" w:rsidRDefault="00882514" w:rsidP="00EA09C7">
            <w:pPr>
              <w:spacing w:line="240" w:lineRule="auto"/>
              <w:jc w:val="center"/>
            </w:pPr>
            <w:r>
              <w:t>Gerald</w:t>
            </w:r>
          </w:p>
        </w:tc>
      </w:tr>
      <w:tr w:rsidR="00882514" w14:paraId="15EBDD70" w14:textId="77777777" w:rsidTr="00EA09C7">
        <w:tc>
          <w:tcPr>
            <w:tcW w:w="1000" w:type="pct"/>
            <w:tcBorders>
              <w:top w:val="single" w:sz="8" w:space="0" w:color="333333"/>
              <w:left w:val="nil"/>
              <w:bottom w:val="single" w:sz="6" w:space="0" w:color="FFFFFF"/>
              <w:right w:val="nil"/>
            </w:tcBorders>
            <w:tcMar>
              <w:top w:w="0" w:type="dxa"/>
              <w:left w:w="0" w:type="dxa"/>
              <w:bottom w:w="0" w:type="dxa"/>
              <w:right w:w="0" w:type="dxa"/>
            </w:tcMar>
          </w:tcPr>
          <w:p w14:paraId="1997C44A" w14:textId="77777777" w:rsidR="00882514" w:rsidRDefault="00882514" w:rsidP="00EA09C7">
            <w:pPr>
              <w:spacing w:line="240" w:lineRule="auto"/>
            </w:pPr>
            <w:r>
              <w:t>Unreasonable</w:t>
            </w:r>
          </w:p>
        </w:tc>
        <w:tc>
          <w:tcPr>
            <w:tcW w:w="1000" w:type="pct"/>
            <w:tcBorders>
              <w:top w:val="single" w:sz="8" w:space="0" w:color="333333"/>
              <w:left w:val="nil"/>
              <w:bottom w:val="single" w:sz="6" w:space="0" w:color="FFFFFF"/>
              <w:right w:val="nil"/>
            </w:tcBorders>
            <w:tcMar>
              <w:top w:w="0" w:type="dxa"/>
              <w:left w:w="0" w:type="dxa"/>
              <w:bottom w:w="0" w:type="dxa"/>
              <w:right w:w="0" w:type="dxa"/>
            </w:tcMar>
          </w:tcPr>
          <w:p w14:paraId="6E521B21" w14:textId="77777777" w:rsidR="00882514" w:rsidRDefault="00882514" w:rsidP="00EA09C7">
            <w:pPr>
              <w:spacing w:line="240" w:lineRule="auto"/>
              <w:jc w:val="center"/>
            </w:pPr>
            <w:r>
              <w:t>1021 (7.19%)</w:t>
            </w:r>
          </w:p>
        </w:tc>
        <w:tc>
          <w:tcPr>
            <w:tcW w:w="1000" w:type="pct"/>
            <w:tcBorders>
              <w:top w:val="single" w:sz="8" w:space="0" w:color="333333"/>
              <w:left w:val="nil"/>
              <w:bottom w:val="single" w:sz="6" w:space="0" w:color="FFFFFF"/>
              <w:right w:val="nil"/>
            </w:tcBorders>
            <w:tcMar>
              <w:top w:w="0" w:type="dxa"/>
              <w:left w:w="0" w:type="dxa"/>
              <w:bottom w:w="0" w:type="dxa"/>
              <w:right w:w="0" w:type="dxa"/>
            </w:tcMar>
          </w:tcPr>
          <w:p w14:paraId="5EE7AF6E" w14:textId="77777777" w:rsidR="00882514" w:rsidRDefault="00882514" w:rsidP="00EA09C7">
            <w:pPr>
              <w:spacing w:line="240" w:lineRule="auto"/>
              <w:jc w:val="center"/>
            </w:pPr>
            <w:r>
              <w:t>237 (5.01%)</w:t>
            </w:r>
          </w:p>
        </w:tc>
        <w:tc>
          <w:tcPr>
            <w:tcW w:w="1000" w:type="pct"/>
            <w:tcBorders>
              <w:top w:val="single" w:sz="8" w:space="0" w:color="333333"/>
              <w:left w:val="nil"/>
              <w:bottom w:val="single" w:sz="6" w:space="0" w:color="FFFFFF"/>
              <w:right w:val="nil"/>
            </w:tcBorders>
            <w:tcMar>
              <w:top w:w="0" w:type="dxa"/>
              <w:left w:w="0" w:type="dxa"/>
              <w:bottom w:w="0" w:type="dxa"/>
              <w:right w:w="0" w:type="dxa"/>
            </w:tcMar>
          </w:tcPr>
          <w:p w14:paraId="79420545" w14:textId="77777777" w:rsidR="00882514" w:rsidRDefault="00882514" w:rsidP="00EA09C7">
            <w:pPr>
              <w:spacing w:line="240" w:lineRule="auto"/>
              <w:jc w:val="center"/>
            </w:pPr>
            <w:r>
              <w:t>447 (9.48%)</w:t>
            </w:r>
          </w:p>
        </w:tc>
        <w:tc>
          <w:tcPr>
            <w:tcW w:w="1000" w:type="pct"/>
            <w:tcBorders>
              <w:top w:val="single" w:sz="8" w:space="0" w:color="333333"/>
              <w:left w:val="nil"/>
              <w:bottom w:val="single" w:sz="6" w:space="0" w:color="FFFFFF"/>
              <w:right w:val="nil"/>
            </w:tcBorders>
            <w:tcMar>
              <w:top w:w="0" w:type="dxa"/>
              <w:left w:w="0" w:type="dxa"/>
              <w:bottom w:w="0" w:type="dxa"/>
              <w:right w:w="0" w:type="dxa"/>
            </w:tcMar>
          </w:tcPr>
          <w:p w14:paraId="74D120FF" w14:textId="77777777" w:rsidR="00882514" w:rsidRDefault="00882514" w:rsidP="00EA09C7">
            <w:pPr>
              <w:spacing w:line="240" w:lineRule="auto"/>
              <w:jc w:val="center"/>
            </w:pPr>
            <w:r>
              <w:t>337 (7.10%)</w:t>
            </w:r>
          </w:p>
        </w:tc>
      </w:tr>
      <w:tr w:rsidR="00882514" w14:paraId="77A503BD" w14:textId="77777777" w:rsidTr="00EA09C7">
        <w:tc>
          <w:tcPr>
            <w:tcW w:w="1000" w:type="pct"/>
            <w:tcBorders>
              <w:top w:val="single" w:sz="6" w:space="0" w:color="FFFFFF"/>
              <w:left w:val="nil"/>
              <w:bottom w:val="single" w:sz="8" w:space="0" w:color="000000"/>
              <w:right w:val="nil"/>
            </w:tcBorders>
            <w:tcMar>
              <w:top w:w="0" w:type="dxa"/>
              <w:left w:w="0" w:type="dxa"/>
              <w:bottom w:w="0" w:type="dxa"/>
              <w:right w:w="0" w:type="dxa"/>
            </w:tcMar>
          </w:tcPr>
          <w:p w14:paraId="149ABC79" w14:textId="77777777" w:rsidR="00882514" w:rsidRDefault="00882514" w:rsidP="00EA09C7">
            <w:pPr>
              <w:spacing w:line="240" w:lineRule="auto"/>
            </w:pPr>
            <w:r>
              <w:t>Reasonable</w:t>
            </w:r>
          </w:p>
        </w:tc>
        <w:tc>
          <w:tcPr>
            <w:tcW w:w="1000" w:type="pct"/>
            <w:tcBorders>
              <w:top w:val="single" w:sz="6" w:space="0" w:color="FFFFFF"/>
              <w:left w:val="nil"/>
              <w:bottom w:val="single" w:sz="8" w:space="0" w:color="000000"/>
              <w:right w:val="nil"/>
            </w:tcBorders>
            <w:tcMar>
              <w:top w:w="0" w:type="dxa"/>
              <w:left w:w="0" w:type="dxa"/>
              <w:bottom w:w="0" w:type="dxa"/>
              <w:right w:w="0" w:type="dxa"/>
            </w:tcMar>
          </w:tcPr>
          <w:p w14:paraId="0F3D3CEF" w14:textId="77777777" w:rsidR="00882514" w:rsidRDefault="00882514" w:rsidP="00EA09C7">
            <w:pPr>
              <w:spacing w:line="240" w:lineRule="auto"/>
              <w:jc w:val="center"/>
            </w:pPr>
            <w:r>
              <w:t>13173 (92.81%)</w:t>
            </w:r>
          </w:p>
        </w:tc>
        <w:tc>
          <w:tcPr>
            <w:tcW w:w="1000" w:type="pct"/>
            <w:tcBorders>
              <w:top w:val="single" w:sz="6" w:space="0" w:color="FFFFFF"/>
              <w:left w:val="nil"/>
              <w:bottom w:val="single" w:sz="8" w:space="0" w:color="000000"/>
              <w:right w:val="nil"/>
            </w:tcBorders>
            <w:tcMar>
              <w:top w:w="0" w:type="dxa"/>
              <w:left w:w="0" w:type="dxa"/>
              <w:bottom w:w="0" w:type="dxa"/>
              <w:right w:w="0" w:type="dxa"/>
            </w:tcMar>
          </w:tcPr>
          <w:p w14:paraId="3B576189" w14:textId="77777777" w:rsidR="00882514" w:rsidRDefault="00882514" w:rsidP="00EA09C7">
            <w:pPr>
              <w:spacing w:line="240" w:lineRule="auto"/>
              <w:jc w:val="center"/>
            </w:pPr>
            <w:r>
              <w:t>4493 (94.99%)</w:t>
            </w:r>
          </w:p>
        </w:tc>
        <w:tc>
          <w:tcPr>
            <w:tcW w:w="1000" w:type="pct"/>
            <w:tcBorders>
              <w:top w:val="single" w:sz="6" w:space="0" w:color="FFFFFF"/>
              <w:left w:val="nil"/>
              <w:bottom w:val="single" w:sz="8" w:space="0" w:color="000000"/>
              <w:right w:val="nil"/>
            </w:tcBorders>
            <w:tcMar>
              <w:top w:w="0" w:type="dxa"/>
              <w:left w:w="0" w:type="dxa"/>
              <w:bottom w:w="0" w:type="dxa"/>
              <w:right w:w="0" w:type="dxa"/>
            </w:tcMar>
          </w:tcPr>
          <w:p w14:paraId="22458DE7" w14:textId="77777777" w:rsidR="00882514" w:rsidRDefault="00882514" w:rsidP="00EA09C7">
            <w:pPr>
              <w:spacing w:line="240" w:lineRule="auto"/>
              <w:jc w:val="center"/>
            </w:pPr>
            <w:r>
              <w:t>4269 (90.52%)</w:t>
            </w:r>
          </w:p>
        </w:tc>
        <w:tc>
          <w:tcPr>
            <w:tcW w:w="1000" w:type="pct"/>
            <w:tcBorders>
              <w:top w:val="single" w:sz="6" w:space="0" w:color="FFFFFF"/>
              <w:left w:val="nil"/>
              <w:bottom w:val="single" w:sz="8" w:space="0" w:color="000000"/>
              <w:right w:val="nil"/>
            </w:tcBorders>
            <w:tcMar>
              <w:top w:w="0" w:type="dxa"/>
              <w:left w:w="0" w:type="dxa"/>
              <w:bottom w:w="0" w:type="dxa"/>
              <w:right w:w="0" w:type="dxa"/>
            </w:tcMar>
          </w:tcPr>
          <w:p w14:paraId="6161952F" w14:textId="77777777" w:rsidR="00882514" w:rsidRDefault="00882514" w:rsidP="00EA09C7">
            <w:pPr>
              <w:spacing w:line="240" w:lineRule="auto"/>
              <w:jc w:val="center"/>
            </w:pPr>
            <w:r>
              <w:t>4411 (92.90%)</w:t>
            </w:r>
          </w:p>
        </w:tc>
      </w:tr>
    </w:tbl>
    <w:p w14:paraId="08F9EC6C" w14:textId="77777777" w:rsidR="00E03554" w:rsidRDefault="00E03554">
      <w:pPr>
        <w:rPr>
          <w:i/>
        </w:rPr>
      </w:pPr>
    </w:p>
    <w:p w14:paraId="76EFA7EC" w14:textId="77777777" w:rsidR="00E03554" w:rsidRDefault="00DF0CFA">
      <w:pPr>
        <w:ind w:firstLine="720"/>
      </w:pPr>
      <w:r>
        <w:t>A model with a random intercept for vignette nested within participant (Model 3, AIC = 7288.56</w:t>
      </w:r>
      <w:proofErr w:type="gramStart"/>
      <w:r>
        <w:t>)  explained</w:t>
      </w:r>
      <w:proofErr w:type="gramEnd"/>
      <w:r>
        <w:t xml:space="preserve"> similar amounts of variance (Pseudo-</w:t>
      </w:r>
      <w:r>
        <w:rPr>
          <w:i/>
        </w:rPr>
        <w:t>R</w:t>
      </w:r>
      <w:r>
        <w:rPr>
          <w:vertAlign w:val="superscript"/>
        </w:rPr>
        <w:t>2</w:t>
      </w:r>
      <w:r>
        <w:t xml:space="preserve"> = .00 to .02) as Model 2 . The model with a random intercept for vignette nested in participant nested in data collection site (Model 4, AIC = 7290.55) did not explain more variance (Pseudo-</w:t>
      </w:r>
      <w:r>
        <w:rPr>
          <w:i/>
        </w:rPr>
        <w:t>R</w:t>
      </w:r>
      <w:r>
        <w:rPr>
          <w:vertAlign w:val="superscript"/>
        </w:rPr>
        <w:t>2</w:t>
      </w:r>
      <w:r>
        <w:t xml:space="preserve"> = .00 to .02) than previous models. In Model 5, covariates were added as fixed effects (AIC = 7144.10). Relative to Model 4, this model was more useful in explaining variance in judgments of reasonableness (Pseudo-</w:t>
      </w:r>
      <w:r>
        <w:rPr>
          <w:i/>
        </w:rPr>
        <w:t>R</w:t>
      </w:r>
      <w:r>
        <w:rPr>
          <w:vertAlign w:val="superscript"/>
        </w:rPr>
        <w:t>2</w:t>
      </w:r>
      <w:r>
        <w:t xml:space="preserve"> = .01 - .04). Participant compensation, gender, and education were associated with reasonableness judgments. Participants who were compensated and female participants were more likely to judge the protagonist as reasonable than uncompensated and male participants. As the participant’s years of education increased, the likelihood that they would judge the protagonist as reasonable increased.</w:t>
      </w:r>
    </w:p>
    <w:p w14:paraId="630A0DE1" w14:textId="77777777" w:rsidR="00E03554" w:rsidRDefault="00DF0CFA">
      <w:pPr>
        <w:spacing w:after="160"/>
        <w:ind w:firstLine="720"/>
      </w:pPr>
      <w:r>
        <w:t>Finally, we estimated a model including knowledge condition as a fixed effect (Model 6, AIC = 7047.13). This model performed better than Model 5 and revealed an effect of condition on reasonableness judgment (Pseudo-</w:t>
      </w:r>
      <w:r>
        <w:rPr>
          <w:i/>
        </w:rPr>
        <w:t>R</w:t>
      </w:r>
      <w:r>
        <w:rPr>
          <w:vertAlign w:val="superscript"/>
        </w:rPr>
        <w:t>2</w:t>
      </w:r>
      <w:r>
        <w:t xml:space="preserve"> = .01 to .05). Participants were more likely to judge the protagonist in the knowledge condition vignette as reasonable than the protagonists in the other two conditions (see Table 9). Protagonists in the ignorance condition vignette were less likely to be judged as reasonable than protagonists in the knowledge and Gettier condition vignettes.</w:t>
      </w:r>
    </w:p>
    <w:p w14:paraId="13C36867" w14:textId="77777777" w:rsidR="00E03554" w:rsidRDefault="00E03554">
      <w:pPr>
        <w:spacing w:after="160"/>
        <w:rPr>
          <w:b/>
          <w:color w:val="333333"/>
        </w:rPr>
      </w:pPr>
    </w:p>
    <w:p w14:paraId="021DFF91" w14:textId="0A434BBD" w:rsidR="00E03554" w:rsidRPr="00882514" w:rsidRDefault="00DF0CFA">
      <w:pPr>
        <w:rPr>
          <w:b/>
        </w:rPr>
      </w:pPr>
      <w:r>
        <w:br w:type="page"/>
      </w:r>
      <w:r>
        <w:rPr>
          <w:b/>
        </w:rPr>
        <w:lastRenderedPageBreak/>
        <w:t xml:space="preserve">Table 9 </w:t>
      </w:r>
    </w:p>
    <w:p w14:paraId="53E20131" w14:textId="77777777" w:rsidR="00E03554" w:rsidRDefault="00DF0CFA">
      <w:pPr>
        <w:rPr>
          <w:i/>
          <w:color w:val="333333"/>
        </w:rPr>
      </w:pPr>
      <w:r>
        <w:rPr>
          <w:i/>
        </w:rPr>
        <w:t xml:space="preserve">Reasonableness Judgments from Model 6 Overall and by Condition </w:t>
      </w:r>
    </w:p>
    <w:tbl>
      <w:tblPr>
        <w:tblW w:w="5000" w:type="pct"/>
        <w:tblLook w:val="0600" w:firstRow="0" w:lastRow="0" w:firstColumn="0" w:lastColumn="0" w:noHBand="1" w:noVBand="1"/>
      </w:tblPr>
      <w:tblGrid>
        <w:gridCol w:w="1870"/>
        <w:gridCol w:w="1870"/>
        <w:gridCol w:w="1870"/>
        <w:gridCol w:w="1870"/>
        <w:gridCol w:w="1870"/>
      </w:tblGrid>
      <w:tr w:rsidR="00882514" w14:paraId="3A1ED276" w14:textId="77777777" w:rsidTr="00EA09C7">
        <w:tc>
          <w:tcPr>
            <w:tcW w:w="1000" w:type="pct"/>
            <w:tcBorders>
              <w:top w:val="single" w:sz="8" w:space="0" w:color="333333"/>
              <w:left w:val="single" w:sz="8" w:space="0" w:color="FFFFFF"/>
              <w:bottom w:val="single" w:sz="8" w:space="0" w:color="333333"/>
              <w:right w:val="single" w:sz="8" w:space="0" w:color="FFFFFF"/>
            </w:tcBorders>
            <w:tcMar>
              <w:top w:w="0" w:type="dxa"/>
              <w:left w:w="0" w:type="dxa"/>
              <w:bottom w:w="0" w:type="dxa"/>
              <w:right w:w="0" w:type="dxa"/>
            </w:tcMar>
            <w:vAlign w:val="bottom"/>
          </w:tcPr>
          <w:p w14:paraId="79C80EC5" w14:textId="77777777" w:rsidR="00882514" w:rsidRDefault="00882514" w:rsidP="00EA09C7">
            <w:pPr>
              <w:spacing w:line="240" w:lineRule="auto"/>
              <w:rPr>
                <w:color w:val="333333"/>
              </w:rPr>
            </w:pPr>
          </w:p>
        </w:tc>
        <w:tc>
          <w:tcPr>
            <w:tcW w:w="1000" w:type="pct"/>
            <w:tcBorders>
              <w:top w:val="single" w:sz="8" w:space="0" w:color="333333"/>
              <w:left w:val="single" w:sz="8" w:space="0" w:color="FFFFFF"/>
              <w:bottom w:val="single" w:sz="8" w:space="0" w:color="333333"/>
              <w:right w:val="single" w:sz="8" w:space="0" w:color="FFFFFF"/>
            </w:tcBorders>
            <w:tcMar>
              <w:top w:w="0" w:type="dxa"/>
              <w:left w:w="0" w:type="dxa"/>
              <w:bottom w:w="0" w:type="dxa"/>
              <w:right w:w="0" w:type="dxa"/>
            </w:tcMar>
            <w:vAlign w:val="bottom"/>
          </w:tcPr>
          <w:p w14:paraId="0AEBA789" w14:textId="77777777" w:rsidR="00882514" w:rsidRDefault="00882514" w:rsidP="00EA09C7">
            <w:pPr>
              <w:spacing w:line="240" w:lineRule="auto"/>
              <w:jc w:val="center"/>
              <w:rPr>
                <w:color w:val="333333"/>
              </w:rPr>
            </w:pPr>
            <w:r>
              <w:rPr>
                <w:color w:val="333333"/>
              </w:rPr>
              <w:t>Overall</w:t>
            </w:r>
          </w:p>
        </w:tc>
        <w:tc>
          <w:tcPr>
            <w:tcW w:w="1000" w:type="pct"/>
            <w:tcBorders>
              <w:top w:val="single" w:sz="8" w:space="0" w:color="333333"/>
              <w:left w:val="nil"/>
              <w:bottom w:val="single" w:sz="8" w:space="0" w:color="333333"/>
              <w:right w:val="nil"/>
            </w:tcBorders>
            <w:tcMar>
              <w:top w:w="0" w:type="dxa"/>
              <w:left w:w="0" w:type="dxa"/>
              <w:bottom w:w="0" w:type="dxa"/>
              <w:right w:w="0" w:type="dxa"/>
            </w:tcMar>
            <w:vAlign w:val="bottom"/>
          </w:tcPr>
          <w:p w14:paraId="0D86F1F0" w14:textId="77777777" w:rsidR="00882514" w:rsidRDefault="00882514" w:rsidP="00EA09C7">
            <w:pPr>
              <w:spacing w:line="240" w:lineRule="auto"/>
              <w:jc w:val="center"/>
            </w:pPr>
            <w:r>
              <w:t>Knowledge</w:t>
            </w:r>
          </w:p>
        </w:tc>
        <w:tc>
          <w:tcPr>
            <w:tcW w:w="1000" w:type="pct"/>
            <w:tcBorders>
              <w:top w:val="single" w:sz="8" w:space="0" w:color="333333"/>
              <w:left w:val="nil"/>
              <w:bottom w:val="single" w:sz="8" w:space="0" w:color="333333"/>
              <w:right w:val="nil"/>
            </w:tcBorders>
            <w:tcMar>
              <w:top w:w="0" w:type="dxa"/>
              <w:left w:w="0" w:type="dxa"/>
              <w:bottom w:w="0" w:type="dxa"/>
              <w:right w:w="0" w:type="dxa"/>
            </w:tcMar>
            <w:vAlign w:val="bottom"/>
          </w:tcPr>
          <w:p w14:paraId="0CFC3C63" w14:textId="77777777" w:rsidR="00882514" w:rsidRDefault="00882514" w:rsidP="00EA09C7">
            <w:pPr>
              <w:spacing w:line="240" w:lineRule="auto"/>
              <w:jc w:val="center"/>
            </w:pPr>
            <w:r>
              <w:t>Ignorance</w:t>
            </w:r>
          </w:p>
        </w:tc>
        <w:tc>
          <w:tcPr>
            <w:tcW w:w="1000" w:type="pct"/>
            <w:tcBorders>
              <w:top w:val="single" w:sz="8" w:space="0" w:color="333333"/>
              <w:left w:val="nil"/>
              <w:bottom w:val="single" w:sz="8" w:space="0" w:color="333333"/>
              <w:right w:val="nil"/>
            </w:tcBorders>
            <w:tcMar>
              <w:top w:w="0" w:type="dxa"/>
              <w:left w:w="0" w:type="dxa"/>
              <w:bottom w:w="0" w:type="dxa"/>
              <w:right w:w="0" w:type="dxa"/>
            </w:tcMar>
            <w:vAlign w:val="bottom"/>
          </w:tcPr>
          <w:p w14:paraId="43A55E48" w14:textId="77777777" w:rsidR="00882514" w:rsidRDefault="00882514" w:rsidP="00EA09C7">
            <w:pPr>
              <w:spacing w:line="240" w:lineRule="auto"/>
              <w:jc w:val="center"/>
            </w:pPr>
            <w:r>
              <w:t>Gettier</w:t>
            </w:r>
          </w:p>
        </w:tc>
      </w:tr>
      <w:tr w:rsidR="00882514" w14:paraId="5697C39A" w14:textId="77777777" w:rsidTr="00EA09C7">
        <w:tc>
          <w:tcPr>
            <w:tcW w:w="1000" w:type="pct"/>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4B7CDEB2" w14:textId="77777777" w:rsidR="00882514" w:rsidRDefault="00882514" w:rsidP="00EA09C7">
            <w:pPr>
              <w:spacing w:line="240" w:lineRule="auto"/>
              <w:rPr>
                <w:color w:val="333333"/>
              </w:rPr>
            </w:pPr>
            <w:r>
              <w:rPr>
                <w:color w:val="333333"/>
              </w:rPr>
              <w:t>Unreasonable</w:t>
            </w:r>
          </w:p>
        </w:tc>
        <w:tc>
          <w:tcPr>
            <w:tcW w:w="1000" w:type="pct"/>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107826BD" w14:textId="77777777" w:rsidR="00882514" w:rsidRDefault="00882514" w:rsidP="00EA09C7">
            <w:pPr>
              <w:spacing w:line="240" w:lineRule="auto"/>
              <w:jc w:val="center"/>
              <w:rPr>
                <w:color w:val="333333"/>
              </w:rPr>
            </w:pPr>
            <w:r>
              <w:rPr>
                <w:color w:val="333333"/>
              </w:rPr>
              <w:t>1007 (7.21%)</w:t>
            </w:r>
          </w:p>
        </w:tc>
        <w:tc>
          <w:tcPr>
            <w:tcW w:w="1000" w:type="pct"/>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6C72CC7E" w14:textId="77777777" w:rsidR="00882514" w:rsidRDefault="00882514" w:rsidP="00EA09C7">
            <w:pPr>
              <w:spacing w:line="240" w:lineRule="auto"/>
              <w:jc w:val="center"/>
              <w:rPr>
                <w:color w:val="333333"/>
              </w:rPr>
            </w:pPr>
            <w:r>
              <w:rPr>
                <w:color w:val="333333"/>
              </w:rPr>
              <w:t>217 (4.65%)</w:t>
            </w:r>
          </w:p>
        </w:tc>
        <w:tc>
          <w:tcPr>
            <w:tcW w:w="1000" w:type="pct"/>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0B1BE195" w14:textId="77777777" w:rsidR="00882514" w:rsidRDefault="00882514" w:rsidP="00EA09C7">
            <w:pPr>
              <w:spacing w:line="240" w:lineRule="auto"/>
              <w:jc w:val="center"/>
              <w:rPr>
                <w:color w:val="333333"/>
              </w:rPr>
            </w:pPr>
            <w:r>
              <w:rPr>
                <w:color w:val="333333"/>
              </w:rPr>
              <w:t>467 (20.03%)</w:t>
            </w:r>
          </w:p>
        </w:tc>
        <w:tc>
          <w:tcPr>
            <w:tcW w:w="1000" w:type="pct"/>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47A9C282" w14:textId="77777777" w:rsidR="00882514" w:rsidRDefault="00882514" w:rsidP="00EA09C7">
            <w:pPr>
              <w:spacing w:line="240" w:lineRule="auto"/>
              <w:jc w:val="center"/>
              <w:rPr>
                <w:color w:val="333333"/>
              </w:rPr>
            </w:pPr>
            <w:r>
              <w:rPr>
                <w:color w:val="333333"/>
              </w:rPr>
              <w:t>323 (6.94%)</w:t>
            </w:r>
          </w:p>
        </w:tc>
      </w:tr>
      <w:tr w:rsidR="00882514" w14:paraId="0952395A" w14:textId="77777777" w:rsidTr="00EA09C7">
        <w:tc>
          <w:tcPr>
            <w:tcW w:w="1000" w:type="pct"/>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1737C4A3" w14:textId="77777777" w:rsidR="00882514" w:rsidRDefault="00882514" w:rsidP="00EA09C7">
            <w:pPr>
              <w:spacing w:line="240" w:lineRule="auto"/>
              <w:rPr>
                <w:color w:val="333333"/>
              </w:rPr>
            </w:pPr>
            <w:r>
              <w:rPr>
                <w:color w:val="333333"/>
              </w:rPr>
              <w:t>Reasonable</w:t>
            </w:r>
          </w:p>
        </w:tc>
        <w:tc>
          <w:tcPr>
            <w:tcW w:w="1000" w:type="pct"/>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517F64F3" w14:textId="77777777" w:rsidR="00882514" w:rsidRDefault="00882514" w:rsidP="00EA09C7">
            <w:pPr>
              <w:spacing w:line="240" w:lineRule="auto"/>
              <w:jc w:val="center"/>
              <w:rPr>
                <w:color w:val="333333"/>
              </w:rPr>
            </w:pPr>
            <w:r>
              <w:rPr>
                <w:color w:val="333333"/>
              </w:rPr>
              <w:t>12967 (92.79%)</w:t>
            </w:r>
          </w:p>
        </w:tc>
        <w:tc>
          <w:tcPr>
            <w:tcW w:w="1000" w:type="pct"/>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1F509FE9" w14:textId="77777777" w:rsidR="00882514" w:rsidRDefault="00882514" w:rsidP="00EA09C7">
            <w:pPr>
              <w:spacing w:line="240" w:lineRule="auto"/>
              <w:jc w:val="center"/>
              <w:rPr>
                <w:color w:val="333333"/>
              </w:rPr>
            </w:pPr>
            <w:r>
              <w:rPr>
                <w:color w:val="333333"/>
              </w:rPr>
              <w:t>4447 (95.35%)</w:t>
            </w:r>
          </w:p>
        </w:tc>
        <w:tc>
          <w:tcPr>
            <w:tcW w:w="1000" w:type="pct"/>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73137B1E" w14:textId="77777777" w:rsidR="00882514" w:rsidRDefault="00882514" w:rsidP="00EA09C7">
            <w:pPr>
              <w:spacing w:line="240" w:lineRule="auto"/>
              <w:jc w:val="center"/>
              <w:rPr>
                <w:color w:val="333333"/>
              </w:rPr>
            </w:pPr>
            <w:r>
              <w:rPr>
                <w:color w:val="333333"/>
              </w:rPr>
              <w:t>4192 (89.98%)</w:t>
            </w:r>
          </w:p>
        </w:tc>
        <w:tc>
          <w:tcPr>
            <w:tcW w:w="1000" w:type="pct"/>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4D67270F" w14:textId="77777777" w:rsidR="00882514" w:rsidRDefault="00882514" w:rsidP="00EA09C7">
            <w:pPr>
              <w:spacing w:line="240" w:lineRule="auto"/>
              <w:jc w:val="center"/>
              <w:rPr>
                <w:color w:val="333333"/>
              </w:rPr>
            </w:pPr>
            <w:r>
              <w:rPr>
                <w:color w:val="333333"/>
              </w:rPr>
              <w:t>4328 (93.06%)</w:t>
            </w:r>
          </w:p>
        </w:tc>
      </w:tr>
    </w:tbl>
    <w:p w14:paraId="6780CBC9" w14:textId="77777777" w:rsidR="00E03554" w:rsidRDefault="00E03554">
      <w:pPr>
        <w:rPr>
          <w:i/>
          <w:color w:val="333333"/>
        </w:rPr>
      </w:pPr>
    </w:p>
    <w:p w14:paraId="5316C678" w14:textId="77777777" w:rsidR="00E03554" w:rsidRDefault="00DF0CFA">
      <w:pPr>
        <w:pStyle w:val="Heading3"/>
        <w:rPr>
          <w:color w:val="000000"/>
        </w:rPr>
      </w:pPr>
      <w:bookmarkStart w:id="32" w:name="_v2nf8ci7cbpt" w:colFirst="0" w:colLast="0"/>
      <w:bookmarkEnd w:id="32"/>
      <w:r>
        <w:rPr>
          <w:color w:val="000000"/>
        </w:rPr>
        <w:t>Does the effect of condition on reasonableness judgments differ by vignette?</w:t>
      </w:r>
    </w:p>
    <w:p w14:paraId="2BC8CB60" w14:textId="77777777" w:rsidR="00E03554" w:rsidRDefault="00DF0CFA">
      <w:pPr>
        <w:spacing w:after="160"/>
        <w:ind w:firstLine="720"/>
      </w:pPr>
      <w:r>
        <w:t>To test whether the effect of condition on reasonableness judgments varied by vignette, a model was estimated that included an interaction between vignette and condition (Model 6A, AIC = 7025.80). This model explained more variance than the model without the interaction term. As shown in Figure 3, although the general pattern is the same for all vignettes, the magnitudes of differences vary by vignette (Pseudo-</w:t>
      </w:r>
      <w:r>
        <w:rPr>
          <w:i/>
        </w:rPr>
        <w:t>R</w:t>
      </w:r>
      <w:r>
        <w:rPr>
          <w:vertAlign w:val="superscript"/>
        </w:rPr>
        <w:t>2</w:t>
      </w:r>
      <w:r>
        <w:t xml:space="preserve"> = .02 to .08).</w:t>
      </w:r>
    </w:p>
    <w:p w14:paraId="512EFD49" w14:textId="77777777" w:rsidR="00E03554" w:rsidRDefault="00DF0CFA">
      <w:pPr>
        <w:spacing w:after="160"/>
        <w:ind w:firstLine="720"/>
      </w:pPr>
      <w:r>
        <w:t>The likelihood that participants judged the protagonist as reasonable varied by condition in response to the Darrel vignette, 𝜒</w:t>
      </w:r>
      <w:r>
        <w:rPr>
          <w:vertAlign w:val="superscript"/>
        </w:rPr>
        <w:t>2</w:t>
      </w:r>
      <w:r>
        <w:t xml:space="preserve">(2) = 781.00, </w:t>
      </w:r>
      <w:r>
        <w:rPr>
          <w:i/>
        </w:rPr>
        <w:t>p</w:t>
      </w:r>
      <w:r>
        <w:t xml:space="preserve"> &lt; .001, Emma vignette 𝜒</w:t>
      </w:r>
      <w:r>
        <w:rPr>
          <w:vertAlign w:val="superscript"/>
        </w:rPr>
        <w:t>2</w:t>
      </w:r>
      <w:r>
        <w:t xml:space="preserve">(2) = 36.36, </w:t>
      </w:r>
      <w:r>
        <w:rPr>
          <w:i/>
        </w:rPr>
        <w:t>p</w:t>
      </w:r>
      <w:r>
        <w:t xml:space="preserve"> &lt; .001, and Gerald vignette 𝜒</w:t>
      </w:r>
      <w:r>
        <w:rPr>
          <w:vertAlign w:val="superscript"/>
        </w:rPr>
        <w:t>2</w:t>
      </w:r>
      <w:r>
        <w:t xml:space="preserve">(2) = 21.10, </w:t>
      </w:r>
      <w:r>
        <w:rPr>
          <w:i/>
        </w:rPr>
        <w:t>p</w:t>
      </w:r>
      <w:r>
        <w:t xml:space="preserve"> &lt; .001. Participants were more likely to judge Darrel to be reasonable in the Gettier condition vignette (p̂ = .96) than in the ignorance condition (p̂ = .91; </w:t>
      </w:r>
      <w:proofErr w:type="spellStart"/>
      <w:r>
        <w:t>Cramér’s</w:t>
      </w:r>
      <w:proofErr w:type="spellEnd"/>
      <w:r>
        <w:t xml:space="preserve"> 𝑉 = .10, 95% CI [.06, .13], 𝜒</w:t>
      </w:r>
      <w:r>
        <w:rPr>
          <w:vertAlign w:val="superscript"/>
        </w:rPr>
        <w:t>2</w:t>
      </w:r>
      <w:r>
        <w:t>(1) = 28.84, 𝑝 &lt; .001), but we found no evidence that reasonableness judgments differed between participants responding to the Gettier and knowledge conditions of that vignette (</w:t>
      </w:r>
      <w:proofErr w:type="spellStart"/>
      <w:r>
        <w:t>Cramér’s</w:t>
      </w:r>
      <w:proofErr w:type="spellEnd"/>
      <w:r>
        <w:t xml:space="preserve"> 𝑉 = .03, 95% CI [.02, .07], 𝜒</w:t>
      </w:r>
      <w:r>
        <w:rPr>
          <w:vertAlign w:val="superscript"/>
        </w:rPr>
        <w:t>2</w:t>
      </w:r>
      <w:r>
        <w:t xml:space="preserve">(1) = 3.44, </w:t>
      </w:r>
      <w:r>
        <w:rPr>
          <w:i/>
        </w:rPr>
        <w:t>p</w:t>
      </w:r>
      <w:r>
        <w:t xml:space="preserve"> = .064). The same pattern of results appeared in response to the Gerald vignette; participants were more likely to judge Gerald as reasonable when responding to the Gettier condition vignette (p̂ = .94) as opposed to the ignorance condition (p̂ = .91; </w:t>
      </w:r>
      <w:proofErr w:type="spellStart"/>
      <w:r>
        <w:t>Cramér’s</w:t>
      </w:r>
      <w:proofErr w:type="spellEnd"/>
      <w:r>
        <w:t xml:space="preserve"> 𝑉 = .06, 95% CI [.03, .09], (1) = 10.49,  = .001), but the Gettier and knowledge vignettes produced similar rates of reasonableness judgments, (p̂ = .94; </w:t>
      </w:r>
      <w:proofErr w:type="spellStart"/>
      <w:r>
        <w:t>Cramér’s</w:t>
      </w:r>
      <w:proofErr w:type="spellEnd"/>
      <w:r>
        <w:t xml:space="preserve"> 𝑉 = .02, 95% CI [.02, .05], 𝜒</w:t>
      </w:r>
      <w:r>
        <w:rPr>
          <w:vertAlign w:val="superscript"/>
        </w:rPr>
        <w:t>2</w:t>
      </w:r>
      <w:r>
        <w:t xml:space="preserve">(1) = 0.77,  = .381). </w:t>
      </w:r>
    </w:p>
    <w:p w14:paraId="12B7CA71" w14:textId="77777777" w:rsidR="00E03554" w:rsidRDefault="00DF0CFA">
      <w:pPr>
        <w:spacing w:after="160"/>
        <w:ind w:firstLine="720"/>
      </w:pPr>
      <w:r>
        <w:lastRenderedPageBreak/>
        <w:t>The condition by vignette interaction in predicting judgments of reasonableness appears to have emerged because of the condition differences produced by the Emma vignette. While participants were equally likely to judge Emma as reasonable in the Gettier and ignorance conditions, (</w:t>
      </w:r>
      <w:proofErr w:type="spellStart"/>
      <w:r>
        <w:t>Cramér’s</w:t>
      </w:r>
      <w:proofErr w:type="spellEnd"/>
      <w:r>
        <w:t xml:space="preserve"> 𝑉 = .02, 95% CI [.02, .06], 𝜒</w:t>
      </w:r>
      <w:r>
        <w:rPr>
          <w:vertAlign w:val="superscript"/>
        </w:rPr>
        <w:t>2</w:t>
      </w:r>
      <w:r>
        <w:t xml:space="preserve">(1) = 1.12,  </w:t>
      </w:r>
      <w:r>
        <w:rPr>
          <w:i/>
        </w:rPr>
        <w:t xml:space="preserve">p </w:t>
      </w:r>
      <w:r>
        <w:t xml:space="preserve">= .291), participants were more likely to judge Emma as reasonable in response to the knowledge condition vignette (p̂ = .94) than in response to the </w:t>
      </w:r>
      <w:proofErr w:type="spellStart"/>
      <w:r>
        <w:t>the</w:t>
      </w:r>
      <w:proofErr w:type="spellEnd"/>
      <w:r>
        <w:t xml:space="preserve"> Gettier condition vignette (p̂ = .89; </w:t>
      </w:r>
      <w:proofErr w:type="spellStart"/>
      <w:r>
        <w:t>Cramér’s</w:t>
      </w:r>
      <w:proofErr w:type="spellEnd"/>
      <w:r>
        <w:t xml:space="preserve"> 𝑉 = .09, 95% CI [.05, .12], 𝜒</w:t>
      </w:r>
      <w:r>
        <w:rPr>
          <w:vertAlign w:val="superscript"/>
        </w:rPr>
        <w:t>2</w:t>
      </w:r>
      <w:r>
        <w:t>(1) = 22.44, 𝑝 &lt; .001). Thus, condition differences were found between the Gettier and ignorance versions of the Darrel and Gerald vignettes, but not the Emma vignette, and between the Gettier and knowledge versions of the Emma vignette, but not the Darrel and Gerald vignettes.</w:t>
      </w:r>
    </w:p>
    <w:p w14:paraId="2FDDFA43" w14:textId="77777777" w:rsidR="00E03554" w:rsidRDefault="00DF0CFA">
      <w:pPr>
        <w:pStyle w:val="Heading2"/>
        <w:rPr>
          <w:color w:val="000000"/>
        </w:rPr>
      </w:pPr>
      <w:bookmarkStart w:id="33" w:name="_wfwewdjr4w11" w:colFirst="0" w:colLast="0"/>
      <w:bookmarkEnd w:id="33"/>
      <w:r>
        <w:rPr>
          <w:color w:val="000000"/>
        </w:rPr>
        <w:t>Participant Recruitment</w:t>
      </w:r>
    </w:p>
    <w:p w14:paraId="71D6B26E" w14:textId="77777777" w:rsidR="00E03554" w:rsidRDefault="00DF0CFA">
      <w:pPr>
        <w:ind w:firstLine="720"/>
      </w:pPr>
      <w:r>
        <w:t xml:space="preserve">Because data were collected from </w:t>
      </w:r>
      <w:proofErr w:type="spellStart"/>
      <w:r>
        <w:t>MTurk</w:t>
      </w:r>
      <w:proofErr w:type="spellEnd"/>
      <w:r>
        <w:t xml:space="preserve"> workers as well as participants recruited from individual labs, we examined whether participant recruitment moderated the effect of condition on knowledge attributions and reasonableness judgments. Though Model 6B (AIC = 15850.16) was superior to Model 6, the interaction term was not a significant predictor of knowledge attributions (ΔPseudo-</w:t>
      </w:r>
      <w:r>
        <w:rPr>
          <w:i/>
        </w:rPr>
        <w:t>R</w:t>
      </w:r>
      <w:r>
        <w:rPr>
          <w:i/>
          <w:vertAlign w:val="superscript"/>
        </w:rPr>
        <w:t>2</w:t>
      </w:r>
      <w:r>
        <w:t xml:space="preserve"> = .00 - .01). Next, we estimated the same model (Model 6B) in predicting judgments of reasonableness (AIC = 7017.37). While this model performed better than Model 6, the interaction between condition and recruitment type was not significant (ΔPseudo-</w:t>
      </w:r>
      <w:r>
        <w:rPr>
          <w:i/>
        </w:rPr>
        <w:t>R</w:t>
      </w:r>
      <w:r>
        <w:rPr>
          <w:i/>
          <w:vertAlign w:val="superscript"/>
        </w:rPr>
        <w:t>2</w:t>
      </w:r>
      <w:r>
        <w:t xml:space="preserve"> = .00 - .01). See Table 10 for summary of results.</w:t>
      </w:r>
    </w:p>
    <w:p w14:paraId="54881AD9" w14:textId="77777777" w:rsidR="00E03554" w:rsidRDefault="00DF0CFA">
      <w:r>
        <w:br w:type="page"/>
      </w:r>
    </w:p>
    <w:p w14:paraId="047ADE76" w14:textId="77777777" w:rsidR="00E03554" w:rsidRDefault="00DF0CFA">
      <w:r>
        <w:rPr>
          <w:b/>
        </w:rPr>
        <w:lastRenderedPageBreak/>
        <w:t>Table 10</w:t>
      </w:r>
    </w:p>
    <w:p w14:paraId="78B5105B" w14:textId="77777777" w:rsidR="00E03554" w:rsidRDefault="00DF0CFA">
      <w:pPr>
        <w:spacing w:before="240" w:after="240"/>
        <w:rPr>
          <w:i/>
        </w:rPr>
      </w:pPr>
      <w:r>
        <w:rPr>
          <w:i/>
        </w:rPr>
        <w:t>Participant Recruitment Moderation Model (6B) Summaries</w:t>
      </w:r>
    </w:p>
    <w:tbl>
      <w:tblPr>
        <w:tblW w:w="8185"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0"/>
        <w:gridCol w:w="2712"/>
        <w:gridCol w:w="2713"/>
      </w:tblGrid>
      <w:tr w:rsidR="00882514" w14:paraId="7BCDF39C" w14:textId="77777777" w:rsidTr="00EA09C7">
        <w:trPr>
          <w:trHeight w:val="226"/>
        </w:trPr>
        <w:tc>
          <w:tcPr>
            <w:tcW w:w="2760" w:type="dxa"/>
            <w:tcBorders>
              <w:left w:val="single" w:sz="4" w:space="0" w:color="FFFFFF"/>
              <w:bottom w:val="single" w:sz="4" w:space="0" w:color="FFFFFF"/>
              <w:right w:val="single" w:sz="4" w:space="0" w:color="FFFFFF"/>
            </w:tcBorders>
            <w:vAlign w:val="center"/>
          </w:tcPr>
          <w:p w14:paraId="75ACFFD4" w14:textId="77777777" w:rsidR="00882514" w:rsidRDefault="00882514" w:rsidP="00882514">
            <w:pPr>
              <w:spacing w:line="240" w:lineRule="auto"/>
              <w:rPr>
                <w:b/>
              </w:rPr>
            </w:pPr>
            <w:bookmarkStart w:id="34" w:name="_ewx2j34f56ck" w:colFirst="0" w:colLast="0"/>
            <w:bookmarkEnd w:id="34"/>
          </w:p>
        </w:tc>
        <w:tc>
          <w:tcPr>
            <w:tcW w:w="5425" w:type="dxa"/>
            <w:gridSpan w:val="2"/>
            <w:tcBorders>
              <w:left w:val="single" w:sz="4" w:space="0" w:color="FFFFFF"/>
              <w:right w:val="nil"/>
            </w:tcBorders>
            <w:vAlign w:val="center"/>
          </w:tcPr>
          <w:p w14:paraId="08DF5BB5" w14:textId="77777777" w:rsidR="00882514" w:rsidRDefault="00882514" w:rsidP="00882514">
            <w:pPr>
              <w:spacing w:line="240" w:lineRule="auto"/>
              <w:jc w:val="center"/>
              <w:rPr>
                <w:b/>
              </w:rPr>
            </w:pPr>
            <w:r>
              <w:rPr>
                <w:b/>
              </w:rPr>
              <w:t>Measure</w:t>
            </w:r>
          </w:p>
        </w:tc>
      </w:tr>
      <w:tr w:rsidR="00882514" w14:paraId="549FBF67" w14:textId="77777777" w:rsidTr="00EA09C7">
        <w:trPr>
          <w:trHeight w:val="240"/>
        </w:trPr>
        <w:tc>
          <w:tcPr>
            <w:tcW w:w="2760" w:type="dxa"/>
            <w:tcBorders>
              <w:top w:val="single" w:sz="4" w:space="0" w:color="FFFFFF"/>
              <w:left w:val="single" w:sz="4" w:space="0" w:color="FFFFFF"/>
              <w:right w:val="single" w:sz="4" w:space="0" w:color="FFFFFF"/>
            </w:tcBorders>
            <w:vAlign w:val="center"/>
          </w:tcPr>
          <w:p w14:paraId="2707A51B" w14:textId="77777777" w:rsidR="00882514" w:rsidRDefault="00882514" w:rsidP="00882514">
            <w:pPr>
              <w:spacing w:line="240" w:lineRule="auto"/>
              <w:rPr>
                <w:b/>
              </w:rPr>
            </w:pPr>
            <w:r>
              <w:rPr>
                <w:b/>
              </w:rPr>
              <w:t>Parameter or Statistic</w:t>
            </w:r>
          </w:p>
        </w:tc>
        <w:tc>
          <w:tcPr>
            <w:tcW w:w="2712" w:type="dxa"/>
            <w:tcBorders>
              <w:left w:val="single" w:sz="4" w:space="0" w:color="FFFFFF"/>
              <w:right w:val="single" w:sz="4" w:space="0" w:color="FFFFFF"/>
            </w:tcBorders>
            <w:vAlign w:val="center"/>
          </w:tcPr>
          <w:p w14:paraId="6B55B2FB" w14:textId="77777777" w:rsidR="00882514" w:rsidRDefault="00882514" w:rsidP="00882514">
            <w:pPr>
              <w:spacing w:line="240" w:lineRule="auto"/>
              <w:jc w:val="center"/>
              <w:rPr>
                <w:b/>
              </w:rPr>
            </w:pPr>
            <w:r>
              <w:rPr>
                <w:b/>
              </w:rPr>
              <w:t>Knowledge</w:t>
            </w:r>
          </w:p>
        </w:tc>
        <w:tc>
          <w:tcPr>
            <w:tcW w:w="2713" w:type="dxa"/>
            <w:tcBorders>
              <w:left w:val="single" w:sz="4" w:space="0" w:color="FFFFFF"/>
              <w:right w:val="single" w:sz="4" w:space="0" w:color="FFFFFF"/>
            </w:tcBorders>
            <w:vAlign w:val="center"/>
          </w:tcPr>
          <w:p w14:paraId="51C02D89" w14:textId="77777777" w:rsidR="00882514" w:rsidRDefault="00882514" w:rsidP="00882514">
            <w:pPr>
              <w:spacing w:line="240" w:lineRule="auto"/>
              <w:jc w:val="center"/>
              <w:rPr>
                <w:b/>
              </w:rPr>
            </w:pPr>
            <w:r>
              <w:rPr>
                <w:b/>
              </w:rPr>
              <w:t>Reasonableness</w:t>
            </w:r>
          </w:p>
        </w:tc>
      </w:tr>
      <w:tr w:rsidR="00882514" w14:paraId="648643AC" w14:textId="77777777" w:rsidTr="00EA09C7">
        <w:trPr>
          <w:trHeight w:val="216"/>
        </w:trPr>
        <w:tc>
          <w:tcPr>
            <w:tcW w:w="2760" w:type="dxa"/>
            <w:tcBorders>
              <w:left w:val="single" w:sz="4" w:space="0" w:color="FFFFFF"/>
              <w:bottom w:val="single" w:sz="4" w:space="0" w:color="FFFFFF"/>
              <w:right w:val="single" w:sz="4" w:space="0" w:color="FFFFFF"/>
            </w:tcBorders>
            <w:vAlign w:val="center"/>
          </w:tcPr>
          <w:p w14:paraId="0F7EBC12" w14:textId="77777777" w:rsidR="00882514" w:rsidRDefault="00882514" w:rsidP="00882514">
            <w:pPr>
              <w:spacing w:line="240" w:lineRule="auto"/>
            </w:pPr>
            <w:r>
              <w:t>Fixed Effects</w:t>
            </w:r>
          </w:p>
        </w:tc>
        <w:tc>
          <w:tcPr>
            <w:tcW w:w="2712" w:type="dxa"/>
            <w:tcBorders>
              <w:left w:val="single" w:sz="4" w:space="0" w:color="FFFFFF"/>
              <w:bottom w:val="single" w:sz="4" w:space="0" w:color="FFFFFF"/>
              <w:right w:val="single" w:sz="4" w:space="0" w:color="FFFFFF"/>
            </w:tcBorders>
            <w:vAlign w:val="center"/>
          </w:tcPr>
          <w:p w14:paraId="0C01B65D" w14:textId="77777777" w:rsidR="00882514" w:rsidRDefault="00882514" w:rsidP="00882514">
            <w:pPr>
              <w:tabs>
                <w:tab w:val="decimal" w:pos="451"/>
              </w:tabs>
              <w:spacing w:line="240" w:lineRule="auto"/>
            </w:pPr>
          </w:p>
        </w:tc>
        <w:tc>
          <w:tcPr>
            <w:tcW w:w="2713" w:type="dxa"/>
            <w:tcBorders>
              <w:left w:val="single" w:sz="4" w:space="0" w:color="FFFFFF"/>
              <w:bottom w:val="single" w:sz="4" w:space="0" w:color="FFFFFF"/>
              <w:right w:val="single" w:sz="4" w:space="0" w:color="FFFFFF"/>
            </w:tcBorders>
            <w:vAlign w:val="center"/>
          </w:tcPr>
          <w:p w14:paraId="38BDCDA0" w14:textId="77777777" w:rsidR="00882514" w:rsidRDefault="00882514" w:rsidP="00882514">
            <w:pPr>
              <w:tabs>
                <w:tab w:val="decimal" w:pos="446"/>
              </w:tabs>
              <w:spacing w:line="240" w:lineRule="auto"/>
            </w:pPr>
          </w:p>
        </w:tc>
      </w:tr>
      <w:tr w:rsidR="00882514" w14:paraId="47683398" w14:textId="77777777" w:rsidTr="00EA09C7">
        <w:trPr>
          <w:trHeight w:val="226"/>
        </w:trPr>
        <w:tc>
          <w:tcPr>
            <w:tcW w:w="2760" w:type="dxa"/>
            <w:tcBorders>
              <w:top w:val="single" w:sz="4" w:space="0" w:color="FFFFFF"/>
              <w:left w:val="single" w:sz="4" w:space="0" w:color="FFFFFF"/>
              <w:bottom w:val="single" w:sz="4" w:space="0" w:color="FFFFFF"/>
              <w:right w:val="single" w:sz="4" w:space="0" w:color="FFFFFF"/>
            </w:tcBorders>
            <w:vAlign w:val="center"/>
          </w:tcPr>
          <w:p w14:paraId="0DDF0171" w14:textId="77777777" w:rsidR="00882514" w:rsidRDefault="00882514" w:rsidP="00882514">
            <w:pPr>
              <w:spacing w:line="240" w:lineRule="auto"/>
              <w:ind w:left="-27" w:firstLine="367"/>
            </w:pPr>
            <w:r>
              <w:t>Intercept</w:t>
            </w:r>
          </w:p>
        </w:tc>
        <w:tc>
          <w:tcPr>
            <w:tcW w:w="2712" w:type="dxa"/>
            <w:tcBorders>
              <w:top w:val="single" w:sz="4" w:space="0" w:color="FFFFFF"/>
              <w:left w:val="single" w:sz="4" w:space="0" w:color="FFFFFF"/>
              <w:bottom w:val="single" w:sz="4" w:space="0" w:color="FFFFFF"/>
              <w:right w:val="single" w:sz="4" w:space="0" w:color="FFFFFF"/>
            </w:tcBorders>
            <w:vAlign w:val="center"/>
          </w:tcPr>
          <w:p w14:paraId="3F470B5E" w14:textId="77777777" w:rsidR="00882514" w:rsidRDefault="00882514" w:rsidP="00882514">
            <w:pPr>
              <w:tabs>
                <w:tab w:val="decimal" w:pos="451"/>
              </w:tabs>
              <w:spacing w:line="240" w:lineRule="auto"/>
            </w:pPr>
            <w:r>
              <w:t>-0.07 (0.41)</w:t>
            </w:r>
          </w:p>
        </w:tc>
        <w:tc>
          <w:tcPr>
            <w:tcW w:w="2713" w:type="dxa"/>
            <w:tcBorders>
              <w:top w:val="single" w:sz="4" w:space="0" w:color="FFFFFF"/>
              <w:left w:val="single" w:sz="4" w:space="0" w:color="FFFFFF"/>
              <w:bottom w:val="single" w:sz="4" w:space="0" w:color="FFFFFF"/>
              <w:right w:val="single" w:sz="4" w:space="0" w:color="FFFFFF"/>
            </w:tcBorders>
            <w:vAlign w:val="center"/>
          </w:tcPr>
          <w:p w14:paraId="238BDB49" w14:textId="77777777" w:rsidR="00882514" w:rsidRDefault="00882514" w:rsidP="00882514">
            <w:pPr>
              <w:tabs>
                <w:tab w:val="decimal" w:pos="631"/>
              </w:tabs>
              <w:spacing w:line="240" w:lineRule="auto"/>
            </w:pPr>
            <w:r>
              <w:t>2.07 (0.25)***</w:t>
            </w:r>
          </w:p>
        </w:tc>
      </w:tr>
      <w:tr w:rsidR="00882514" w14:paraId="555144D5" w14:textId="77777777" w:rsidTr="00EA09C7">
        <w:trPr>
          <w:trHeight w:val="226"/>
        </w:trPr>
        <w:tc>
          <w:tcPr>
            <w:tcW w:w="2760" w:type="dxa"/>
            <w:tcBorders>
              <w:top w:val="single" w:sz="4" w:space="0" w:color="FFFFFF"/>
              <w:left w:val="single" w:sz="4" w:space="0" w:color="FFFFFF"/>
              <w:bottom w:val="single" w:sz="4" w:space="0" w:color="FFFFFF"/>
              <w:right w:val="single" w:sz="4" w:space="0" w:color="FFFFFF"/>
            </w:tcBorders>
            <w:vAlign w:val="center"/>
          </w:tcPr>
          <w:p w14:paraId="03903147" w14:textId="77777777" w:rsidR="00882514" w:rsidRDefault="00882514" w:rsidP="00882514">
            <w:pPr>
              <w:spacing w:line="240" w:lineRule="auto"/>
              <w:ind w:left="-27" w:firstLine="367"/>
            </w:pPr>
            <w:r>
              <w:t>Age</w:t>
            </w:r>
          </w:p>
        </w:tc>
        <w:tc>
          <w:tcPr>
            <w:tcW w:w="2712" w:type="dxa"/>
            <w:tcBorders>
              <w:top w:val="single" w:sz="4" w:space="0" w:color="FFFFFF"/>
              <w:left w:val="single" w:sz="4" w:space="0" w:color="FFFFFF"/>
              <w:bottom w:val="single" w:sz="4" w:space="0" w:color="FFFFFF"/>
              <w:right w:val="single" w:sz="4" w:space="0" w:color="FFFFFF"/>
            </w:tcBorders>
            <w:vAlign w:val="center"/>
          </w:tcPr>
          <w:p w14:paraId="4DBF2937" w14:textId="77777777" w:rsidR="00882514" w:rsidRDefault="00882514" w:rsidP="00882514">
            <w:pPr>
              <w:tabs>
                <w:tab w:val="decimal" w:pos="451"/>
              </w:tabs>
              <w:spacing w:line="240" w:lineRule="auto"/>
            </w:pPr>
            <w:r>
              <w:t>&lt; 0.001 (0.00)</w:t>
            </w:r>
          </w:p>
        </w:tc>
        <w:tc>
          <w:tcPr>
            <w:tcW w:w="2713" w:type="dxa"/>
            <w:tcBorders>
              <w:top w:val="single" w:sz="4" w:space="0" w:color="FFFFFF"/>
              <w:left w:val="single" w:sz="4" w:space="0" w:color="FFFFFF"/>
              <w:bottom w:val="single" w:sz="4" w:space="0" w:color="FFFFFF"/>
              <w:right w:val="single" w:sz="4" w:space="0" w:color="FFFFFF"/>
            </w:tcBorders>
            <w:vAlign w:val="center"/>
          </w:tcPr>
          <w:p w14:paraId="399CF434" w14:textId="77777777" w:rsidR="00882514" w:rsidRDefault="00882514" w:rsidP="00882514">
            <w:pPr>
              <w:tabs>
                <w:tab w:val="decimal" w:pos="631"/>
              </w:tabs>
              <w:spacing w:line="240" w:lineRule="auto"/>
            </w:pPr>
            <w:r>
              <w:t>-0.01 (0.003)***</w:t>
            </w:r>
          </w:p>
        </w:tc>
      </w:tr>
      <w:tr w:rsidR="00882514" w14:paraId="20282D2E" w14:textId="77777777" w:rsidTr="00EA09C7">
        <w:trPr>
          <w:trHeight w:val="364"/>
        </w:trPr>
        <w:tc>
          <w:tcPr>
            <w:tcW w:w="2760" w:type="dxa"/>
            <w:tcBorders>
              <w:top w:val="single" w:sz="4" w:space="0" w:color="FFFFFF"/>
              <w:left w:val="single" w:sz="4" w:space="0" w:color="FFFFFF"/>
              <w:bottom w:val="single" w:sz="4" w:space="0" w:color="FFFFFF"/>
              <w:right w:val="single" w:sz="4" w:space="0" w:color="FFFFFF"/>
            </w:tcBorders>
            <w:vAlign w:val="center"/>
          </w:tcPr>
          <w:p w14:paraId="29CA8655" w14:textId="77777777" w:rsidR="00882514" w:rsidRDefault="00882514" w:rsidP="00882514">
            <w:pPr>
              <w:spacing w:line="240" w:lineRule="auto"/>
              <w:ind w:left="-27" w:firstLine="367"/>
            </w:pPr>
            <w:r>
              <w:t>Gender</w:t>
            </w:r>
          </w:p>
        </w:tc>
        <w:tc>
          <w:tcPr>
            <w:tcW w:w="2712" w:type="dxa"/>
            <w:tcBorders>
              <w:top w:val="single" w:sz="4" w:space="0" w:color="FFFFFF"/>
              <w:left w:val="single" w:sz="4" w:space="0" w:color="FFFFFF"/>
              <w:bottom w:val="single" w:sz="4" w:space="0" w:color="FFFFFF"/>
              <w:right w:val="single" w:sz="4" w:space="0" w:color="FFFFFF"/>
            </w:tcBorders>
            <w:vAlign w:val="center"/>
          </w:tcPr>
          <w:p w14:paraId="59903462" w14:textId="77777777" w:rsidR="00882514" w:rsidRDefault="00882514" w:rsidP="00882514">
            <w:pPr>
              <w:tabs>
                <w:tab w:val="decimal" w:pos="451"/>
              </w:tabs>
              <w:spacing w:line="240" w:lineRule="auto"/>
            </w:pPr>
            <w:r>
              <w:t>-0.11 (0.04)**</w:t>
            </w:r>
          </w:p>
        </w:tc>
        <w:tc>
          <w:tcPr>
            <w:tcW w:w="2713" w:type="dxa"/>
            <w:tcBorders>
              <w:top w:val="single" w:sz="4" w:space="0" w:color="FFFFFF"/>
              <w:left w:val="single" w:sz="4" w:space="0" w:color="FFFFFF"/>
              <w:bottom w:val="single" w:sz="4" w:space="0" w:color="FFFFFF"/>
              <w:right w:val="single" w:sz="4" w:space="0" w:color="FFFFFF"/>
            </w:tcBorders>
            <w:vAlign w:val="center"/>
          </w:tcPr>
          <w:p w14:paraId="0C3674B6" w14:textId="77777777" w:rsidR="00882514" w:rsidRDefault="00882514" w:rsidP="00882514">
            <w:pPr>
              <w:tabs>
                <w:tab w:val="decimal" w:pos="631"/>
              </w:tabs>
              <w:spacing w:line="240" w:lineRule="auto"/>
            </w:pPr>
            <w:r>
              <w:t>-0.23 (0.07)**</w:t>
            </w:r>
          </w:p>
        </w:tc>
      </w:tr>
      <w:tr w:rsidR="00882514" w14:paraId="26AB9C8B" w14:textId="77777777" w:rsidTr="00EA09C7">
        <w:trPr>
          <w:trHeight w:val="49"/>
        </w:trPr>
        <w:tc>
          <w:tcPr>
            <w:tcW w:w="2760" w:type="dxa"/>
            <w:tcBorders>
              <w:top w:val="single" w:sz="4" w:space="0" w:color="FFFFFF"/>
              <w:left w:val="single" w:sz="4" w:space="0" w:color="FFFFFF"/>
              <w:bottom w:val="single" w:sz="4" w:space="0" w:color="FFFFFF"/>
              <w:right w:val="single" w:sz="4" w:space="0" w:color="FFFFFF"/>
            </w:tcBorders>
            <w:vAlign w:val="center"/>
          </w:tcPr>
          <w:p w14:paraId="405A06FE" w14:textId="77777777" w:rsidR="00882514" w:rsidRDefault="00882514" w:rsidP="00882514">
            <w:pPr>
              <w:spacing w:line="240" w:lineRule="auto"/>
              <w:ind w:left="-27" w:firstLine="367"/>
            </w:pPr>
            <w:r>
              <w:t>Education</w:t>
            </w:r>
          </w:p>
        </w:tc>
        <w:tc>
          <w:tcPr>
            <w:tcW w:w="2712" w:type="dxa"/>
            <w:tcBorders>
              <w:top w:val="single" w:sz="4" w:space="0" w:color="FFFFFF"/>
              <w:left w:val="single" w:sz="4" w:space="0" w:color="FFFFFF"/>
              <w:bottom w:val="single" w:sz="4" w:space="0" w:color="FFFFFF"/>
              <w:right w:val="single" w:sz="4" w:space="0" w:color="FFFFFF"/>
            </w:tcBorders>
            <w:vAlign w:val="center"/>
          </w:tcPr>
          <w:p w14:paraId="58CB0A79" w14:textId="77777777" w:rsidR="00882514" w:rsidRDefault="00882514" w:rsidP="00882514">
            <w:pPr>
              <w:tabs>
                <w:tab w:val="decimal" w:pos="451"/>
              </w:tabs>
              <w:spacing w:line="240" w:lineRule="auto"/>
            </w:pPr>
            <w:r>
              <w:t>-0.02 (0.01)*</w:t>
            </w:r>
          </w:p>
        </w:tc>
        <w:tc>
          <w:tcPr>
            <w:tcW w:w="2713" w:type="dxa"/>
            <w:tcBorders>
              <w:top w:val="single" w:sz="4" w:space="0" w:color="FFFFFF"/>
              <w:left w:val="single" w:sz="4" w:space="0" w:color="FFFFFF"/>
              <w:bottom w:val="single" w:sz="4" w:space="0" w:color="FFFFFF"/>
              <w:right w:val="single" w:sz="4" w:space="0" w:color="FFFFFF"/>
            </w:tcBorders>
            <w:vAlign w:val="center"/>
          </w:tcPr>
          <w:p w14:paraId="005DB9C0" w14:textId="77777777" w:rsidR="00882514" w:rsidRDefault="00882514" w:rsidP="00882514">
            <w:pPr>
              <w:tabs>
                <w:tab w:val="decimal" w:pos="631"/>
              </w:tabs>
              <w:spacing w:line="240" w:lineRule="auto"/>
            </w:pPr>
            <w:r>
              <w:t>0.06 (0.01)***</w:t>
            </w:r>
          </w:p>
        </w:tc>
      </w:tr>
      <w:tr w:rsidR="00882514" w14:paraId="325FC1FA" w14:textId="77777777" w:rsidTr="00EA09C7">
        <w:trPr>
          <w:trHeight w:val="151"/>
        </w:trPr>
        <w:tc>
          <w:tcPr>
            <w:tcW w:w="2760" w:type="dxa"/>
            <w:tcBorders>
              <w:top w:val="single" w:sz="4" w:space="0" w:color="FFFFFF"/>
              <w:left w:val="single" w:sz="4" w:space="0" w:color="FFFFFF"/>
              <w:bottom w:val="single" w:sz="4" w:space="0" w:color="FFFFFF"/>
              <w:right w:val="single" w:sz="4" w:space="0" w:color="FFFFFF"/>
            </w:tcBorders>
            <w:vAlign w:val="center"/>
          </w:tcPr>
          <w:p w14:paraId="20A15744" w14:textId="77777777" w:rsidR="00882514" w:rsidRDefault="00882514" w:rsidP="00882514">
            <w:pPr>
              <w:spacing w:line="240" w:lineRule="auto"/>
              <w:ind w:left="-27" w:firstLine="367"/>
            </w:pPr>
            <w:r>
              <w:t>Compensation</w:t>
            </w:r>
          </w:p>
        </w:tc>
        <w:tc>
          <w:tcPr>
            <w:tcW w:w="2712" w:type="dxa"/>
            <w:tcBorders>
              <w:top w:val="single" w:sz="4" w:space="0" w:color="FFFFFF"/>
              <w:left w:val="single" w:sz="4" w:space="0" w:color="FFFFFF"/>
              <w:bottom w:val="single" w:sz="4" w:space="0" w:color="FFFFFF"/>
              <w:right w:val="single" w:sz="4" w:space="0" w:color="FFFFFF"/>
            </w:tcBorders>
            <w:vAlign w:val="center"/>
          </w:tcPr>
          <w:p w14:paraId="689D9A9A" w14:textId="77777777" w:rsidR="00882514" w:rsidRDefault="00882514" w:rsidP="00882514">
            <w:pPr>
              <w:tabs>
                <w:tab w:val="decimal" w:pos="451"/>
              </w:tabs>
              <w:spacing w:line="240" w:lineRule="auto"/>
            </w:pPr>
            <w:r>
              <w:t>-0.03 (0.05)</w:t>
            </w:r>
          </w:p>
        </w:tc>
        <w:tc>
          <w:tcPr>
            <w:tcW w:w="2713" w:type="dxa"/>
            <w:tcBorders>
              <w:top w:val="single" w:sz="4" w:space="0" w:color="FFFFFF"/>
              <w:left w:val="single" w:sz="4" w:space="0" w:color="FFFFFF"/>
              <w:bottom w:val="single" w:sz="4" w:space="0" w:color="FFFFFF"/>
              <w:right w:val="single" w:sz="4" w:space="0" w:color="FFFFFF"/>
            </w:tcBorders>
            <w:vAlign w:val="center"/>
          </w:tcPr>
          <w:p w14:paraId="0140EA0E" w14:textId="77777777" w:rsidR="00882514" w:rsidRDefault="00882514" w:rsidP="00882514">
            <w:pPr>
              <w:tabs>
                <w:tab w:val="decimal" w:pos="631"/>
              </w:tabs>
              <w:spacing w:line="240" w:lineRule="auto"/>
            </w:pPr>
            <w:r>
              <w:t>0.13 (0.08)</w:t>
            </w:r>
          </w:p>
        </w:tc>
      </w:tr>
      <w:tr w:rsidR="00882514" w14:paraId="2C530A7D" w14:textId="77777777" w:rsidTr="00EA09C7">
        <w:trPr>
          <w:trHeight w:val="226"/>
        </w:trPr>
        <w:tc>
          <w:tcPr>
            <w:tcW w:w="2760" w:type="dxa"/>
            <w:tcBorders>
              <w:top w:val="single" w:sz="4" w:space="0" w:color="FFFFFF"/>
              <w:left w:val="single" w:sz="4" w:space="0" w:color="FFFFFF"/>
              <w:bottom w:val="single" w:sz="4" w:space="0" w:color="FFFFFF"/>
              <w:right w:val="single" w:sz="4" w:space="0" w:color="FFFFFF"/>
            </w:tcBorders>
            <w:vAlign w:val="center"/>
          </w:tcPr>
          <w:p w14:paraId="1EA151B7" w14:textId="77777777" w:rsidR="00882514" w:rsidRDefault="00882514" w:rsidP="00882514">
            <w:pPr>
              <w:spacing w:line="240" w:lineRule="auto"/>
              <w:ind w:left="-27" w:firstLine="367"/>
            </w:pPr>
            <w:r>
              <w:t>Condition: Ignorance</w:t>
            </w:r>
          </w:p>
        </w:tc>
        <w:tc>
          <w:tcPr>
            <w:tcW w:w="2712" w:type="dxa"/>
            <w:tcBorders>
              <w:top w:val="single" w:sz="4" w:space="0" w:color="FFFFFF"/>
              <w:left w:val="single" w:sz="4" w:space="0" w:color="FFFFFF"/>
              <w:bottom w:val="single" w:sz="4" w:space="0" w:color="FFFFFF"/>
              <w:right w:val="single" w:sz="4" w:space="0" w:color="FFFFFF"/>
            </w:tcBorders>
            <w:vAlign w:val="center"/>
          </w:tcPr>
          <w:p w14:paraId="2DC899CF" w14:textId="77777777" w:rsidR="00882514" w:rsidRDefault="00882514" w:rsidP="00882514">
            <w:pPr>
              <w:tabs>
                <w:tab w:val="decimal" w:pos="451"/>
              </w:tabs>
              <w:spacing w:line="240" w:lineRule="auto"/>
            </w:pPr>
            <w:r>
              <w:t>-1.29 (0.05)***</w:t>
            </w:r>
          </w:p>
        </w:tc>
        <w:tc>
          <w:tcPr>
            <w:tcW w:w="2713" w:type="dxa"/>
            <w:tcBorders>
              <w:top w:val="single" w:sz="4" w:space="0" w:color="FFFFFF"/>
              <w:left w:val="single" w:sz="4" w:space="0" w:color="FFFFFF"/>
              <w:bottom w:val="single" w:sz="4" w:space="0" w:color="FFFFFF"/>
              <w:right w:val="single" w:sz="4" w:space="0" w:color="FFFFFF"/>
            </w:tcBorders>
            <w:vAlign w:val="center"/>
          </w:tcPr>
          <w:p w14:paraId="03C15E80" w14:textId="77777777" w:rsidR="00882514" w:rsidRDefault="00882514" w:rsidP="00882514">
            <w:pPr>
              <w:tabs>
                <w:tab w:val="decimal" w:pos="631"/>
              </w:tabs>
              <w:spacing w:line="240" w:lineRule="auto"/>
            </w:pPr>
            <w:r>
              <w:t>-0.38 (0.08)***</w:t>
            </w:r>
          </w:p>
        </w:tc>
      </w:tr>
      <w:tr w:rsidR="00882514" w14:paraId="029F96AA" w14:textId="77777777" w:rsidTr="00EA09C7">
        <w:trPr>
          <w:trHeight w:val="226"/>
        </w:trPr>
        <w:tc>
          <w:tcPr>
            <w:tcW w:w="2760" w:type="dxa"/>
            <w:tcBorders>
              <w:top w:val="single" w:sz="4" w:space="0" w:color="FFFFFF"/>
              <w:left w:val="single" w:sz="4" w:space="0" w:color="FFFFFF"/>
              <w:bottom w:val="single" w:sz="4" w:space="0" w:color="FFFFFF"/>
              <w:right w:val="single" w:sz="4" w:space="0" w:color="FFFFFF"/>
            </w:tcBorders>
            <w:vAlign w:val="center"/>
          </w:tcPr>
          <w:p w14:paraId="08C61F2A" w14:textId="77777777" w:rsidR="00882514" w:rsidRDefault="00882514" w:rsidP="00882514">
            <w:pPr>
              <w:spacing w:line="240" w:lineRule="auto"/>
              <w:ind w:left="-27" w:firstLine="367"/>
            </w:pPr>
            <w:r>
              <w:t>Condition: Knowledge</w:t>
            </w:r>
          </w:p>
        </w:tc>
        <w:tc>
          <w:tcPr>
            <w:tcW w:w="2712" w:type="dxa"/>
            <w:tcBorders>
              <w:top w:val="single" w:sz="4" w:space="0" w:color="FFFFFF"/>
              <w:left w:val="single" w:sz="4" w:space="0" w:color="FFFFFF"/>
              <w:bottom w:val="single" w:sz="4" w:space="0" w:color="FFFFFF"/>
              <w:right w:val="single" w:sz="4" w:space="0" w:color="FFFFFF"/>
            </w:tcBorders>
            <w:vAlign w:val="center"/>
          </w:tcPr>
          <w:p w14:paraId="33A63D80" w14:textId="77777777" w:rsidR="00882514" w:rsidRDefault="00882514" w:rsidP="00882514">
            <w:pPr>
              <w:tabs>
                <w:tab w:val="decimal" w:pos="451"/>
              </w:tabs>
              <w:spacing w:line="240" w:lineRule="auto"/>
            </w:pPr>
            <w:r>
              <w:t>0.59 (0.05)***</w:t>
            </w:r>
          </w:p>
        </w:tc>
        <w:tc>
          <w:tcPr>
            <w:tcW w:w="2713" w:type="dxa"/>
            <w:tcBorders>
              <w:top w:val="single" w:sz="4" w:space="0" w:color="FFFFFF"/>
              <w:left w:val="single" w:sz="4" w:space="0" w:color="FFFFFF"/>
              <w:bottom w:val="single" w:sz="4" w:space="0" w:color="FFFFFF"/>
              <w:right w:val="single" w:sz="4" w:space="0" w:color="FFFFFF"/>
            </w:tcBorders>
            <w:vAlign w:val="center"/>
          </w:tcPr>
          <w:p w14:paraId="0B923247" w14:textId="77777777" w:rsidR="00882514" w:rsidRDefault="00882514" w:rsidP="00882514">
            <w:pPr>
              <w:tabs>
                <w:tab w:val="decimal" w:pos="631"/>
              </w:tabs>
              <w:spacing w:line="240" w:lineRule="auto"/>
            </w:pPr>
            <w:r>
              <w:t>0.44 (0.09)***</w:t>
            </w:r>
          </w:p>
        </w:tc>
      </w:tr>
      <w:tr w:rsidR="00882514" w14:paraId="1C80D364" w14:textId="77777777" w:rsidTr="00EA09C7">
        <w:trPr>
          <w:trHeight w:val="226"/>
        </w:trPr>
        <w:tc>
          <w:tcPr>
            <w:tcW w:w="2760" w:type="dxa"/>
            <w:tcBorders>
              <w:top w:val="single" w:sz="4" w:space="0" w:color="FFFFFF"/>
              <w:left w:val="single" w:sz="4" w:space="0" w:color="FFFFFF"/>
              <w:bottom w:val="single" w:sz="4" w:space="0" w:color="FFFFFF"/>
              <w:right w:val="single" w:sz="4" w:space="0" w:color="FFFFFF"/>
            </w:tcBorders>
            <w:vAlign w:val="center"/>
          </w:tcPr>
          <w:p w14:paraId="3F63B0D1" w14:textId="77777777" w:rsidR="00882514" w:rsidRDefault="00882514" w:rsidP="00882514">
            <w:pPr>
              <w:spacing w:line="240" w:lineRule="auto"/>
              <w:ind w:left="-27" w:firstLine="367"/>
            </w:pPr>
            <w:r>
              <w:t>Participant Source</w:t>
            </w:r>
          </w:p>
        </w:tc>
        <w:tc>
          <w:tcPr>
            <w:tcW w:w="2712" w:type="dxa"/>
            <w:tcBorders>
              <w:top w:val="single" w:sz="4" w:space="0" w:color="FFFFFF"/>
              <w:left w:val="single" w:sz="4" w:space="0" w:color="FFFFFF"/>
              <w:bottom w:val="single" w:sz="4" w:space="0" w:color="FFFFFF"/>
              <w:right w:val="single" w:sz="4" w:space="0" w:color="FFFFFF"/>
            </w:tcBorders>
            <w:vAlign w:val="center"/>
          </w:tcPr>
          <w:p w14:paraId="6E8314D5" w14:textId="77777777" w:rsidR="00882514" w:rsidRDefault="00882514" w:rsidP="00882514">
            <w:pPr>
              <w:tabs>
                <w:tab w:val="decimal" w:pos="451"/>
              </w:tabs>
              <w:spacing w:line="240" w:lineRule="auto"/>
            </w:pPr>
            <w:r>
              <w:t>0.32 (0.13)*</w:t>
            </w:r>
          </w:p>
        </w:tc>
        <w:tc>
          <w:tcPr>
            <w:tcW w:w="2713" w:type="dxa"/>
            <w:tcBorders>
              <w:top w:val="single" w:sz="4" w:space="0" w:color="FFFFFF"/>
              <w:left w:val="single" w:sz="4" w:space="0" w:color="FFFFFF"/>
              <w:bottom w:val="single" w:sz="4" w:space="0" w:color="FFFFFF"/>
              <w:right w:val="single" w:sz="4" w:space="0" w:color="FFFFFF"/>
            </w:tcBorders>
            <w:vAlign w:val="center"/>
          </w:tcPr>
          <w:p w14:paraId="35C332CE" w14:textId="77777777" w:rsidR="00882514" w:rsidRDefault="00882514" w:rsidP="00882514">
            <w:pPr>
              <w:tabs>
                <w:tab w:val="decimal" w:pos="631"/>
              </w:tabs>
              <w:spacing w:line="240" w:lineRule="auto"/>
            </w:pPr>
            <w:r>
              <w:t>1.39 (0.37)***</w:t>
            </w:r>
          </w:p>
        </w:tc>
      </w:tr>
      <w:tr w:rsidR="00882514" w14:paraId="5CB559A9" w14:textId="77777777" w:rsidTr="00EA09C7">
        <w:trPr>
          <w:trHeight w:val="226"/>
        </w:trPr>
        <w:tc>
          <w:tcPr>
            <w:tcW w:w="2760" w:type="dxa"/>
            <w:tcBorders>
              <w:top w:val="single" w:sz="4" w:space="0" w:color="FFFFFF"/>
              <w:left w:val="single" w:sz="4" w:space="0" w:color="FFFFFF"/>
              <w:bottom w:val="single" w:sz="4" w:space="0" w:color="FFFFFF"/>
              <w:right w:val="single" w:sz="4" w:space="0" w:color="FFFFFF"/>
            </w:tcBorders>
            <w:vAlign w:val="center"/>
          </w:tcPr>
          <w:p w14:paraId="153A72E8" w14:textId="77777777" w:rsidR="00882514" w:rsidRDefault="00882514" w:rsidP="00882514">
            <w:pPr>
              <w:spacing w:line="240" w:lineRule="auto"/>
              <w:ind w:left="-27" w:firstLine="367"/>
            </w:pPr>
            <w:r>
              <w:t>Source X Ignorance</w:t>
            </w:r>
          </w:p>
        </w:tc>
        <w:tc>
          <w:tcPr>
            <w:tcW w:w="2712" w:type="dxa"/>
            <w:tcBorders>
              <w:top w:val="single" w:sz="4" w:space="0" w:color="FFFFFF"/>
              <w:left w:val="single" w:sz="4" w:space="0" w:color="FFFFFF"/>
              <w:bottom w:val="single" w:sz="4" w:space="0" w:color="FFFFFF"/>
              <w:right w:val="single" w:sz="4" w:space="0" w:color="FFFFFF"/>
            </w:tcBorders>
            <w:vAlign w:val="center"/>
          </w:tcPr>
          <w:p w14:paraId="7E56DE02" w14:textId="77777777" w:rsidR="00882514" w:rsidRDefault="00882514" w:rsidP="00882514">
            <w:pPr>
              <w:tabs>
                <w:tab w:val="decimal" w:pos="451"/>
              </w:tabs>
              <w:spacing w:line="240" w:lineRule="auto"/>
            </w:pPr>
            <w:r>
              <w:t>-0.33 (0.19)</w:t>
            </w:r>
          </w:p>
        </w:tc>
        <w:tc>
          <w:tcPr>
            <w:tcW w:w="2713" w:type="dxa"/>
            <w:tcBorders>
              <w:top w:val="single" w:sz="4" w:space="0" w:color="FFFFFF"/>
              <w:left w:val="single" w:sz="4" w:space="0" w:color="FFFFFF"/>
              <w:bottom w:val="single" w:sz="4" w:space="0" w:color="FFFFFF"/>
              <w:right w:val="single" w:sz="4" w:space="0" w:color="FFFFFF"/>
            </w:tcBorders>
            <w:vAlign w:val="center"/>
          </w:tcPr>
          <w:p w14:paraId="658FE79D" w14:textId="77777777" w:rsidR="00882514" w:rsidRDefault="00882514" w:rsidP="00882514">
            <w:pPr>
              <w:tabs>
                <w:tab w:val="decimal" w:pos="631"/>
              </w:tabs>
              <w:spacing w:line="240" w:lineRule="auto"/>
            </w:pPr>
            <w:r>
              <w:t>-0.66 (0.43)</w:t>
            </w:r>
          </w:p>
        </w:tc>
      </w:tr>
      <w:tr w:rsidR="00882514" w14:paraId="71792C77" w14:textId="77777777" w:rsidTr="00EA09C7">
        <w:trPr>
          <w:trHeight w:val="226"/>
        </w:trPr>
        <w:tc>
          <w:tcPr>
            <w:tcW w:w="2760" w:type="dxa"/>
            <w:tcBorders>
              <w:top w:val="single" w:sz="4" w:space="0" w:color="FFFFFF"/>
              <w:left w:val="single" w:sz="4" w:space="0" w:color="FFFFFF"/>
              <w:bottom w:val="single" w:sz="4" w:space="0" w:color="FFFFFF"/>
              <w:right w:val="single" w:sz="4" w:space="0" w:color="FFFFFF"/>
            </w:tcBorders>
            <w:vAlign w:val="center"/>
          </w:tcPr>
          <w:p w14:paraId="343D8A40" w14:textId="77777777" w:rsidR="00882514" w:rsidRDefault="00882514" w:rsidP="00882514">
            <w:pPr>
              <w:spacing w:line="240" w:lineRule="auto"/>
              <w:ind w:left="-27" w:firstLine="367"/>
            </w:pPr>
            <w:r>
              <w:t>Source X Knowledge</w:t>
            </w:r>
          </w:p>
        </w:tc>
        <w:tc>
          <w:tcPr>
            <w:tcW w:w="2712" w:type="dxa"/>
            <w:tcBorders>
              <w:top w:val="single" w:sz="4" w:space="0" w:color="FFFFFF"/>
              <w:left w:val="single" w:sz="4" w:space="0" w:color="FFFFFF"/>
              <w:bottom w:val="single" w:sz="4" w:space="0" w:color="FFFFFF"/>
              <w:right w:val="single" w:sz="4" w:space="0" w:color="FFFFFF"/>
            </w:tcBorders>
            <w:vAlign w:val="center"/>
          </w:tcPr>
          <w:p w14:paraId="37ED9BA2" w14:textId="77777777" w:rsidR="00882514" w:rsidRDefault="00882514" w:rsidP="00882514">
            <w:pPr>
              <w:tabs>
                <w:tab w:val="decimal" w:pos="451"/>
              </w:tabs>
              <w:spacing w:line="240" w:lineRule="auto"/>
            </w:pPr>
            <w:r>
              <w:t>0.30 (0.17)</w:t>
            </w:r>
          </w:p>
        </w:tc>
        <w:tc>
          <w:tcPr>
            <w:tcW w:w="2713" w:type="dxa"/>
            <w:tcBorders>
              <w:top w:val="single" w:sz="4" w:space="0" w:color="FFFFFF"/>
              <w:left w:val="single" w:sz="4" w:space="0" w:color="FFFFFF"/>
              <w:bottom w:val="single" w:sz="4" w:space="0" w:color="FFFFFF"/>
              <w:right w:val="single" w:sz="4" w:space="0" w:color="FFFFFF"/>
            </w:tcBorders>
            <w:vAlign w:val="center"/>
          </w:tcPr>
          <w:p w14:paraId="31785C49" w14:textId="77777777" w:rsidR="00882514" w:rsidRDefault="00882514" w:rsidP="00882514">
            <w:pPr>
              <w:tabs>
                <w:tab w:val="decimal" w:pos="631"/>
              </w:tabs>
              <w:spacing w:line="240" w:lineRule="auto"/>
            </w:pPr>
            <w:r>
              <w:t>-0.44 (0.51)</w:t>
            </w:r>
          </w:p>
        </w:tc>
      </w:tr>
      <w:tr w:rsidR="00882514" w14:paraId="14467AE2" w14:textId="77777777" w:rsidTr="00EA09C7">
        <w:trPr>
          <w:trHeight w:val="216"/>
        </w:trPr>
        <w:tc>
          <w:tcPr>
            <w:tcW w:w="2760" w:type="dxa"/>
            <w:tcBorders>
              <w:top w:val="single" w:sz="4" w:space="0" w:color="FFFFFF"/>
              <w:left w:val="single" w:sz="4" w:space="0" w:color="FFFFFF"/>
              <w:bottom w:val="single" w:sz="4" w:space="0" w:color="FFFFFF"/>
              <w:right w:val="single" w:sz="4" w:space="0" w:color="FFFFFF"/>
            </w:tcBorders>
            <w:vAlign w:val="center"/>
          </w:tcPr>
          <w:p w14:paraId="50ABCA2A" w14:textId="77777777" w:rsidR="00882514" w:rsidRDefault="00882514" w:rsidP="00882514">
            <w:pPr>
              <w:spacing w:line="240" w:lineRule="auto"/>
            </w:pPr>
            <w:r>
              <w:t>Random Effects</w:t>
            </w:r>
          </w:p>
        </w:tc>
        <w:tc>
          <w:tcPr>
            <w:tcW w:w="2712" w:type="dxa"/>
            <w:tcBorders>
              <w:top w:val="single" w:sz="4" w:space="0" w:color="FFFFFF"/>
              <w:left w:val="single" w:sz="4" w:space="0" w:color="FFFFFF"/>
              <w:bottom w:val="single" w:sz="4" w:space="0" w:color="FFFFFF"/>
              <w:right w:val="single" w:sz="4" w:space="0" w:color="FFFFFF"/>
            </w:tcBorders>
            <w:vAlign w:val="center"/>
          </w:tcPr>
          <w:p w14:paraId="69778DB0" w14:textId="77777777" w:rsidR="00882514" w:rsidRDefault="00882514" w:rsidP="00882514">
            <w:pPr>
              <w:tabs>
                <w:tab w:val="decimal" w:pos="451"/>
              </w:tabs>
              <w:spacing w:line="240" w:lineRule="auto"/>
            </w:pPr>
          </w:p>
        </w:tc>
        <w:tc>
          <w:tcPr>
            <w:tcW w:w="2713" w:type="dxa"/>
            <w:tcBorders>
              <w:top w:val="single" w:sz="4" w:space="0" w:color="FFFFFF"/>
              <w:left w:val="single" w:sz="4" w:space="0" w:color="FFFFFF"/>
              <w:bottom w:val="single" w:sz="4" w:space="0" w:color="FFFFFF"/>
              <w:right w:val="single" w:sz="4" w:space="0" w:color="FFFFFF"/>
            </w:tcBorders>
            <w:vAlign w:val="center"/>
          </w:tcPr>
          <w:p w14:paraId="2A839060" w14:textId="77777777" w:rsidR="00882514" w:rsidRDefault="00882514" w:rsidP="00882514">
            <w:pPr>
              <w:tabs>
                <w:tab w:val="decimal" w:pos="631"/>
              </w:tabs>
              <w:spacing w:line="240" w:lineRule="auto"/>
            </w:pPr>
          </w:p>
        </w:tc>
      </w:tr>
      <w:tr w:rsidR="00882514" w14:paraId="01657727" w14:textId="77777777" w:rsidTr="00EA09C7">
        <w:trPr>
          <w:trHeight w:val="226"/>
        </w:trPr>
        <w:tc>
          <w:tcPr>
            <w:tcW w:w="2760" w:type="dxa"/>
            <w:tcBorders>
              <w:top w:val="single" w:sz="4" w:space="0" w:color="FFFFFF"/>
              <w:left w:val="single" w:sz="4" w:space="0" w:color="FFFFFF"/>
              <w:bottom w:val="single" w:sz="4" w:space="0" w:color="FFFFFF"/>
              <w:right w:val="single" w:sz="4" w:space="0" w:color="FFFFFF"/>
            </w:tcBorders>
            <w:vAlign w:val="center"/>
          </w:tcPr>
          <w:p w14:paraId="6EE4F8EE" w14:textId="77777777" w:rsidR="00882514" w:rsidRDefault="00882514" w:rsidP="00882514">
            <w:pPr>
              <w:spacing w:line="240" w:lineRule="auto"/>
              <w:ind w:firstLine="340"/>
            </w:pPr>
            <w:r>
              <w:t>Site</w:t>
            </w:r>
          </w:p>
        </w:tc>
        <w:tc>
          <w:tcPr>
            <w:tcW w:w="2712" w:type="dxa"/>
            <w:tcBorders>
              <w:top w:val="single" w:sz="4" w:space="0" w:color="FFFFFF"/>
              <w:left w:val="single" w:sz="4" w:space="0" w:color="FFFFFF"/>
              <w:bottom w:val="single" w:sz="4" w:space="0" w:color="FFFFFF"/>
              <w:right w:val="single" w:sz="4" w:space="0" w:color="FFFFFF"/>
            </w:tcBorders>
            <w:vAlign w:val="center"/>
          </w:tcPr>
          <w:p w14:paraId="612EB194" w14:textId="77777777" w:rsidR="00882514" w:rsidRDefault="00882514" w:rsidP="00882514">
            <w:pPr>
              <w:tabs>
                <w:tab w:val="decimal" w:pos="451"/>
              </w:tabs>
              <w:spacing w:line="240" w:lineRule="auto"/>
            </w:pPr>
            <w:r>
              <w:t>&lt; 0.001</w:t>
            </w:r>
          </w:p>
        </w:tc>
        <w:tc>
          <w:tcPr>
            <w:tcW w:w="2713" w:type="dxa"/>
            <w:tcBorders>
              <w:top w:val="single" w:sz="4" w:space="0" w:color="FFFFFF"/>
              <w:left w:val="single" w:sz="4" w:space="0" w:color="FFFFFF"/>
              <w:bottom w:val="single" w:sz="4" w:space="0" w:color="FFFFFF"/>
              <w:right w:val="single" w:sz="4" w:space="0" w:color="FFFFFF"/>
            </w:tcBorders>
            <w:vAlign w:val="center"/>
          </w:tcPr>
          <w:p w14:paraId="575F62FD" w14:textId="77777777" w:rsidR="00882514" w:rsidRDefault="00882514" w:rsidP="00882514">
            <w:pPr>
              <w:tabs>
                <w:tab w:val="decimal" w:pos="631"/>
              </w:tabs>
              <w:spacing w:line="240" w:lineRule="auto"/>
            </w:pPr>
            <w:r>
              <w:t>0.049</w:t>
            </w:r>
          </w:p>
        </w:tc>
      </w:tr>
      <w:tr w:rsidR="00882514" w14:paraId="6D8486CC" w14:textId="77777777" w:rsidTr="00EA09C7">
        <w:trPr>
          <w:trHeight w:val="226"/>
        </w:trPr>
        <w:tc>
          <w:tcPr>
            <w:tcW w:w="2760" w:type="dxa"/>
            <w:tcBorders>
              <w:top w:val="single" w:sz="4" w:space="0" w:color="FFFFFF"/>
              <w:left w:val="single" w:sz="4" w:space="0" w:color="FFFFFF"/>
              <w:bottom w:val="single" w:sz="4" w:space="0" w:color="FFFFFF"/>
              <w:right w:val="single" w:sz="4" w:space="0" w:color="FFFFFF"/>
            </w:tcBorders>
            <w:vAlign w:val="center"/>
          </w:tcPr>
          <w:p w14:paraId="2C98D495" w14:textId="77777777" w:rsidR="00882514" w:rsidRDefault="00882514" w:rsidP="00882514">
            <w:pPr>
              <w:spacing w:line="240" w:lineRule="auto"/>
              <w:ind w:firstLine="340"/>
            </w:pPr>
            <w:r>
              <w:t xml:space="preserve">Participant </w:t>
            </w:r>
          </w:p>
        </w:tc>
        <w:tc>
          <w:tcPr>
            <w:tcW w:w="2712" w:type="dxa"/>
            <w:tcBorders>
              <w:top w:val="single" w:sz="4" w:space="0" w:color="FFFFFF"/>
              <w:left w:val="single" w:sz="4" w:space="0" w:color="FFFFFF"/>
              <w:bottom w:val="single" w:sz="4" w:space="0" w:color="FFFFFF"/>
              <w:right w:val="single" w:sz="4" w:space="0" w:color="FFFFFF"/>
            </w:tcBorders>
            <w:vAlign w:val="center"/>
          </w:tcPr>
          <w:p w14:paraId="7E20218E" w14:textId="77777777" w:rsidR="00882514" w:rsidRDefault="00882514" w:rsidP="00882514">
            <w:pPr>
              <w:tabs>
                <w:tab w:val="decimal" w:pos="451"/>
              </w:tabs>
              <w:spacing w:line="240" w:lineRule="auto"/>
            </w:pPr>
            <w:r>
              <w:t>&lt; 0.001</w:t>
            </w:r>
          </w:p>
        </w:tc>
        <w:tc>
          <w:tcPr>
            <w:tcW w:w="2713" w:type="dxa"/>
            <w:tcBorders>
              <w:top w:val="single" w:sz="4" w:space="0" w:color="FFFFFF"/>
              <w:left w:val="single" w:sz="4" w:space="0" w:color="FFFFFF"/>
              <w:bottom w:val="single" w:sz="4" w:space="0" w:color="FFFFFF"/>
              <w:right w:val="single" w:sz="4" w:space="0" w:color="FFFFFF"/>
            </w:tcBorders>
            <w:vAlign w:val="center"/>
          </w:tcPr>
          <w:p w14:paraId="31B45097" w14:textId="77777777" w:rsidR="00882514" w:rsidRDefault="00882514" w:rsidP="00882514">
            <w:pPr>
              <w:tabs>
                <w:tab w:val="decimal" w:pos="631"/>
              </w:tabs>
              <w:spacing w:line="240" w:lineRule="auto"/>
            </w:pPr>
            <w:r>
              <w:t>&lt; 0.001</w:t>
            </w:r>
          </w:p>
        </w:tc>
      </w:tr>
      <w:tr w:rsidR="00882514" w14:paraId="40783C9D" w14:textId="77777777" w:rsidTr="00EA09C7">
        <w:trPr>
          <w:trHeight w:val="226"/>
        </w:trPr>
        <w:tc>
          <w:tcPr>
            <w:tcW w:w="2760" w:type="dxa"/>
            <w:tcBorders>
              <w:top w:val="single" w:sz="4" w:space="0" w:color="FFFFFF"/>
              <w:left w:val="single" w:sz="4" w:space="0" w:color="FFFFFF"/>
              <w:bottom w:val="single" w:sz="8" w:space="0" w:color="auto"/>
              <w:right w:val="single" w:sz="4" w:space="0" w:color="FFFFFF"/>
            </w:tcBorders>
            <w:vAlign w:val="center"/>
          </w:tcPr>
          <w:p w14:paraId="10342710" w14:textId="77777777" w:rsidR="00882514" w:rsidRDefault="00882514" w:rsidP="00882514">
            <w:pPr>
              <w:spacing w:line="240" w:lineRule="auto"/>
              <w:ind w:firstLine="340"/>
            </w:pPr>
            <w:r>
              <w:t>Vignette</w:t>
            </w:r>
          </w:p>
        </w:tc>
        <w:tc>
          <w:tcPr>
            <w:tcW w:w="2712" w:type="dxa"/>
            <w:tcBorders>
              <w:top w:val="single" w:sz="4" w:space="0" w:color="FFFFFF"/>
              <w:left w:val="single" w:sz="4" w:space="0" w:color="FFFFFF"/>
              <w:bottom w:val="single" w:sz="8" w:space="0" w:color="auto"/>
              <w:right w:val="single" w:sz="4" w:space="0" w:color="FFFFFF"/>
            </w:tcBorders>
            <w:vAlign w:val="center"/>
          </w:tcPr>
          <w:p w14:paraId="3BCB5A78" w14:textId="77777777" w:rsidR="00882514" w:rsidRDefault="00882514" w:rsidP="00882514">
            <w:pPr>
              <w:tabs>
                <w:tab w:val="decimal" w:pos="451"/>
              </w:tabs>
              <w:spacing w:line="240" w:lineRule="auto"/>
            </w:pPr>
            <w:r>
              <w:t>0.670</w:t>
            </w:r>
          </w:p>
        </w:tc>
        <w:tc>
          <w:tcPr>
            <w:tcW w:w="2713" w:type="dxa"/>
            <w:tcBorders>
              <w:top w:val="single" w:sz="4" w:space="0" w:color="FFFFFF"/>
              <w:left w:val="single" w:sz="4" w:space="0" w:color="FFFFFF"/>
              <w:bottom w:val="single" w:sz="8" w:space="0" w:color="auto"/>
              <w:right w:val="single" w:sz="4" w:space="0" w:color="FFFFFF"/>
            </w:tcBorders>
            <w:vAlign w:val="center"/>
          </w:tcPr>
          <w:p w14:paraId="035A7647" w14:textId="77777777" w:rsidR="00882514" w:rsidRDefault="00882514" w:rsidP="00882514">
            <w:pPr>
              <w:tabs>
                <w:tab w:val="decimal" w:pos="631"/>
              </w:tabs>
              <w:spacing w:line="240" w:lineRule="auto"/>
            </w:pPr>
            <w:r>
              <w:t>0.278</w:t>
            </w:r>
          </w:p>
        </w:tc>
      </w:tr>
      <w:tr w:rsidR="00882514" w14:paraId="6C990131" w14:textId="77777777" w:rsidTr="00EA09C7">
        <w:trPr>
          <w:trHeight w:val="226"/>
        </w:trPr>
        <w:tc>
          <w:tcPr>
            <w:tcW w:w="2760" w:type="dxa"/>
            <w:tcBorders>
              <w:top w:val="single" w:sz="8" w:space="0" w:color="auto"/>
              <w:left w:val="single" w:sz="4" w:space="0" w:color="FFFFFF"/>
              <w:right w:val="single" w:sz="4" w:space="0" w:color="FFFFFF"/>
            </w:tcBorders>
            <w:vAlign w:val="center"/>
          </w:tcPr>
          <w:p w14:paraId="5FBA1D10" w14:textId="77777777" w:rsidR="00882514" w:rsidRDefault="00882514" w:rsidP="00882514">
            <w:pPr>
              <w:spacing w:line="240" w:lineRule="auto"/>
            </w:pPr>
            <w:r>
              <w:t>AIC</w:t>
            </w:r>
          </w:p>
        </w:tc>
        <w:tc>
          <w:tcPr>
            <w:tcW w:w="2712" w:type="dxa"/>
            <w:tcBorders>
              <w:top w:val="single" w:sz="8" w:space="0" w:color="auto"/>
              <w:left w:val="single" w:sz="4" w:space="0" w:color="FFFFFF"/>
              <w:right w:val="single" w:sz="4" w:space="0" w:color="FFFFFF"/>
            </w:tcBorders>
            <w:vAlign w:val="center"/>
          </w:tcPr>
          <w:p w14:paraId="01F9DA57" w14:textId="77777777" w:rsidR="00882514" w:rsidRDefault="00882514" w:rsidP="00882514">
            <w:pPr>
              <w:tabs>
                <w:tab w:val="left" w:pos="631"/>
              </w:tabs>
              <w:spacing w:line="240" w:lineRule="auto"/>
            </w:pPr>
            <w:r>
              <w:t>15850.16</w:t>
            </w:r>
          </w:p>
        </w:tc>
        <w:tc>
          <w:tcPr>
            <w:tcW w:w="2713" w:type="dxa"/>
            <w:tcBorders>
              <w:top w:val="single" w:sz="8" w:space="0" w:color="auto"/>
              <w:left w:val="single" w:sz="4" w:space="0" w:color="FFFFFF"/>
              <w:right w:val="single" w:sz="4" w:space="0" w:color="FFFFFF"/>
            </w:tcBorders>
            <w:vAlign w:val="center"/>
          </w:tcPr>
          <w:p w14:paraId="6939E1D1" w14:textId="77777777" w:rsidR="00882514" w:rsidRDefault="00882514" w:rsidP="00882514">
            <w:pPr>
              <w:tabs>
                <w:tab w:val="decimal" w:pos="631"/>
              </w:tabs>
              <w:spacing w:line="240" w:lineRule="auto"/>
            </w:pPr>
            <w:r>
              <w:t>7017.37</w:t>
            </w:r>
          </w:p>
        </w:tc>
      </w:tr>
    </w:tbl>
    <w:p w14:paraId="44CFA5B8" w14:textId="77777777" w:rsidR="00882514" w:rsidRDefault="00882514" w:rsidP="00882514">
      <w:pPr>
        <w:spacing w:line="240" w:lineRule="auto"/>
      </w:pPr>
      <w:r>
        <w:rPr>
          <w:i/>
        </w:rPr>
        <w:t>Note</w:t>
      </w:r>
      <w:r>
        <w:t xml:space="preserve">. Estimates and their standard errors, in parentheses where applicable, are provided for each variable in the model. Positive values suggest increased likelihood of knowledge attributions or reasonableness judgments. Source was coded with lab participants as the comparison group. For condition, the comparison group was Gettier. Full model statistics can be found at </w:t>
      </w:r>
      <w:hyperlink r:id="rId22">
        <w:r>
          <w:rPr>
            <w:color w:val="1155CC"/>
            <w:u w:val="single"/>
          </w:rPr>
          <w:t>https://osf.io/8ut6e/</w:t>
        </w:r>
      </w:hyperlink>
      <w:r>
        <w:t xml:space="preserve"> in the analysis folder. </w:t>
      </w:r>
    </w:p>
    <w:p w14:paraId="6D15537D" w14:textId="77777777" w:rsidR="00882514" w:rsidRDefault="00882514" w:rsidP="00882514">
      <w:pPr>
        <w:spacing w:line="240" w:lineRule="auto"/>
        <w:rPr>
          <w:color w:val="000000"/>
        </w:rPr>
      </w:pPr>
      <w:r>
        <w:t xml:space="preserve">* </w:t>
      </w:r>
      <w:r>
        <w:rPr>
          <w:i/>
        </w:rPr>
        <w:t>p</w:t>
      </w:r>
      <w:r>
        <w:t xml:space="preserve"> &lt; .05; ** </w:t>
      </w:r>
      <w:r>
        <w:rPr>
          <w:i/>
        </w:rPr>
        <w:t>p</w:t>
      </w:r>
      <w:r>
        <w:t xml:space="preserve"> &lt; .01; *** </w:t>
      </w:r>
      <w:r>
        <w:rPr>
          <w:i/>
        </w:rPr>
        <w:t>p</w:t>
      </w:r>
      <w:r>
        <w:t xml:space="preserve"> &lt; .001</w:t>
      </w:r>
      <w:bookmarkStart w:id="35" w:name="_mckhjduk5chp" w:colFirst="0" w:colLast="0"/>
      <w:bookmarkEnd w:id="35"/>
    </w:p>
    <w:p w14:paraId="3C3E1856" w14:textId="77777777" w:rsidR="00882514" w:rsidRDefault="00882514">
      <w:pPr>
        <w:pStyle w:val="Heading2"/>
        <w:rPr>
          <w:color w:val="000000"/>
        </w:rPr>
      </w:pPr>
    </w:p>
    <w:p w14:paraId="01AB8AE4" w14:textId="119C8244" w:rsidR="00E03554" w:rsidRDefault="00DF0CFA">
      <w:pPr>
        <w:pStyle w:val="Heading2"/>
        <w:rPr>
          <w:color w:val="000000"/>
        </w:rPr>
      </w:pPr>
      <w:r>
        <w:rPr>
          <w:color w:val="000000"/>
        </w:rPr>
        <w:t>Exploratory Analyses</w:t>
      </w:r>
    </w:p>
    <w:p w14:paraId="2CFBF4EB" w14:textId="77777777" w:rsidR="00E03554" w:rsidRDefault="00DF0CFA">
      <w:pPr>
        <w:spacing w:after="160"/>
        <w:ind w:firstLine="720"/>
      </w:pPr>
      <w:r>
        <w:t>In addition to the hypotheses and research questions outlined in the approved protocol, we conducted additional exploratory analyses to examine three additional research questions and assess the influence of original measurement characteristics (binary vs. continuous).</w:t>
      </w:r>
    </w:p>
    <w:p w14:paraId="58EF95AB" w14:textId="77777777" w:rsidR="00E03554" w:rsidRDefault="00DF0CFA">
      <w:pPr>
        <w:pStyle w:val="Heading3"/>
        <w:rPr>
          <w:color w:val="000000"/>
        </w:rPr>
      </w:pPr>
      <w:bookmarkStart w:id="36" w:name="_phd8th40i46j" w:colFirst="0" w:colLast="0"/>
      <w:bookmarkEnd w:id="36"/>
      <w:r>
        <w:rPr>
          <w:color w:val="000000"/>
        </w:rPr>
        <w:lastRenderedPageBreak/>
        <w:t>“Direct” Replication Analysis</w:t>
      </w:r>
    </w:p>
    <w:p w14:paraId="7A4D97BC" w14:textId="77777777" w:rsidR="00E03554" w:rsidRDefault="00DF0CFA">
      <w:pPr>
        <w:rPr>
          <w:rFonts w:ascii="Helvetica Neue" w:eastAsia="Helvetica Neue" w:hAnsi="Helvetica Neue" w:cs="Helvetica Neue"/>
          <w:color w:val="333333"/>
          <w:sz w:val="25"/>
          <w:szCs w:val="25"/>
        </w:rPr>
      </w:pPr>
      <w:r>
        <w:tab/>
        <w:t xml:space="preserve">As previously explained, the design of our study substantially differed from that of </w:t>
      </w:r>
      <w:proofErr w:type="spellStart"/>
      <w:r>
        <w:t>Turri</w:t>
      </w:r>
      <w:proofErr w:type="spellEnd"/>
      <w:r>
        <w:t xml:space="preserve"> et al. (2015, Experiment 1). Rather than encountering one of three conditions of the Darrel/squirrel vignette, our participants viewed three conditions matched with three vignettes in a within-subjects design. Perhaps our observation of a Gettier intuition effect, which was not found in the original experiment, can be explained by these methodological changes. To explore this possibility, we compared the knowledge attribution rates of participants who viewed the Darrel vignette first (</w:t>
      </w:r>
      <w:r>
        <w:rPr>
          <w:i/>
        </w:rPr>
        <w:t xml:space="preserve">n = </w:t>
      </w:r>
      <w:r>
        <w:t xml:space="preserve">2538) in an analysis devised to closely approximate </w:t>
      </w:r>
      <w:proofErr w:type="spellStart"/>
      <w:r>
        <w:t>Turri</w:t>
      </w:r>
      <w:proofErr w:type="spellEnd"/>
      <w:r>
        <w:t xml:space="preserve"> et al.’s original test.</w:t>
      </w:r>
      <w:r>
        <w:rPr>
          <w:vertAlign w:val="superscript"/>
        </w:rPr>
        <w:footnoteReference w:id="13"/>
      </w:r>
      <w:r>
        <w:t xml:space="preserve"> Overall, participants attributed knowledge at different rates according to condition χ</w:t>
      </w:r>
      <w:r>
        <w:rPr>
          <w:vertAlign w:val="superscript"/>
        </w:rPr>
        <w:t>2</w:t>
      </w:r>
      <w:r>
        <w:t xml:space="preserve">(2) = 252.57, </w:t>
      </w:r>
      <w:r>
        <w:rPr>
          <w:i/>
        </w:rPr>
        <w:t>p</w:t>
      </w:r>
      <w:r>
        <w:t xml:space="preserve"> &lt; .001, </w:t>
      </w:r>
      <w:proofErr w:type="spellStart"/>
      <w:r>
        <w:t>Cramér’s</w:t>
      </w:r>
      <w:proofErr w:type="spellEnd"/>
      <w:r>
        <w:t xml:space="preserve"> </w:t>
      </w:r>
      <w:r>
        <w:rPr>
          <w:i/>
        </w:rPr>
        <w:t>V</w:t>
      </w:r>
      <w:r>
        <w:t xml:space="preserve"> = .34, 95% CI [.30, .38], and the pattern of effects mirrored those of our primary analysis. Participants responding to the Gettier condition were more likely to attribute knowledge to Darrel (p̂ </w:t>
      </w:r>
      <w:proofErr w:type="gramStart"/>
      <w:r>
        <w:t>=  .</w:t>
      </w:r>
      <w:proofErr w:type="gramEnd"/>
      <w:r>
        <w:t>59) than those responding to the ignorance condition (p̂ = .32), χ</w:t>
      </w:r>
      <w:r>
        <w:rPr>
          <w:vertAlign w:val="superscript"/>
        </w:rPr>
        <w:t>2</w:t>
      </w:r>
      <w:r>
        <w:t xml:space="preserve">(1) = 103.61, </w:t>
      </w:r>
      <w:r>
        <w:rPr>
          <w:i/>
        </w:rPr>
        <w:t>p</w:t>
      </w:r>
      <w:r>
        <w:t xml:space="preserve"> &lt; .001, </w:t>
      </w:r>
      <w:proofErr w:type="spellStart"/>
      <w:r>
        <w:t>Cramér’s</w:t>
      </w:r>
      <w:proofErr w:type="spellEnd"/>
      <w:r>
        <w:t xml:space="preserve"> </w:t>
      </w:r>
      <w:r>
        <w:rPr>
          <w:i/>
        </w:rPr>
        <w:t>V</w:t>
      </w:r>
      <w:r>
        <w:t xml:space="preserve"> = .26, 95% CI [.22, .32]. However, participants were </w:t>
      </w:r>
      <w:r>
        <w:rPr>
          <w:i/>
        </w:rPr>
        <w:t xml:space="preserve">less </w:t>
      </w:r>
      <w:r>
        <w:t>likely to attribute knowledge in response to the Gettier condition vignette than to the knowledge condition vignette (p̂ = 0.72</w:t>
      </w:r>
      <w:proofErr w:type="gramStart"/>
      <w:r>
        <w:t>),  χ</w:t>
      </w:r>
      <w:proofErr w:type="gramEnd"/>
      <w:r>
        <w:rPr>
          <w:vertAlign w:val="superscript"/>
        </w:rPr>
        <w:t>2</w:t>
      </w:r>
      <w:r>
        <w:t xml:space="preserve">(1) = 30.48, </w:t>
      </w:r>
      <w:r>
        <w:rPr>
          <w:i/>
        </w:rPr>
        <w:t>p</w:t>
      </w:r>
      <w:r>
        <w:t xml:space="preserve"> &lt; .001, </w:t>
      </w:r>
      <w:proofErr w:type="spellStart"/>
      <w:r>
        <w:t>Cramér’s</w:t>
      </w:r>
      <w:proofErr w:type="spellEnd"/>
      <w:r>
        <w:t xml:space="preserve"> </w:t>
      </w:r>
      <w:r>
        <w:rPr>
          <w:i/>
        </w:rPr>
        <w:t>V</w:t>
      </w:r>
      <w:r>
        <w:t xml:space="preserve"> = .14, 95% CI [.10, .20]. Thus, this analysis provided further evidence for Gettier intuitions despite more closely approximating </w:t>
      </w:r>
      <w:proofErr w:type="spellStart"/>
      <w:r>
        <w:t>Turri’s</w:t>
      </w:r>
      <w:proofErr w:type="spellEnd"/>
      <w:r>
        <w:t xml:space="preserve"> original test than our planned analysis.</w:t>
      </w:r>
    </w:p>
    <w:p w14:paraId="0DC3069A" w14:textId="77777777" w:rsidR="00E03554" w:rsidRDefault="00DF0CFA">
      <w:pPr>
        <w:pStyle w:val="Heading3"/>
        <w:rPr>
          <w:color w:val="000000"/>
        </w:rPr>
      </w:pPr>
      <w:bookmarkStart w:id="37" w:name="_ibhjfv96wggc" w:colFirst="0" w:colLast="0"/>
      <w:bookmarkEnd w:id="37"/>
      <w:r>
        <w:rPr>
          <w:color w:val="000000"/>
        </w:rPr>
        <w:t>Luck Attributions</w:t>
      </w:r>
    </w:p>
    <w:p w14:paraId="0DE10CCD" w14:textId="77777777" w:rsidR="00E03554" w:rsidRDefault="00DF0CFA">
      <w:pPr>
        <w:spacing w:after="160"/>
        <w:ind w:firstLine="720"/>
        <w:sectPr w:rsidR="00E03554">
          <w:pgSz w:w="12240" w:h="15840"/>
          <w:pgMar w:top="1440" w:right="1440" w:bottom="1440" w:left="1440" w:header="720" w:footer="720" w:gutter="0"/>
          <w:cols w:space="720"/>
        </w:sectPr>
      </w:pPr>
      <w:r>
        <w:t xml:space="preserve">Attributions of luck were predicted in a series of multilevel logistic regressions models. These models were fit in the same fashion as the models focused on the two dependent variables, with one notable difference: observations where the participant did not correctly answer the first </w:t>
      </w:r>
      <w:r>
        <w:lastRenderedPageBreak/>
        <w:t>part of our two-part luck attribution measure were excluded. That is, the luck versus ability attributions that followed incorrect identification responses were excluded from analyses (</w:t>
      </w:r>
      <w:r>
        <w:rPr>
          <w:i/>
        </w:rPr>
        <w:t>n</w:t>
      </w:r>
      <w:r>
        <w:t xml:space="preserve"> = 952; 6.58%). See Table 11 for summary of Models 1-6A. Compared to the baseline intercept-only model (Model 1, AIC = 11269.61), a model with a random intercept for vignette (Model 2, AIC = 10613.78) explained more variance. The likelihood that outcomes were attributed to luck varied according to vignette (Pseudo-</w:t>
      </w:r>
      <w:r>
        <w:rPr>
          <w:i/>
        </w:rPr>
        <w:t>R</w:t>
      </w:r>
      <w:r>
        <w:rPr>
          <w:vertAlign w:val="superscript"/>
        </w:rPr>
        <w:t>2</w:t>
      </w:r>
      <w:r>
        <w:t xml:space="preserve"> = .08 to .09). While the Darrel vignette produced more attributions to ability than luck, the Emma vignette produced more attributions to luck than ability (see Table 12).</w:t>
      </w:r>
    </w:p>
    <w:p w14:paraId="0DB4D98F" w14:textId="77777777" w:rsidR="00E03554" w:rsidRDefault="00DF0CFA">
      <w:pPr>
        <w:widowControl w:val="0"/>
        <w:rPr>
          <w:b/>
        </w:rPr>
      </w:pPr>
      <w:r>
        <w:rPr>
          <w:b/>
        </w:rPr>
        <w:lastRenderedPageBreak/>
        <w:t xml:space="preserve">Table 11 </w:t>
      </w:r>
    </w:p>
    <w:p w14:paraId="6E0B088E" w14:textId="77777777" w:rsidR="00E03554" w:rsidRDefault="00DF0CFA">
      <w:pPr>
        <w:widowControl w:val="0"/>
        <w:spacing w:before="240" w:after="240"/>
        <w:rPr>
          <w:i/>
        </w:rPr>
      </w:pPr>
      <w:r>
        <w:rPr>
          <w:i/>
        </w:rPr>
        <w:t>Luck/(in)ability Attribution Model Summaries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45"/>
        <w:gridCol w:w="1531"/>
        <w:gridCol w:w="1531"/>
        <w:gridCol w:w="1531"/>
        <w:gridCol w:w="1531"/>
        <w:gridCol w:w="1531"/>
        <w:gridCol w:w="1531"/>
        <w:gridCol w:w="1524"/>
      </w:tblGrid>
      <w:tr w:rsidR="00882514" w14:paraId="0E52AD43" w14:textId="77777777" w:rsidTr="00EA09C7">
        <w:trPr>
          <w:trHeight w:val="240"/>
        </w:trPr>
        <w:tc>
          <w:tcPr>
            <w:tcW w:w="866" w:type="pct"/>
            <w:vMerge w:val="restart"/>
            <w:tcBorders>
              <w:left w:val="single" w:sz="4" w:space="0" w:color="FFFFFF"/>
              <w:right w:val="nil"/>
            </w:tcBorders>
            <w:vAlign w:val="center"/>
          </w:tcPr>
          <w:p w14:paraId="5ADCBE8C" w14:textId="77777777" w:rsidR="00882514" w:rsidRPr="006E5A03" w:rsidRDefault="00882514" w:rsidP="00882514">
            <w:pPr>
              <w:spacing w:line="240" w:lineRule="auto"/>
              <w:rPr>
                <w:b/>
                <w:sz w:val="22"/>
                <w:szCs w:val="22"/>
              </w:rPr>
            </w:pPr>
            <w:r w:rsidRPr="006E5A03">
              <w:rPr>
                <w:b/>
                <w:sz w:val="22"/>
                <w:szCs w:val="22"/>
              </w:rPr>
              <w:t>Parameter Estimate or Statistic (SE)</w:t>
            </w:r>
          </w:p>
        </w:tc>
        <w:tc>
          <w:tcPr>
            <w:tcW w:w="4134" w:type="pct"/>
            <w:gridSpan w:val="7"/>
            <w:tcBorders>
              <w:top w:val="single" w:sz="8" w:space="0" w:color="auto"/>
              <w:left w:val="nil"/>
              <w:bottom w:val="single" w:sz="8" w:space="0" w:color="auto"/>
              <w:right w:val="nil"/>
            </w:tcBorders>
            <w:vAlign w:val="center"/>
          </w:tcPr>
          <w:p w14:paraId="6186E02B" w14:textId="77777777" w:rsidR="00882514" w:rsidRPr="006E5A03" w:rsidRDefault="00882514" w:rsidP="00882514">
            <w:pPr>
              <w:spacing w:line="240" w:lineRule="auto"/>
              <w:jc w:val="center"/>
              <w:rPr>
                <w:b/>
                <w:sz w:val="22"/>
                <w:szCs w:val="22"/>
              </w:rPr>
            </w:pPr>
            <w:r w:rsidRPr="006E5A03">
              <w:rPr>
                <w:b/>
                <w:sz w:val="22"/>
                <w:szCs w:val="22"/>
              </w:rPr>
              <w:t>Model</w:t>
            </w:r>
          </w:p>
        </w:tc>
      </w:tr>
      <w:tr w:rsidR="00882514" w14:paraId="620FE91B" w14:textId="77777777" w:rsidTr="00EA09C7">
        <w:trPr>
          <w:trHeight w:val="240"/>
        </w:trPr>
        <w:tc>
          <w:tcPr>
            <w:tcW w:w="866" w:type="pct"/>
            <w:vMerge/>
            <w:tcBorders>
              <w:left w:val="single" w:sz="4" w:space="0" w:color="FFFFFF"/>
              <w:right w:val="nil"/>
            </w:tcBorders>
            <w:vAlign w:val="center"/>
          </w:tcPr>
          <w:p w14:paraId="14CD9C70" w14:textId="77777777" w:rsidR="00882514" w:rsidRPr="006E5A03" w:rsidRDefault="00882514" w:rsidP="00882514">
            <w:pPr>
              <w:spacing w:line="240" w:lineRule="auto"/>
              <w:rPr>
                <w:b/>
                <w:sz w:val="22"/>
                <w:szCs w:val="22"/>
              </w:rPr>
            </w:pPr>
          </w:p>
        </w:tc>
        <w:tc>
          <w:tcPr>
            <w:tcW w:w="591" w:type="pct"/>
            <w:tcBorders>
              <w:top w:val="single" w:sz="8" w:space="0" w:color="auto"/>
              <w:left w:val="nil"/>
              <w:bottom w:val="single" w:sz="8" w:space="0" w:color="auto"/>
              <w:right w:val="nil"/>
            </w:tcBorders>
            <w:vAlign w:val="center"/>
          </w:tcPr>
          <w:p w14:paraId="2EF737E6" w14:textId="77777777" w:rsidR="00882514" w:rsidRPr="006E5A03" w:rsidRDefault="00882514" w:rsidP="00882514">
            <w:pPr>
              <w:spacing w:line="240" w:lineRule="auto"/>
              <w:jc w:val="center"/>
              <w:rPr>
                <w:b/>
                <w:sz w:val="22"/>
                <w:szCs w:val="22"/>
              </w:rPr>
            </w:pPr>
            <w:r w:rsidRPr="006E5A03">
              <w:rPr>
                <w:b/>
                <w:sz w:val="22"/>
                <w:szCs w:val="22"/>
              </w:rPr>
              <w:t>1</w:t>
            </w:r>
          </w:p>
        </w:tc>
        <w:tc>
          <w:tcPr>
            <w:tcW w:w="591" w:type="pct"/>
            <w:tcBorders>
              <w:top w:val="single" w:sz="8" w:space="0" w:color="auto"/>
              <w:left w:val="nil"/>
              <w:bottom w:val="single" w:sz="8" w:space="0" w:color="auto"/>
              <w:right w:val="nil"/>
            </w:tcBorders>
            <w:vAlign w:val="center"/>
          </w:tcPr>
          <w:p w14:paraId="5D2849C5" w14:textId="77777777" w:rsidR="00882514" w:rsidRPr="006E5A03" w:rsidRDefault="00882514" w:rsidP="00882514">
            <w:pPr>
              <w:spacing w:line="240" w:lineRule="auto"/>
              <w:jc w:val="center"/>
              <w:rPr>
                <w:b/>
                <w:sz w:val="22"/>
                <w:szCs w:val="22"/>
              </w:rPr>
            </w:pPr>
            <w:r w:rsidRPr="006E5A03">
              <w:rPr>
                <w:b/>
                <w:sz w:val="22"/>
                <w:szCs w:val="22"/>
              </w:rPr>
              <w:t>2</w:t>
            </w:r>
          </w:p>
        </w:tc>
        <w:tc>
          <w:tcPr>
            <w:tcW w:w="591" w:type="pct"/>
            <w:tcBorders>
              <w:top w:val="single" w:sz="8" w:space="0" w:color="auto"/>
              <w:left w:val="nil"/>
              <w:bottom w:val="single" w:sz="8" w:space="0" w:color="auto"/>
              <w:right w:val="nil"/>
            </w:tcBorders>
            <w:vAlign w:val="center"/>
          </w:tcPr>
          <w:p w14:paraId="6DA2F4E3" w14:textId="77777777" w:rsidR="00882514" w:rsidRPr="006E5A03" w:rsidRDefault="00882514" w:rsidP="00882514">
            <w:pPr>
              <w:tabs>
                <w:tab w:val="decimal" w:pos="217"/>
              </w:tabs>
              <w:spacing w:line="240" w:lineRule="auto"/>
              <w:jc w:val="center"/>
              <w:rPr>
                <w:b/>
                <w:sz w:val="22"/>
                <w:szCs w:val="22"/>
              </w:rPr>
            </w:pPr>
            <w:r w:rsidRPr="006E5A03">
              <w:rPr>
                <w:b/>
                <w:sz w:val="22"/>
                <w:szCs w:val="22"/>
              </w:rPr>
              <w:t>3</w:t>
            </w:r>
          </w:p>
        </w:tc>
        <w:tc>
          <w:tcPr>
            <w:tcW w:w="591" w:type="pct"/>
            <w:tcBorders>
              <w:top w:val="single" w:sz="8" w:space="0" w:color="auto"/>
              <w:left w:val="nil"/>
              <w:bottom w:val="single" w:sz="8" w:space="0" w:color="auto"/>
              <w:right w:val="nil"/>
            </w:tcBorders>
            <w:vAlign w:val="center"/>
          </w:tcPr>
          <w:p w14:paraId="1F999F01" w14:textId="77777777" w:rsidR="00882514" w:rsidRPr="006E5A03" w:rsidRDefault="00882514" w:rsidP="00882514">
            <w:pPr>
              <w:spacing w:line="240" w:lineRule="auto"/>
              <w:jc w:val="center"/>
              <w:rPr>
                <w:b/>
                <w:sz w:val="22"/>
                <w:szCs w:val="22"/>
              </w:rPr>
            </w:pPr>
            <w:r w:rsidRPr="006E5A03">
              <w:rPr>
                <w:b/>
                <w:sz w:val="22"/>
                <w:szCs w:val="22"/>
              </w:rPr>
              <w:t>4</w:t>
            </w:r>
          </w:p>
        </w:tc>
        <w:tc>
          <w:tcPr>
            <w:tcW w:w="591" w:type="pct"/>
            <w:tcBorders>
              <w:top w:val="single" w:sz="8" w:space="0" w:color="auto"/>
              <w:left w:val="nil"/>
              <w:bottom w:val="single" w:sz="8" w:space="0" w:color="auto"/>
              <w:right w:val="nil"/>
            </w:tcBorders>
            <w:vAlign w:val="center"/>
          </w:tcPr>
          <w:p w14:paraId="6375AAA0" w14:textId="77777777" w:rsidR="00882514" w:rsidRPr="006E5A03" w:rsidRDefault="00882514" w:rsidP="00882514">
            <w:pPr>
              <w:spacing w:line="240" w:lineRule="auto"/>
              <w:jc w:val="center"/>
              <w:rPr>
                <w:b/>
                <w:sz w:val="22"/>
                <w:szCs w:val="22"/>
              </w:rPr>
            </w:pPr>
            <w:r w:rsidRPr="006E5A03">
              <w:rPr>
                <w:b/>
                <w:sz w:val="22"/>
                <w:szCs w:val="22"/>
              </w:rPr>
              <w:t>5</w:t>
            </w:r>
          </w:p>
        </w:tc>
        <w:tc>
          <w:tcPr>
            <w:tcW w:w="591" w:type="pct"/>
            <w:tcBorders>
              <w:top w:val="single" w:sz="8" w:space="0" w:color="auto"/>
              <w:left w:val="nil"/>
              <w:bottom w:val="single" w:sz="8" w:space="0" w:color="auto"/>
              <w:right w:val="nil"/>
            </w:tcBorders>
            <w:vAlign w:val="center"/>
          </w:tcPr>
          <w:p w14:paraId="341F9DFB" w14:textId="77777777" w:rsidR="00882514" w:rsidRPr="006E5A03" w:rsidRDefault="00882514" w:rsidP="00882514">
            <w:pPr>
              <w:spacing w:line="240" w:lineRule="auto"/>
              <w:jc w:val="center"/>
              <w:rPr>
                <w:b/>
                <w:sz w:val="22"/>
                <w:szCs w:val="22"/>
              </w:rPr>
            </w:pPr>
            <w:r w:rsidRPr="006E5A03">
              <w:rPr>
                <w:b/>
                <w:sz w:val="22"/>
                <w:szCs w:val="22"/>
              </w:rPr>
              <w:t>6</w:t>
            </w:r>
          </w:p>
        </w:tc>
        <w:tc>
          <w:tcPr>
            <w:tcW w:w="588" w:type="pct"/>
            <w:tcBorders>
              <w:top w:val="single" w:sz="8" w:space="0" w:color="auto"/>
              <w:left w:val="nil"/>
              <w:bottom w:val="single" w:sz="8" w:space="0" w:color="auto"/>
              <w:right w:val="nil"/>
            </w:tcBorders>
            <w:vAlign w:val="center"/>
          </w:tcPr>
          <w:p w14:paraId="3BFC8891" w14:textId="77777777" w:rsidR="00882514" w:rsidRPr="006E5A03" w:rsidRDefault="00882514" w:rsidP="00882514">
            <w:pPr>
              <w:spacing w:line="240" w:lineRule="auto"/>
              <w:jc w:val="center"/>
              <w:rPr>
                <w:b/>
                <w:sz w:val="22"/>
                <w:szCs w:val="22"/>
              </w:rPr>
            </w:pPr>
            <w:r w:rsidRPr="006E5A03">
              <w:rPr>
                <w:b/>
                <w:sz w:val="22"/>
                <w:szCs w:val="22"/>
              </w:rPr>
              <w:t>6A</w:t>
            </w:r>
          </w:p>
        </w:tc>
      </w:tr>
      <w:tr w:rsidR="00882514" w14:paraId="672721FF" w14:textId="77777777" w:rsidTr="00EA09C7">
        <w:trPr>
          <w:trHeight w:val="220"/>
        </w:trPr>
        <w:tc>
          <w:tcPr>
            <w:tcW w:w="866" w:type="pct"/>
            <w:tcBorders>
              <w:left w:val="single" w:sz="4" w:space="0" w:color="FFFFFF"/>
              <w:bottom w:val="single" w:sz="4" w:space="0" w:color="FFFFFF"/>
              <w:right w:val="single" w:sz="4" w:space="0" w:color="FFFFFF"/>
            </w:tcBorders>
            <w:vAlign w:val="center"/>
          </w:tcPr>
          <w:p w14:paraId="176EA720" w14:textId="77777777" w:rsidR="00882514" w:rsidRDefault="00882514" w:rsidP="00882514">
            <w:pPr>
              <w:spacing w:line="240" w:lineRule="auto"/>
              <w:rPr>
                <w:sz w:val="20"/>
                <w:szCs w:val="20"/>
              </w:rPr>
            </w:pPr>
            <w:r>
              <w:rPr>
                <w:sz w:val="20"/>
                <w:szCs w:val="20"/>
              </w:rPr>
              <w:t>Fixed Effects</w:t>
            </w:r>
          </w:p>
        </w:tc>
        <w:tc>
          <w:tcPr>
            <w:tcW w:w="591" w:type="pct"/>
            <w:tcBorders>
              <w:top w:val="single" w:sz="8" w:space="0" w:color="auto"/>
              <w:left w:val="single" w:sz="4" w:space="0" w:color="FFFFFF"/>
              <w:bottom w:val="single" w:sz="4" w:space="0" w:color="FFFFFF"/>
              <w:right w:val="single" w:sz="4" w:space="0" w:color="FFFFFF"/>
            </w:tcBorders>
            <w:vAlign w:val="center"/>
          </w:tcPr>
          <w:p w14:paraId="0B0E22D6" w14:textId="77777777" w:rsidR="00882514" w:rsidRDefault="00882514" w:rsidP="00882514">
            <w:pPr>
              <w:spacing w:line="240" w:lineRule="auto"/>
              <w:jc w:val="center"/>
              <w:rPr>
                <w:sz w:val="20"/>
                <w:szCs w:val="20"/>
              </w:rPr>
            </w:pPr>
          </w:p>
        </w:tc>
        <w:tc>
          <w:tcPr>
            <w:tcW w:w="591" w:type="pct"/>
            <w:tcBorders>
              <w:top w:val="single" w:sz="8" w:space="0" w:color="auto"/>
              <w:left w:val="single" w:sz="4" w:space="0" w:color="FFFFFF"/>
              <w:bottom w:val="single" w:sz="4" w:space="0" w:color="FFFFFF"/>
              <w:right w:val="single" w:sz="4" w:space="0" w:color="FFFFFF"/>
            </w:tcBorders>
            <w:vAlign w:val="center"/>
          </w:tcPr>
          <w:p w14:paraId="385B25AA" w14:textId="77777777" w:rsidR="00882514" w:rsidRDefault="00882514" w:rsidP="00882514">
            <w:pPr>
              <w:tabs>
                <w:tab w:val="decimal" w:pos="429"/>
              </w:tabs>
              <w:spacing w:line="240" w:lineRule="auto"/>
              <w:jc w:val="center"/>
              <w:rPr>
                <w:sz w:val="20"/>
                <w:szCs w:val="20"/>
              </w:rPr>
            </w:pPr>
          </w:p>
        </w:tc>
        <w:tc>
          <w:tcPr>
            <w:tcW w:w="591" w:type="pct"/>
            <w:tcBorders>
              <w:top w:val="single" w:sz="8" w:space="0" w:color="auto"/>
              <w:left w:val="single" w:sz="4" w:space="0" w:color="FFFFFF"/>
              <w:bottom w:val="single" w:sz="4" w:space="0" w:color="FFFFFF"/>
              <w:right w:val="single" w:sz="4" w:space="0" w:color="FFFFFF"/>
            </w:tcBorders>
            <w:vAlign w:val="center"/>
          </w:tcPr>
          <w:p w14:paraId="1BC0ADE5" w14:textId="77777777" w:rsidR="00882514" w:rsidRDefault="00882514" w:rsidP="00882514">
            <w:pPr>
              <w:tabs>
                <w:tab w:val="decimal" w:pos="217"/>
              </w:tabs>
              <w:spacing w:line="240" w:lineRule="auto"/>
              <w:jc w:val="center"/>
              <w:rPr>
                <w:sz w:val="20"/>
                <w:szCs w:val="20"/>
              </w:rPr>
            </w:pPr>
          </w:p>
        </w:tc>
        <w:tc>
          <w:tcPr>
            <w:tcW w:w="591" w:type="pct"/>
            <w:tcBorders>
              <w:top w:val="single" w:sz="8" w:space="0" w:color="auto"/>
              <w:left w:val="single" w:sz="4" w:space="0" w:color="FFFFFF"/>
              <w:bottom w:val="single" w:sz="4" w:space="0" w:color="FFFFFF"/>
              <w:right w:val="single" w:sz="4" w:space="0" w:color="FFFFFF"/>
            </w:tcBorders>
            <w:vAlign w:val="center"/>
          </w:tcPr>
          <w:p w14:paraId="49DBFA70" w14:textId="77777777" w:rsidR="00882514" w:rsidRDefault="00882514" w:rsidP="00882514">
            <w:pPr>
              <w:spacing w:line="240" w:lineRule="auto"/>
              <w:jc w:val="center"/>
              <w:rPr>
                <w:sz w:val="20"/>
                <w:szCs w:val="20"/>
              </w:rPr>
            </w:pPr>
          </w:p>
        </w:tc>
        <w:tc>
          <w:tcPr>
            <w:tcW w:w="591" w:type="pct"/>
            <w:tcBorders>
              <w:top w:val="single" w:sz="8" w:space="0" w:color="auto"/>
              <w:left w:val="single" w:sz="4" w:space="0" w:color="FFFFFF"/>
              <w:bottom w:val="single" w:sz="4" w:space="0" w:color="FFFFFF"/>
              <w:right w:val="single" w:sz="4" w:space="0" w:color="FFFFFF"/>
            </w:tcBorders>
            <w:vAlign w:val="center"/>
          </w:tcPr>
          <w:p w14:paraId="17238922" w14:textId="77777777" w:rsidR="00882514" w:rsidRDefault="00882514" w:rsidP="00882514">
            <w:pPr>
              <w:spacing w:line="240" w:lineRule="auto"/>
              <w:jc w:val="center"/>
              <w:rPr>
                <w:sz w:val="20"/>
                <w:szCs w:val="20"/>
              </w:rPr>
            </w:pPr>
          </w:p>
        </w:tc>
        <w:tc>
          <w:tcPr>
            <w:tcW w:w="591" w:type="pct"/>
            <w:tcBorders>
              <w:top w:val="single" w:sz="8" w:space="0" w:color="auto"/>
              <w:left w:val="single" w:sz="4" w:space="0" w:color="FFFFFF"/>
              <w:bottom w:val="single" w:sz="4" w:space="0" w:color="FFFFFF"/>
              <w:right w:val="single" w:sz="4" w:space="0" w:color="FFFFFF"/>
            </w:tcBorders>
            <w:vAlign w:val="center"/>
          </w:tcPr>
          <w:p w14:paraId="4950AD26" w14:textId="77777777" w:rsidR="00882514" w:rsidRDefault="00882514" w:rsidP="00882514">
            <w:pPr>
              <w:spacing w:line="240" w:lineRule="auto"/>
              <w:jc w:val="center"/>
              <w:rPr>
                <w:sz w:val="20"/>
                <w:szCs w:val="20"/>
              </w:rPr>
            </w:pPr>
          </w:p>
        </w:tc>
        <w:tc>
          <w:tcPr>
            <w:tcW w:w="588" w:type="pct"/>
            <w:tcBorders>
              <w:top w:val="single" w:sz="8" w:space="0" w:color="auto"/>
              <w:left w:val="single" w:sz="4" w:space="0" w:color="FFFFFF"/>
              <w:bottom w:val="single" w:sz="4" w:space="0" w:color="FFFFFF"/>
              <w:right w:val="single" w:sz="4" w:space="0" w:color="FFFFFF"/>
            </w:tcBorders>
            <w:vAlign w:val="center"/>
          </w:tcPr>
          <w:p w14:paraId="370F75CE" w14:textId="77777777" w:rsidR="00882514" w:rsidRDefault="00882514" w:rsidP="00882514">
            <w:pPr>
              <w:tabs>
                <w:tab w:val="decimal" w:pos="265"/>
              </w:tabs>
              <w:spacing w:line="240" w:lineRule="auto"/>
              <w:jc w:val="both"/>
              <w:rPr>
                <w:sz w:val="20"/>
                <w:szCs w:val="20"/>
              </w:rPr>
            </w:pPr>
          </w:p>
        </w:tc>
      </w:tr>
      <w:tr w:rsidR="00882514" w14:paraId="42A950D0" w14:textId="77777777" w:rsidTr="00EA09C7">
        <w:trPr>
          <w:trHeight w:val="230"/>
        </w:trPr>
        <w:tc>
          <w:tcPr>
            <w:tcW w:w="866" w:type="pct"/>
            <w:tcBorders>
              <w:top w:val="single" w:sz="4" w:space="0" w:color="FFFFFF"/>
              <w:left w:val="single" w:sz="4" w:space="0" w:color="FFFFFF"/>
              <w:bottom w:val="single" w:sz="4" w:space="0" w:color="FFFFFF"/>
              <w:right w:val="single" w:sz="4" w:space="0" w:color="FFFFFF"/>
            </w:tcBorders>
            <w:vAlign w:val="center"/>
          </w:tcPr>
          <w:p w14:paraId="63501C62" w14:textId="77777777" w:rsidR="00882514" w:rsidRDefault="00882514" w:rsidP="00882514">
            <w:pPr>
              <w:spacing w:line="240" w:lineRule="auto"/>
              <w:ind w:left="-27" w:firstLine="186"/>
              <w:rPr>
                <w:sz w:val="20"/>
                <w:szCs w:val="20"/>
              </w:rPr>
            </w:pPr>
            <w:r>
              <w:rPr>
                <w:sz w:val="20"/>
                <w:szCs w:val="20"/>
              </w:rPr>
              <w:t>Intercept</w:t>
            </w:r>
          </w:p>
        </w:tc>
        <w:tc>
          <w:tcPr>
            <w:tcW w:w="591" w:type="pct"/>
            <w:tcBorders>
              <w:top w:val="single" w:sz="4" w:space="0" w:color="FFFFFF"/>
              <w:left w:val="single" w:sz="4" w:space="0" w:color="FFFFFF"/>
              <w:bottom w:val="single" w:sz="4" w:space="0" w:color="FFFFFF"/>
              <w:right w:val="single" w:sz="4" w:space="0" w:color="FFFFFF"/>
            </w:tcBorders>
            <w:vAlign w:val="center"/>
          </w:tcPr>
          <w:p w14:paraId="135DD942" w14:textId="77777777" w:rsidR="00882514" w:rsidRPr="006E5A03" w:rsidRDefault="00882514" w:rsidP="00882514">
            <w:pPr>
              <w:spacing w:line="240" w:lineRule="auto"/>
              <w:jc w:val="center"/>
              <w:rPr>
                <w:sz w:val="20"/>
                <w:szCs w:val="20"/>
              </w:rPr>
            </w:pPr>
            <w:r w:rsidRPr="006E5A03">
              <w:rPr>
                <w:sz w:val="20"/>
                <w:szCs w:val="20"/>
              </w:rPr>
              <w:t>-0.04 (0.02)*</w:t>
            </w:r>
          </w:p>
        </w:tc>
        <w:tc>
          <w:tcPr>
            <w:tcW w:w="591" w:type="pct"/>
            <w:tcBorders>
              <w:top w:val="single" w:sz="4" w:space="0" w:color="FFFFFF"/>
              <w:left w:val="single" w:sz="4" w:space="0" w:color="FFFFFF"/>
              <w:bottom w:val="single" w:sz="4" w:space="0" w:color="FFFFFF"/>
              <w:right w:val="single" w:sz="4" w:space="0" w:color="FFFFFF"/>
            </w:tcBorders>
            <w:vAlign w:val="center"/>
          </w:tcPr>
          <w:p w14:paraId="126483E8" w14:textId="77777777" w:rsidR="00882514" w:rsidRPr="006E5A03" w:rsidRDefault="00882514" w:rsidP="00882514">
            <w:pPr>
              <w:tabs>
                <w:tab w:val="decimal" w:pos="429"/>
              </w:tabs>
              <w:spacing w:line="240" w:lineRule="auto"/>
              <w:rPr>
                <w:sz w:val="20"/>
                <w:szCs w:val="20"/>
              </w:rPr>
            </w:pPr>
            <w:r w:rsidRPr="006E5A03">
              <w:rPr>
                <w:sz w:val="20"/>
                <w:szCs w:val="20"/>
              </w:rPr>
              <w:t>-0.04 (0.34)</w:t>
            </w:r>
          </w:p>
        </w:tc>
        <w:tc>
          <w:tcPr>
            <w:tcW w:w="591" w:type="pct"/>
            <w:tcBorders>
              <w:top w:val="single" w:sz="4" w:space="0" w:color="FFFFFF"/>
              <w:left w:val="single" w:sz="4" w:space="0" w:color="FFFFFF"/>
              <w:bottom w:val="single" w:sz="4" w:space="0" w:color="FFFFFF"/>
              <w:right w:val="single" w:sz="4" w:space="0" w:color="FFFFFF"/>
            </w:tcBorders>
            <w:vAlign w:val="center"/>
          </w:tcPr>
          <w:p w14:paraId="35252756" w14:textId="77777777" w:rsidR="00882514" w:rsidRPr="006E5A03" w:rsidRDefault="00882514" w:rsidP="00882514">
            <w:pPr>
              <w:tabs>
                <w:tab w:val="decimal" w:pos="523"/>
              </w:tabs>
              <w:spacing w:line="240" w:lineRule="auto"/>
              <w:rPr>
                <w:sz w:val="20"/>
                <w:szCs w:val="20"/>
              </w:rPr>
            </w:pPr>
            <w:r w:rsidRPr="006E5A03">
              <w:rPr>
                <w:sz w:val="20"/>
                <w:szCs w:val="20"/>
              </w:rPr>
              <w:t>-0.04 (0.34)</w:t>
            </w:r>
          </w:p>
        </w:tc>
        <w:tc>
          <w:tcPr>
            <w:tcW w:w="591" w:type="pct"/>
            <w:tcBorders>
              <w:top w:val="single" w:sz="4" w:space="0" w:color="FFFFFF"/>
              <w:left w:val="single" w:sz="4" w:space="0" w:color="FFFFFF"/>
              <w:bottom w:val="single" w:sz="4" w:space="0" w:color="FFFFFF"/>
              <w:right w:val="single" w:sz="4" w:space="0" w:color="FFFFFF"/>
            </w:tcBorders>
            <w:vAlign w:val="center"/>
          </w:tcPr>
          <w:p w14:paraId="6D62CFBA" w14:textId="77777777" w:rsidR="00882514" w:rsidRPr="006E5A03" w:rsidRDefault="00882514" w:rsidP="00882514">
            <w:pPr>
              <w:tabs>
                <w:tab w:val="decimal" w:pos="431"/>
              </w:tabs>
              <w:spacing w:line="240" w:lineRule="auto"/>
              <w:rPr>
                <w:sz w:val="20"/>
                <w:szCs w:val="20"/>
              </w:rPr>
            </w:pPr>
            <w:r w:rsidRPr="006E5A03">
              <w:rPr>
                <w:sz w:val="20"/>
                <w:szCs w:val="20"/>
              </w:rPr>
              <w:t>-0.04 (0.34)</w:t>
            </w:r>
          </w:p>
        </w:tc>
        <w:tc>
          <w:tcPr>
            <w:tcW w:w="591" w:type="pct"/>
            <w:tcBorders>
              <w:top w:val="single" w:sz="4" w:space="0" w:color="FFFFFF"/>
              <w:left w:val="single" w:sz="4" w:space="0" w:color="FFFFFF"/>
              <w:bottom w:val="single" w:sz="4" w:space="0" w:color="FFFFFF"/>
              <w:right w:val="single" w:sz="4" w:space="0" w:color="FFFFFF"/>
            </w:tcBorders>
            <w:vAlign w:val="center"/>
          </w:tcPr>
          <w:p w14:paraId="02C80956" w14:textId="77777777" w:rsidR="00882514" w:rsidRPr="006E5A03" w:rsidRDefault="00882514" w:rsidP="00882514">
            <w:pPr>
              <w:tabs>
                <w:tab w:val="decimal" w:pos="248"/>
              </w:tabs>
              <w:spacing w:line="240" w:lineRule="auto"/>
              <w:rPr>
                <w:sz w:val="20"/>
                <w:szCs w:val="20"/>
              </w:rPr>
            </w:pPr>
            <w:r w:rsidRPr="006E5A03">
              <w:rPr>
                <w:sz w:val="20"/>
                <w:szCs w:val="20"/>
              </w:rPr>
              <w:t>0.40 (0.36)</w:t>
            </w:r>
          </w:p>
        </w:tc>
        <w:tc>
          <w:tcPr>
            <w:tcW w:w="591" w:type="pct"/>
            <w:tcBorders>
              <w:top w:val="single" w:sz="4" w:space="0" w:color="FFFFFF"/>
              <w:left w:val="single" w:sz="4" w:space="0" w:color="FFFFFF"/>
              <w:bottom w:val="single" w:sz="4" w:space="0" w:color="FFFFFF"/>
              <w:right w:val="single" w:sz="4" w:space="0" w:color="FFFFFF"/>
            </w:tcBorders>
            <w:vAlign w:val="center"/>
          </w:tcPr>
          <w:p w14:paraId="4F1AD7F9" w14:textId="77777777" w:rsidR="00882514" w:rsidRPr="006E5A03" w:rsidRDefault="00882514" w:rsidP="00882514">
            <w:pPr>
              <w:tabs>
                <w:tab w:val="decimal" w:pos="172"/>
              </w:tabs>
              <w:spacing w:line="240" w:lineRule="auto"/>
              <w:rPr>
                <w:sz w:val="20"/>
                <w:szCs w:val="20"/>
              </w:rPr>
            </w:pPr>
            <w:r w:rsidRPr="006E5A03">
              <w:rPr>
                <w:sz w:val="20"/>
                <w:szCs w:val="20"/>
              </w:rPr>
              <w:t>-0.25 (0.37)</w:t>
            </w:r>
          </w:p>
        </w:tc>
        <w:tc>
          <w:tcPr>
            <w:tcW w:w="588" w:type="pct"/>
            <w:tcBorders>
              <w:top w:val="single" w:sz="4" w:space="0" w:color="FFFFFF"/>
              <w:left w:val="single" w:sz="4" w:space="0" w:color="FFFFFF"/>
              <w:bottom w:val="single" w:sz="4" w:space="0" w:color="FFFFFF"/>
              <w:right w:val="single" w:sz="4" w:space="0" w:color="FFFFFF"/>
            </w:tcBorders>
            <w:vAlign w:val="center"/>
          </w:tcPr>
          <w:p w14:paraId="53DC39FC" w14:textId="77777777" w:rsidR="00882514" w:rsidRPr="006E5A03" w:rsidRDefault="00882514" w:rsidP="00882514">
            <w:pPr>
              <w:tabs>
                <w:tab w:val="decimal" w:pos="250"/>
              </w:tabs>
              <w:spacing w:line="240" w:lineRule="auto"/>
              <w:jc w:val="both"/>
              <w:rPr>
                <w:sz w:val="20"/>
                <w:szCs w:val="20"/>
              </w:rPr>
            </w:pPr>
            <w:r w:rsidRPr="006E5A03">
              <w:rPr>
                <w:sz w:val="20"/>
                <w:szCs w:val="20"/>
              </w:rPr>
              <w:t>0.91 (0.13)***</w:t>
            </w:r>
          </w:p>
        </w:tc>
      </w:tr>
      <w:tr w:rsidR="00882514" w14:paraId="322F912F" w14:textId="77777777" w:rsidTr="00EA09C7">
        <w:trPr>
          <w:trHeight w:val="230"/>
        </w:trPr>
        <w:tc>
          <w:tcPr>
            <w:tcW w:w="866" w:type="pct"/>
            <w:tcBorders>
              <w:top w:val="single" w:sz="4" w:space="0" w:color="FFFFFF"/>
              <w:left w:val="single" w:sz="4" w:space="0" w:color="FFFFFF"/>
              <w:bottom w:val="single" w:sz="4" w:space="0" w:color="FFFFFF"/>
              <w:right w:val="single" w:sz="4" w:space="0" w:color="FFFFFF"/>
            </w:tcBorders>
            <w:vAlign w:val="center"/>
          </w:tcPr>
          <w:p w14:paraId="748E145A" w14:textId="77777777" w:rsidR="00882514" w:rsidRDefault="00882514" w:rsidP="00882514">
            <w:pPr>
              <w:spacing w:line="240" w:lineRule="auto"/>
              <w:ind w:left="-27" w:firstLine="186"/>
              <w:rPr>
                <w:sz w:val="20"/>
                <w:szCs w:val="20"/>
              </w:rPr>
            </w:pPr>
            <w:r>
              <w:rPr>
                <w:sz w:val="20"/>
                <w:szCs w:val="20"/>
              </w:rPr>
              <w:t>Age</w:t>
            </w:r>
          </w:p>
        </w:tc>
        <w:tc>
          <w:tcPr>
            <w:tcW w:w="591" w:type="pct"/>
            <w:tcBorders>
              <w:top w:val="single" w:sz="4" w:space="0" w:color="FFFFFF"/>
              <w:left w:val="single" w:sz="4" w:space="0" w:color="FFFFFF"/>
              <w:bottom w:val="single" w:sz="4" w:space="0" w:color="FFFFFF"/>
              <w:right w:val="single" w:sz="4" w:space="0" w:color="FFFFFF"/>
            </w:tcBorders>
            <w:vAlign w:val="center"/>
          </w:tcPr>
          <w:p w14:paraId="09AFA3E7" w14:textId="77777777" w:rsidR="00882514" w:rsidRPr="006E5A03" w:rsidRDefault="00882514" w:rsidP="00882514">
            <w:pPr>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322F9B47" w14:textId="77777777" w:rsidR="00882514" w:rsidRPr="006E5A03" w:rsidRDefault="00882514" w:rsidP="00882514">
            <w:pPr>
              <w:tabs>
                <w:tab w:val="decimal" w:pos="429"/>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6764BBC5" w14:textId="77777777" w:rsidR="00882514" w:rsidRPr="006E5A03" w:rsidRDefault="00882514" w:rsidP="00882514">
            <w:pPr>
              <w:tabs>
                <w:tab w:val="decimal" w:pos="217"/>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1E8471A0" w14:textId="77777777" w:rsidR="00882514" w:rsidRPr="006E5A03" w:rsidRDefault="00882514" w:rsidP="00882514">
            <w:pPr>
              <w:tabs>
                <w:tab w:val="decimal" w:pos="431"/>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5A07C0AB" w14:textId="77777777" w:rsidR="00882514" w:rsidRPr="006E5A03" w:rsidRDefault="00882514" w:rsidP="00882514">
            <w:pPr>
              <w:tabs>
                <w:tab w:val="decimal" w:pos="248"/>
              </w:tabs>
              <w:spacing w:line="240" w:lineRule="auto"/>
              <w:rPr>
                <w:sz w:val="20"/>
                <w:szCs w:val="20"/>
              </w:rPr>
            </w:pPr>
            <w:r w:rsidRPr="006E5A03">
              <w:rPr>
                <w:sz w:val="20"/>
                <w:szCs w:val="20"/>
              </w:rPr>
              <w:t>0.004 (0.00)</w:t>
            </w:r>
          </w:p>
        </w:tc>
        <w:tc>
          <w:tcPr>
            <w:tcW w:w="591" w:type="pct"/>
            <w:tcBorders>
              <w:top w:val="single" w:sz="4" w:space="0" w:color="FFFFFF"/>
              <w:left w:val="single" w:sz="4" w:space="0" w:color="FFFFFF"/>
              <w:bottom w:val="single" w:sz="4" w:space="0" w:color="FFFFFF"/>
              <w:right w:val="single" w:sz="4" w:space="0" w:color="FFFFFF"/>
            </w:tcBorders>
            <w:vAlign w:val="center"/>
          </w:tcPr>
          <w:p w14:paraId="76774D24" w14:textId="77777777" w:rsidR="00882514" w:rsidRPr="006E5A03" w:rsidRDefault="00882514" w:rsidP="00882514">
            <w:pPr>
              <w:tabs>
                <w:tab w:val="decimal" w:pos="172"/>
              </w:tabs>
              <w:spacing w:line="240" w:lineRule="auto"/>
              <w:rPr>
                <w:sz w:val="20"/>
                <w:szCs w:val="20"/>
              </w:rPr>
            </w:pPr>
            <w:r w:rsidRPr="006E5A03">
              <w:rPr>
                <w:sz w:val="20"/>
                <w:szCs w:val="20"/>
              </w:rPr>
              <w:t>0.004 (0.00)*</w:t>
            </w:r>
          </w:p>
        </w:tc>
        <w:tc>
          <w:tcPr>
            <w:tcW w:w="588" w:type="pct"/>
            <w:tcBorders>
              <w:top w:val="single" w:sz="4" w:space="0" w:color="FFFFFF"/>
              <w:left w:val="single" w:sz="4" w:space="0" w:color="FFFFFF"/>
              <w:bottom w:val="single" w:sz="4" w:space="0" w:color="FFFFFF"/>
              <w:right w:val="single" w:sz="4" w:space="0" w:color="FFFFFF"/>
            </w:tcBorders>
            <w:vAlign w:val="center"/>
          </w:tcPr>
          <w:p w14:paraId="59D742EE" w14:textId="77777777" w:rsidR="00882514" w:rsidRPr="006E5A03" w:rsidRDefault="00882514" w:rsidP="00882514">
            <w:pPr>
              <w:tabs>
                <w:tab w:val="decimal" w:pos="250"/>
              </w:tabs>
              <w:spacing w:line="240" w:lineRule="auto"/>
              <w:jc w:val="both"/>
              <w:rPr>
                <w:sz w:val="20"/>
                <w:szCs w:val="20"/>
              </w:rPr>
            </w:pPr>
            <w:r w:rsidRPr="006E5A03">
              <w:rPr>
                <w:sz w:val="20"/>
                <w:szCs w:val="20"/>
              </w:rPr>
              <w:t>0.004 (0.00)*</w:t>
            </w:r>
          </w:p>
        </w:tc>
      </w:tr>
      <w:tr w:rsidR="00882514" w14:paraId="7AB90026" w14:textId="77777777" w:rsidTr="00EA09C7">
        <w:trPr>
          <w:trHeight w:val="230"/>
        </w:trPr>
        <w:tc>
          <w:tcPr>
            <w:tcW w:w="866" w:type="pct"/>
            <w:tcBorders>
              <w:top w:val="single" w:sz="4" w:space="0" w:color="FFFFFF"/>
              <w:left w:val="single" w:sz="4" w:space="0" w:color="FFFFFF"/>
              <w:bottom w:val="single" w:sz="4" w:space="0" w:color="FFFFFF"/>
              <w:right w:val="single" w:sz="4" w:space="0" w:color="FFFFFF"/>
            </w:tcBorders>
            <w:vAlign w:val="center"/>
          </w:tcPr>
          <w:p w14:paraId="65E1810D" w14:textId="77777777" w:rsidR="00882514" w:rsidRDefault="00882514" w:rsidP="00882514">
            <w:pPr>
              <w:spacing w:line="240" w:lineRule="auto"/>
              <w:ind w:left="-27" w:firstLine="186"/>
              <w:rPr>
                <w:sz w:val="20"/>
                <w:szCs w:val="20"/>
              </w:rPr>
            </w:pPr>
            <w:r>
              <w:rPr>
                <w:sz w:val="20"/>
                <w:szCs w:val="20"/>
              </w:rPr>
              <w:t>Gender</w:t>
            </w:r>
          </w:p>
        </w:tc>
        <w:tc>
          <w:tcPr>
            <w:tcW w:w="591" w:type="pct"/>
            <w:tcBorders>
              <w:top w:val="single" w:sz="4" w:space="0" w:color="FFFFFF"/>
              <w:left w:val="single" w:sz="4" w:space="0" w:color="FFFFFF"/>
              <w:bottom w:val="single" w:sz="4" w:space="0" w:color="FFFFFF"/>
              <w:right w:val="single" w:sz="4" w:space="0" w:color="FFFFFF"/>
            </w:tcBorders>
            <w:vAlign w:val="center"/>
          </w:tcPr>
          <w:p w14:paraId="1720CCC8" w14:textId="77777777" w:rsidR="00882514" w:rsidRPr="006E5A03" w:rsidRDefault="00882514" w:rsidP="00882514">
            <w:pPr>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605CCE33" w14:textId="77777777" w:rsidR="00882514" w:rsidRPr="006E5A03" w:rsidRDefault="00882514" w:rsidP="00882514">
            <w:pPr>
              <w:tabs>
                <w:tab w:val="decimal" w:pos="429"/>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635F678C" w14:textId="77777777" w:rsidR="00882514" w:rsidRPr="006E5A03" w:rsidRDefault="00882514" w:rsidP="00882514">
            <w:pPr>
              <w:tabs>
                <w:tab w:val="decimal" w:pos="217"/>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5E144AB6" w14:textId="77777777" w:rsidR="00882514" w:rsidRPr="006E5A03" w:rsidRDefault="00882514" w:rsidP="00882514">
            <w:pPr>
              <w:tabs>
                <w:tab w:val="decimal" w:pos="431"/>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4B8314B0" w14:textId="77777777" w:rsidR="00882514" w:rsidRPr="006E5A03" w:rsidRDefault="00882514" w:rsidP="00882514">
            <w:pPr>
              <w:tabs>
                <w:tab w:val="decimal" w:pos="248"/>
              </w:tabs>
              <w:spacing w:line="240" w:lineRule="auto"/>
              <w:rPr>
                <w:sz w:val="20"/>
                <w:szCs w:val="20"/>
              </w:rPr>
            </w:pPr>
            <w:r w:rsidRPr="006E5A03">
              <w:rPr>
                <w:sz w:val="20"/>
                <w:szCs w:val="20"/>
              </w:rPr>
              <w:t>0.01 (0.04)</w:t>
            </w:r>
          </w:p>
        </w:tc>
        <w:tc>
          <w:tcPr>
            <w:tcW w:w="591" w:type="pct"/>
            <w:tcBorders>
              <w:top w:val="single" w:sz="4" w:space="0" w:color="FFFFFF"/>
              <w:left w:val="single" w:sz="4" w:space="0" w:color="FFFFFF"/>
              <w:bottom w:val="single" w:sz="4" w:space="0" w:color="FFFFFF"/>
              <w:right w:val="single" w:sz="4" w:space="0" w:color="FFFFFF"/>
            </w:tcBorders>
            <w:vAlign w:val="center"/>
          </w:tcPr>
          <w:p w14:paraId="7EBD8557" w14:textId="77777777" w:rsidR="00882514" w:rsidRPr="006E5A03" w:rsidRDefault="00882514" w:rsidP="00882514">
            <w:pPr>
              <w:tabs>
                <w:tab w:val="decimal" w:pos="172"/>
              </w:tabs>
              <w:spacing w:line="240" w:lineRule="auto"/>
              <w:rPr>
                <w:sz w:val="20"/>
                <w:szCs w:val="20"/>
              </w:rPr>
            </w:pPr>
            <w:r w:rsidRPr="006E5A03">
              <w:rPr>
                <w:sz w:val="20"/>
                <w:szCs w:val="20"/>
              </w:rPr>
              <w:t>0.01 (0.04)</w:t>
            </w:r>
          </w:p>
        </w:tc>
        <w:tc>
          <w:tcPr>
            <w:tcW w:w="588" w:type="pct"/>
            <w:tcBorders>
              <w:top w:val="single" w:sz="4" w:space="0" w:color="FFFFFF"/>
              <w:left w:val="single" w:sz="4" w:space="0" w:color="FFFFFF"/>
              <w:bottom w:val="single" w:sz="4" w:space="0" w:color="FFFFFF"/>
              <w:right w:val="single" w:sz="4" w:space="0" w:color="FFFFFF"/>
            </w:tcBorders>
            <w:vAlign w:val="center"/>
          </w:tcPr>
          <w:p w14:paraId="47B15FE7" w14:textId="77777777" w:rsidR="00882514" w:rsidRPr="006E5A03" w:rsidRDefault="00882514" w:rsidP="00882514">
            <w:pPr>
              <w:tabs>
                <w:tab w:val="decimal" w:pos="250"/>
              </w:tabs>
              <w:spacing w:line="240" w:lineRule="auto"/>
              <w:jc w:val="both"/>
              <w:rPr>
                <w:sz w:val="20"/>
                <w:szCs w:val="20"/>
              </w:rPr>
            </w:pPr>
            <w:r w:rsidRPr="006E5A03">
              <w:rPr>
                <w:sz w:val="20"/>
                <w:szCs w:val="20"/>
              </w:rPr>
              <w:t>-0.004 (0.04)</w:t>
            </w:r>
          </w:p>
        </w:tc>
      </w:tr>
      <w:tr w:rsidR="00882514" w14:paraId="2BBE88B8" w14:textId="77777777" w:rsidTr="00EA09C7">
        <w:trPr>
          <w:trHeight w:val="50"/>
        </w:trPr>
        <w:tc>
          <w:tcPr>
            <w:tcW w:w="866" w:type="pct"/>
            <w:tcBorders>
              <w:top w:val="single" w:sz="4" w:space="0" w:color="FFFFFF"/>
              <w:left w:val="single" w:sz="4" w:space="0" w:color="FFFFFF"/>
              <w:bottom w:val="single" w:sz="4" w:space="0" w:color="FFFFFF"/>
              <w:right w:val="single" w:sz="4" w:space="0" w:color="FFFFFF"/>
            </w:tcBorders>
            <w:vAlign w:val="center"/>
          </w:tcPr>
          <w:p w14:paraId="2647ACD7" w14:textId="77777777" w:rsidR="00882514" w:rsidRDefault="00882514" w:rsidP="00882514">
            <w:pPr>
              <w:spacing w:line="240" w:lineRule="auto"/>
              <w:ind w:left="-27" w:firstLine="186"/>
              <w:rPr>
                <w:sz w:val="20"/>
                <w:szCs w:val="20"/>
              </w:rPr>
            </w:pPr>
            <w:r>
              <w:rPr>
                <w:sz w:val="20"/>
                <w:szCs w:val="20"/>
              </w:rPr>
              <w:t>Education</w:t>
            </w:r>
          </w:p>
        </w:tc>
        <w:tc>
          <w:tcPr>
            <w:tcW w:w="591" w:type="pct"/>
            <w:tcBorders>
              <w:top w:val="single" w:sz="4" w:space="0" w:color="FFFFFF"/>
              <w:left w:val="single" w:sz="4" w:space="0" w:color="FFFFFF"/>
              <w:bottom w:val="single" w:sz="4" w:space="0" w:color="FFFFFF"/>
              <w:right w:val="single" w:sz="4" w:space="0" w:color="FFFFFF"/>
            </w:tcBorders>
            <w:vAlign w:val="center"/>
          </w:tcPr>
          <w:p w14:paraId="26BE7179" w14:textId="77777777" w:rsidR="00882514" w:rsidRPr="006E5A03" w:rsidRDefault="00882514" w:rsidP="00882514">
            <w:pPr>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7313FFBA" w14:textId="77777777" w:rsidR="00882514" w:rsidRPr="006E5A03" w:rsidRDefault="00882514" w:rsidP="00882514">
            <w:pPr>
              <w:tabs>
                <w:tab w:val="decimal" w:pos="429"/>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61467B6E" w14:textId="77777777" w:rsidR="00882514" w:rsidRPr="006E5A03" w:rsidRDefault="00882514" w:rsidP="00882514">
            <w:pPr>
              <w:tabs>
                <w:tab w:val="decimal" w:pos="217"/>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67FA0459" w14:textId="77777777" w:rsidR="00882514" w:rsidRPr="006E5A03" w:rsidRDefault="00882514" w:rsidP="00882514">
            <w:pPr>
              <w:tabs>
                <w:tab w:val="decimal" w:pos="431"/>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7D85BEEB" w14:textId="77777777" w:rsidR="00882514" w:rsidRPr="006E5A03" w:rsidRDefault="00882514" w:rsidP="00882514">
            <w:pPr>
              <w:tabs>
                <w:tab w:val="decimal" w:pos="248"/>
              </w:tabs>
              <w:spacing w:line="240" w:lineRule="auto"/>
              <w:rPr>
                <w:sz w:val="20"/>
                <w:szCs w:val="20"/>
              </w:rPr>
            </w:pPr>
            <w:r w:rsidRPr="006E5A03">
              <w:rPr>
                <w:sz w:val="20"/>
                <w:szCs w:val="20"/>
              </w:rPr>
              <w:t>-0.03 (0.01)***</w:t>
            </w:r>
          </w:p>
        </w:tc>
        <w:tc>
          <w:tcPr>
            <w:tcW w:w="591" w:type="pct"/>
            <w:tcBorders>
              <w:top w:val="single" w:sz="4" w:space="0" w:color="FFFFFF"/>
              <w:left w:val="single" w:sz="4" w:space="0" w:color="FFFFFF"/>
              <w:bottom w:val="single" w:sz="4" w:space="0" w:color="FFFFFF"/>
              <w:right w:val="single" w:sz="4" w:space="0" w:color="FFFFFF"/>
            </w:tcBorders>
            <w:vAlign w:val="center"/>
          </w:tcPr>
          <w:p w14:paraId="0EFA2F7D" w14:textId="77777777" w:rsidR="00882514" w:rsidRPr="006E5A03" w:rsidRDefault="00882514" w:rsidP="00882514">
            <w:pPr>
              <w:tabs>
                <w:tab w:val="decimal" w:pos="172"/>
              </w:tabs>
              <w:spacing w:line="240" w:lineRule="auto"/>
              <w:rPr>
                <w:sz w:val="20"/>
                <w:szCs w:val="20"/>
              </w:rPr>
            </w:pPr>
            <w:r w:rsidRPr="006E5A03">
              <w:rPr>
                <w:sz w:val="20"/>
                <w:szCs w:val="20"/>
              </w:rPr>
              <w:t>-0.03 (0.01)***</w:t>
            </w:r>
          </w:p>
        </w:tc>
        <w:tc>
          <w:tcPr>
            <w:tcW w:w="588" w:type="pct"/>
            <w:tcBorders>
              <w:top w:val="single" w:sz="4" w:space="0" w:color="FFFFFF"/>
              <w:left w:val="single" w:sz="4" w:space="0" w:color="FFFFFF"/>
              <w:bottom w:val="single" w:sz="4" w:space="0" w:color="FFFFFF"/>
              <w:right w:val="single" w:sz="4" w:space="0" w:color="FFFFFF"/>
            </w:tcBorders>
            <w:vAlign w:val="center"/>
          </w:tcPr>
          <w:p w14:paraId="2EFC9A77" w14:textId="77777777" w:rsidR="00882514" w:rsidRPr="006E5A03" w:rsidRDefault="00882514" w:rsidP="00882514">
            <w:pPr>
              <w:tabs>
                <w:tab w:val="decimal" w:pos="250"/>
              </w:tabs>
              <w:spacing w:line="240" w:lineRule="auto"/>
              <w:jc w:val="both"/>
              <w:rPr>
                <w:sz w:val="20"/>
                <w:szCs w:val="20"/>
              </w:rPr>
            </w:pPr>
            <w:r w:rsidRPr="006E5A03">
              <w:rPr>
                <w:sz w:val="20"/>
                <w:szCs w:val="20"/>
              </w:rPr>
              <w:t>-0.03 (0.01)***</w:t>
            </w:r>
          </w:p>
        </w:tc>
      </w:tr>
      <w:tr w:rsidR="00882514" w14:paraId="2C566129" w14:textId="77777777" w:rsidTr="00EA09C7">
        <w:trPr>
          <w:trHeight w:val="154"/>
        </w:trPr>
        <w:tc>
          <w:tcPr>
            <w:tcW w:w="866" w:type="pct"/>
            <w:tcBorders>
              <w:top w:val="single" w:sz="4" w:space="0" w:color="FFFFFF"/>
              <w:left w:val="single" w:sz="4" w:space="0" w:color="FFFFFF"/>
              <w:bottom w:val="single" w:sz="4" w:space="0" w:color="FFFFFF"/>
              <w:right w:val="single" w:sz="4" w:space="0" w:color="FFFFFF"/>
            </w:tcBorders>
            <w:vAlign w:val="center"/>
          </w:tcPr>
          <w:p w14:paraId="478FCB3E" w14:textId="77777777" w:rsidR="00882514" w:rsidRDefault="00882514" w:rsidP="00882514">
            <w:pPr>
              <w:spacing w:line="240" w:lineRule="auto"/>
              <w:ind w:left="-27" w:firstLine="186"/>
              <w:rPr>
                <w:sz w:val="20"/>
                <w:szCs w:val="20"/>
              </w:rPr>
            </w:pPr>
            <w:r>
              <w:rPr>
                <w:sz w:val="20"/>
                <w:szCs w:val="20"/>
              </w:rPr>
              <w:t>Compensation</w:t>
            </w:r>
          </w:p>
        </w:tc>
        <w:tc>
          <w:tcPr>
            <w:tcW w:w="591" w:type="pct"/>
            <w:tcBorders>
              <w:top w:val="single" w:sz="4" w:space="0" w:color="FFFFFF"/>
              <w:left w:val="single" w:sz="4" w:space="0" w:color="FFFFFF"/>
              <w:bottom w:val="single" w:sz="4" w:space="0" w:color="FFFFFF"/>
              <w:right w:val="single" w:sz="4" w:space="0" w:color="FFFFFF"/>
            </w:tcBorders>
            <w:vAlign w:val="center"/>
          </w:tcPr>
          <w:p w14:paraId="7274DF8A" w14:textId="77777777" w:rsidR="00882514" w:rsidRPr="006E5A03" w:rsidRDefault="00882514" w:rsidP="00882514">
            <w:pPr>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08B09F0E" w14:textId="77777777" w:rsidR="00882514" w:rsidRPr="006E5A03" w:rsidRDefault="00882514" w:rsidP="00882514">
            <w:pPr>
              <w:tabs>
                <w:tab w:val="decimal" w:pos="429"/>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7AD2A18B" w14:textId="77777777" w:rsidR="00882514" w:rsidRPr="006E5A03" w:rsidRDefault="00882514" w:rsidP="00882514">
            <w:pPr>
              <w:tabs>
                <w:tab w:val="decimal" w:pos="217"/>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7D8C39F1" w14:textId="77777777" w:rsidR="00882514" w:rsidRPr="006E5A03" w:rsidRDefault="00882514" w:rsidP="00882514">
            <w:pPr>
              <w:tabs>
                <w:tab w:val="decimal" w:pos="431"/>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0797DAD9" w14:textId="77777777" w:rsidR="00882514" w:rsidRPr="006E5A03" w:rsidRDefault="00882514" w:rsidP="00882514">
            <w:pPr>
              <w:tabs>
                <w:tab w:val="decimal" w:pos="248"/>
              </w:tabs>
              <w:spacing w:line="240" w:lineRule="auto"/>
              <w:rPr>
                <w:sz w:val="20"/>
                <w:szCs w:val="20"/>
              </w:rPr>
            </w:pPr>
            <w:r w:rsidRPr="006E5A03">
              <w:rPr>
                <w:sz w:val="20"/>
                <w:szCs w:val="20"/>
              </w:rPr>
              <w:t>-0.17 (0.04)***</w:t>
            </w:r>
          </w:p>
        </w:tc>
        <w:tc>
          <w:tcPr>
            <w:tcW w:w="591" w:type="pct"/>
            <w:tcBorders>
              <w:top w:val="single" w:sz="4" w:space="0" w:color="FFFFFF"/>
              <w:left w:val="single" w:sz="4" w:space="0" w:color="FFFFFF"/>
              <w:bottom w:val="single" w:sz="4" w:space="0" w:color="FFFFFF"/>
              <w:right w:val="single" w:sz="4" w:space="0" w:color="FFFFFF"/>
            </w:tcBorders>
            <w:vAlign w:val="center"/>
          </w:tcPr>
          <w:p w14:paraId="67B379E4" w14:textId="77777777" w:rsidR="00882514" w:rsidRPr="006E5A03" w:rsidRDefault="00882514" w:rsidP="00882514">
            <w:pPr>
              <w:tabs>
                <w:tab w:val="decimal" w:pos="172"/>
              </w:tabs>
              <w:spacing w:line="240" w:lineRule="auto"/>
              <w:rPr>
                <w:sz w:val="20"/>
                <w:szCs w:val="20"/>
              </w:rPr>
            </w:pPr>
            <w:r w:rsidRPr="006E5A03">
              <w:rPr>
                <w:sz w:val="20"/>
                <w:szCs w:val="20"/>
              </w:rPr>
              <w:t>-0.18 (0.04)*</w:t>
            </w:r>
          </w:p>
        </w:tc>
        <w:tc>
          <w:tcPr>
            <w:tcW w:w="588" w:type="pct"/>
            <w:tcBorders>
              <w:top w:val="single" w:sz="4" w:space="0" w:color="FFFFFF"/>
              <w:left w:val="single" w:sz="4" w:space="0" w:color="FFFFFF"/>
              <w:bottom w:val="single" w:sz="4" w:space="0" w:color="FFFFFF"/>
              <w:right w:val="single" w:sz="4" w:space="0" w:color="FFFFFF"/>
            </w:tcBorders>
            <w:vAlign w:val="center"/>
          </w:tcPr>
          <w:p w14:paraId="6B580F78" w14:textId="77777777" w:rsidR="00882514" w:rsidRPr="006E5A03" w:rsidRDefault="00882514" w:rsidP="00882514">
            <w:pPr>
              <w:tabs>
                <w:tab w:val="decimal" w:pos="250"/>
              </w:tabs>
              <w:spacing w:line="240" w:lineRule="auto"/>
              <w:jc w:val="both"/>
              <w:rPr>
                <w:sz w:val="20"/>
                <w:szCs w:val="20"/>
              </w:rPr>
            </w:pPr>
            <w:r w:rsidRPr="006E5A03">
              <w:rPr>
                <w:sz w:val="20"/>
                <w:szCs w:val="20"/>
              </w:rPr>
              <w:t>-0.20 (0.04)***</w:t>
            </w:r>
          </w:p>
        </w:tc>
      </w:tr>
      <w:tr w:rsidR="00882514" w14:paraId="07F91590" w14:textId="77777777" w:rsidTr="00EA09C7">
        <w:trPr>
          <w:trHeight w:val="230"/>
        </w:trPr>
        <w:tc>
          <w:tcPr>
            <w:tcW w:w="866" w:type="pct"/>
            <w:tcBorders>
              <w:top w:val="single" w:sz="4" w:space="0" w:color="FFFFFF"/>
              <w:left w:val="single" w:sz="4" w:space="0" w:color="FFFFFF"/>
              <w:bottom w:val="single" w:sz="4" w:space="0" w:color="FFFFFF"/>
              <w:right w:val="single" w:sz="4" w:space="0" w:color="FFFFFF"/>
            </w:tcBorders>
            <w:vAlign w:val="center"/>
          </w:tcPr>
          <w:p w14:paraId="08DA3166" w14:textId="77777777" w:rsidR="00882514" w:rsidRDefault="00882514" w:rsidP="00882514">
            <w:pPr>
              <w:spacing w:line="240" w:lineRule="auto"/>
              <w:ind w:left="-27" w:firstLine="186"/>
              <w:rPr>
                <w:sz w:val="20"/>
                <w:szCs w:val="20"/>
              </w:rPr>
            </w:pPr>
            <w:r>
              <w:rPr>
                <w:sz w:val="20"/>
                <w:szCs w:val="20"/>
              </w:rPr>
              <w:t>Condition: Ignorance</w:t>
            </w:r>
          </w:p>
        </w:tc>
        <w:tc>
          <w:tcPr>
            <w:tcW w:w="591" w:type="pct"/>
            <w:tcBorders>
              <w:top w:val="single" w:sz="4" w:space="0" w:color="FFFFFF"/>
              <w:left w:val="single" w:sz="4" w:space="0" w:color="FFFFFF"/>
              <w:bottom w:val="single" w:sz="4" w:space="0" w:color="FFFFFF"/>
              <w:right w:val="single" w:sz="4" w:space="0" w:color="FFFFFF"/>
            </w:tcBorders>
            <w:vAlign w:val="center"/>
          </w:tcPr>
          <w:p w14:paraId="35A5BED1" w14:textId="77777777" w:rsidR="00882514" w:rsidRPr="006E5A03" w:rsidRDefault="00882514" w:rsidP="00882514">
            <w:pPr>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32962A93" w14:textId="77777777" w:rsidR="00882514" w:rsidRPr="006E5A03" w:rsidRDefault="00882514" w:rsidP="00882514">
            <w:pPr>
              <w:tabs>
                <w:tab w:val="decimal" w:pos="429"/>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45EC0A4A" w14:textId="77777777" w:rsidR="00882514" w:rsidRPr="006E5A03" w:rsidRDefault="00882514" w:rsidP="00882514">
            <w:pPr>
              <w:tabs>
                <w:tab w:val="decimal" w:pos="217"/>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0B539E44" w14:textId="77777777" w:rsidR="00882514" w:rsidRPr="006E5A03" w:rsidRDefault="00882514" w:rsidP="00882514">
            <w:pPr>
              <w:tabs>
                <w:tab w:val="decimal" w:pos="431"/>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21EB40F7" w14:textId="77777777" w:rsidR="00882514" w:rsidRPr="006E5A03" w:rsidRDefault="00882514" w:rsidP="00882514">
            <w:pPr>
              <w:tabs>
                <w:tab w:val="decimal" w:pos="248"/>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5928084A" w14:textId="77777777" w:rsidR="00882514" w:rsidRPr="006E5A03" w:rsidRDefault="00882514" w:rsidP="00882514">
            <w:pPr>
              <w:tabs>
                <w:tab w:val="decimal" w:pos="172"/>
              </w:tabs>
              <w:spacing w:line="240" w:lineRule="auto"/>
              <w:rPr>
                <w:sz w:val="20"/>
                <w:szCs w:val="20"/>
              </w:rPr>
            </w:pPr>
            <w:r w:rsidRPr="006E5A03">
              <w:rPr>
                <w:sz w:val="20"/>
                <w:szCs w:val="20"/>
              </w:rPr>
              <w:t>1.03 (0.05)***</w:t>
            </w:r>
          </w:p>
        </w:tc>
        <w:tc>
          <w:tcPr>
            <w:tcW w:w="588" w:type="pct"/>
            <w:tcBorders>
              <w:top w:val="single" w:sz="4" w:space="0" w:color="FFFFFF"/>
              <w:left w:val="single" w:sz="4" w:space="0" w:color="FFFFFF"/>
              <w:bottom w:val="single" w:sz="4" w:space="0" w:color="FFFFFF"/>
              <w:right w:val="single" w:sz="4" w:space="0" w:color="FFFFFF"/>
            </w:tcBorders>
            <w:vAlign w:val="center"/>
          </w:tcPr>
          <w:p w14:paraId="6FD2E070" w14:textId="77777777" w:rsidR="00882514" w:rsidRPr="006E5A03" w:rsidRDefault="00882514" w:rsidP="00882514">
            <w:pPr>
              <w:tabs>
                <w:tab w:val="decimal" w:pos="250"/>
              </w:tabs>
              <w:spacing w:line="240" w:lineRule="auto"/>
              <w:jc w:val="both"/>
              <w:rPr>
                <w:sz w:val="20"/>
                <w:szCs w:val="20"/>
              </w:rPr>
            </w:pPr>
            <w:r w:rsidRPr="006E5A03">
              <w:rPr>
                <w:sz w:val="20"/>
                <w:szCs w:val="20"/>
              </w:rPr>
              <w:t>0.08 (0.08)</w:t>
            </w:r>
          </w:p>
        </w:tc>
      </w:tr>
      <w:tr w:rsidR="00882514" w14:paraId="28B37F26" w14:textId="77777777" w:rsidTr="00EA09C7">
        <w:trPr>
          <w:trHeight w:val="230"/>
        </w:trPr>
        <w:tc>
          <w:tcPr>
            <w:tcW w:w="866" w:type="pct"/>
            <w:tcBorders>
              <w:top w:val="single" w:sz="4" w:space="0" w:color="FFFFFF"/>
              <w:left w:val="single" w:sz="4" w:space="0" w:color="FFFFFF"/>
              <w:bottom w:val="single" w:sz="4" w:space="0" w:color="FFFFFF"/>
              <w:right w:val="single" w:sz="4" w:space="0" w:color="FFFFFF"/>
            </w:tcBorders>
            <w:vAlign w:val="center"/>
          </w:tcPr>
          <w:p w14:paraId="79BCE5F0" w14:textId="77777777" w:rsidR="00882514" w:rsidRDefault="00882514" w:rsidP="00882514">
            <w:pPr>
              <w:spacing w:line="240" w:lineRule="auto"/>
              <w:ind w:left="-27" w:firstLine="186"/>
              <w:rPr>
                <w:sz w:val="20"/>
                <w:szCs w:val="20"/>
              </w:rPr>
            </w:pPr>
            <w:r>
              <w:rPr>
                <w:sz w:val="20"/>
                <w:szCs w:val="20"/>
              </w:rPr>
              <w:t>Condition: Knowledge</w:t>
            </w:r>
          </w:p>
        </w:tc>
        <w:tc>
          <w:tcPr>
            <w:tcW w:w="591" w:type="pct"/>
            <w:tcBorders>
              <w:top w:val="single" w:sz="4" w:space="0" w:color="FFFFFF"/>
              <w:left w:val="single" w:sz="4" w:space="0" w:color="FFFFFF"/>
              <w:bottom w:val="single" w:sz="4" w:space="0" w:color="FFFFFF"/>
              <w:right w:val="single" w:sz="4" w:space="0" w:color="FFFFFF"/>
            </w:tcBorders>
            <w:vAlign w:val="center"/>
          </w:tcPr>
          <w:p w14:paraId="5ECE23F8" w14:textId="77777777" w:rsidR="00882514" w:rsidRPr="006E5A03" w:rsidRDefault="00882514" w:rsidP="00882514">
            <w:pPr>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2546BDA2" w14:textId="77777777" w:rsidR="00882514" w:rsidRPr="006E5A03" w:rsidRDefault="00882514" w:rsidP="00882514">
            <w:pPr>
              <w:tabs>
                <w:tab w:val="decimal" w:pos="429"/>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25E5AFD8" w14:textId="77777777" w:rsidR="00882514" w:rsidRPr="006E5A03" w:rsidRDefault="00882514" w:rsidP="00882514">
            <w:pPr>
              <w:tabs>
                <w:tab w:val="decimal" w:pos="217"/>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7797A996" w14:textId="77777777" w:rsidR="00882514" w:rsidRPr="006E5A03" w:rsidRDefault="00882514" w:rsidP="00882514">
            <w:pPr>
              <w:tabs>
                <w:tab w:val="decimal" w:pos="431"/>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1051E192" w14:textId="77777777" w:rsidR="00882514" w:rsidRPr="006E5A03" w:rsidRDefault="00882514" w:rsidP="00882514">
            <w:pPr>
              <w:tabs>
                <w:tab w:val="decimal" w:pos="248"/>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30475E1B" w14:textId="77777777" w:rsidR="00882514" w:rsidRPr="006E5A03" w:rsidRDefault="00882514" w:rsidP="00882514">
            <w:pPr>
              <w:tabs>
                <w:tab w:val="decimal" w:pos="172"/>
              </w:tabs>
              <w:spacing w:line="240" w:lineRule="auto"/>
              <w:rPr>
                <w:sz w:val="20"/>
                <w:szCs w:val="20"/>
              </w:rPr>
            </w:pPr>
            <w:r w:rsidRPr="006E5A03">
              <w:rPr>
                <w:sz w:val="20"/>
                <w:szCs w:val="20"/>
              </w:rPr>
              <w:t>0.94 (0.05)***</w:t>
            </w:r>
          </w:p>
        </w:tc>
        <w:tc>
          <w:tcPr>
            <w:tcW w:w="588" w:type="pct"/>
            <w:tcBorders>
              <w:top w:val="single" w:sz="4" w:space="0" w:color="FFFFFF"/>
              <w:left w:val="single" w:sz="4" w:space="0" w:color="FFFFFF"/>
              <w:bottom w:val="single" w:sz="4" w:space="0" w:color="FFFFFF"/>
              <w:right w:val="single" w:sz="4" w:space="0" w:color="FFFFFF"/>
            </w:tcBorders>
            <w:vAlign w:val="center"/>
          </w:tcPr>
          <w:p w14:paraId="3CF1F0E6" w14:textId="77777777" w:rsidR="00882514" w:rsidRPr="006E5A03" w:rsidRDefault="00882514" w:rsidP="00882514">
            <w:pPr>
              <w:tabs>
                <w:tab w:val="decimal" w:pos="250"/>
              </w:tabs>
              <w:spacing w:line="240" w:lineRule="auto"/>
              <w:jc w:val="both"/>
              <w:rPr>
                <w:sz w:val="20"/>
                <w:szCs w:val="20"/>
              </w:rPr>
            </w:pPr>
            <w:r w:rsidRPr="006E5A03">
              <w:rPr>
                <w:sz w:val="20"/>
                <w:szCs w:val="20"/>
              </w:rPr>
              <w:t>0.72 (0.08)***</w:t>
            </w:r>
          </w:p>
        </w:tc>
      </w:tr>
      <w:tr w:rsidR="00882514" w14:paraId="7533EE9E" w14:textId="77777777" w:rsidTr="00EA09C7">
        <w:trPr>
          <w:trHeight w:val="230"/>
        </w:trPr>
        <w:tc>
          <w:tcPr>
            <w:tcW w:w="866" w:type="pct"/>
            <w:tcBorders>
              <w:top w:val="single" w:sz="4" w:space="0" w:color="FFFFFF"/>
              <w:left w:val="single" w:sz="4" w:space="0" w:color="FFFFFF"/>
              <w:bottom w:val="single" w:sz="4" w:space="0" w:color="FFFFFF"/>
              <w:right w:val="single" w:sz="4" w:space="0" w:color="FFFFFF"/>
            </w:tcBorders>
            <w:vAlign w:val="center"/>
          </w:tcPr>
          <w:p w14:paraId="0921953F" w14:textId="77777777" w:rsidR="00882514" w:rsidRDefault="00882514" w:rsidP="00882514">
            <w:pPr>
              <w:spacing w:line="240" w:lineRule="auto"/>
              <w:ind w:left="-27" w:firstLine="186"/>
              <w:rPr>
                <w:sz w:val="20"/>
                <w:szCs w:val="20"/>
              </w:rPr>
            </w:pPr>
            <w:r>
              <w:rPr>
                <w:sz w:val="20"/>
                <w:szCs w:val="20"/>
              </w:rPr>
              <w:t>Vignette: Emma</w:t>
            </w:r>
          </w:p>
        </w:tc>
        <w:tc>
          <w:tcPr>
            <w:tcW w:w="591" w:type="pct"/>
            <w:tcBorders>
              <w:top w:val="single" w:sz="4" w:space="0" w:color="FFFFFF"/>
              <w:left w:val="single" w:sz="4" w:space="0" w:color="FFFFFF"/>
              <w:bottom w:val="single" w:sz="4" w:space="0" w:color="FFFFFF"/>
              <w:right w:val="single" w:sz="4" w:space="0" w:color="FFFFFF"/>
            </w:tcBorders>
            <w:vAlign w:val="center"/>
          </w:tcPr>
          <w:p w14:paraId="68674D74" w14:textId="77777777" w:rsidR="00882514" w:rsidRPr="006E5A03" w:rsidRDefault="00882514" w:rsidP="00882514">
            <w:pPr>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5E13447D" w14:textId="77777777" w:rsidR="00882514" w:rsidRPr="006E5A03" w:rsidRDefault="00882514" w:rsidP="00882514">
            <w:pPr>
              <w:tabs>
                <w:tab w:val="decimal" w:pos="429"/>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24375816" w14:textId="77777777" w:rsidR="00882514" w:rsidRPr="006E5A03" w:rsidRDefault="00882514" w:rsidP="00882514">
            <w:pPr>
              <w:tabs>
                <w:tab w:val="decimal" w:pos="217"/>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7A3B1450" w14:textId="77777777" w:rsidR="00882514" w:rsidRPr="006E5A03" w:rsidRDefault="00882514" w:rsidP="00882514">
            <w:pPr>
              <w:tabs>
                <w:tab w:val="decimal" w:pos="431"/>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4787367A" w14:textId="77777777" w:rsidR="00882514" w:rsidRPr="006E5A03" w:rsidRDefault="00882514" w:rsidP="00882514">
            <w:pPr>
              <w:tabs>
                <w:tab w:val="decimal" w:pos="248"/>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2941B213" w14:textId="77777777" w:rsidR="00882514" w:rsidRPr="006E5A03" w:rsidRDefault="00882514" w:rsidP="00882514">
            <w:pPr>
              <w:tabs>
                <w:tab w:val="decimal" w:pos="172"/>
              </w:tabs>
              <w:spacing w:line="240" w:lineRule="auto"/>
              <w:rPr>
                <w:sz w:val="20"/>
                <w:szCs w:val="20"/>
              </w:rPr>
            </w:pPr>
          </w:p>
        </w:tc>
        <w:tc>
          <w:tcPr>
            <w:tcW w:w="588" w:type="pct"/>
            <w:tcBorders>
              <w:top w:val="single" w:sz="4" w:space="0" w:color="FFFFFF"/>
              <w:left w:val="single" w:sz="4" w:space="0" w:color="FFFFFF"/>
              <w:bottom w:val="single" w:sz="4" w:space="0" w:color="FFFFFF"/>
              <w:right w:val="single" w:sz="4" w:space="0" w:color="FFFFFF"/>
            </w:tcBorders>
            <w:vAlign w:val="center"/>
          </w:tcPr>
          <w:p w14:paraId="58594EE1" w14:textId="77777777" w:rsidR="00882514" w:rsidRPr="006E5A03" w:rsidRDefault="00882514" w:rsidP="00882514">
            <w:pPr>
              <w:tabs>
                <w:tab w:val="decimal" w:pos="250"/>
              </w:tabs>
              <w:spacing w:line="240" w:lineRule="auto"/>
              <w:jc w:val="both"/>
              <w:rPr>
                <w:sz w:val="20"/>
                <w:szCs w:val="20"/>
              </w:rPr>
            </w:pPr>
            <w:r w:rsidRPr="006E5A03">
              <w:rPr>
                <w:sz w:val="20"/>
                <w:szCs w:val="20"/>
              </w:rPr>
              <w:t>-2.85 (0.11)***</w:t>
            </w:r>
          </w:p>
        </w:tc>
      </w:tr>
      <w:tr w:rsidR="00882514" w14:paraId="7B075CA0" w14:textId="77777777" w:rsidTr="00EA09C7">
        <w:trPr>
          <w:trHeight w:val="230"/>
        </w:trPr>
        <w:tc>
          <w:tcPr>
            <w:tcW w:w="866" w:type="pct"/>
            <w:tcBorders>
              <w:top w:val="single" w:sz="4" w:space="0" w:color="FFFFFF"/>
              <w:left w:val="single" w:sz="4" w:space="0" w:color="FFFFFF"/>
              <w:bottom w:val="single" w:sz="4" w:space="0" w:color="FFFFFF"/>
              <w:right w:val="single" w:sz="4" w:space="0" w:color="FFFFFF"/>
            </w:tcBorders>
            <w:vAlign w:val="center"/>
          </w:tcPr>
          <w:p w14:paraId="64561E47" w14:textId="77777777" w:rsidR="00882514" w:rsidRDefault="00882514" w:rsidP="00882514">
            <w:pPr>
              <w:spacing w:line="240" w:lineRule="auto"/>
              <w:ind w:left="-27" w:firstLine="186"/>
              <w:rPr>
                <w:sz w:val="20"/>
                <w:szCs w:val="20"/>
              </w:rPr>
            </w:pPr>
            <w:r>
              <w:rPr>
                <w:sz w:val="20"/>
                <w:szCs w:val="20"/>
              </w:rPr>
              <w:t>Vignette: Gerald</w:t>
            </w:r>
          </w:p>
        </w:tc>
        <w:tc>
          <w:tcPr>
            <w:tcW w:w="591" w:type="pct"/>
            <w:tcBorders>
              <w:top w:val="single" w:sz="4" w:space="0" w:color="FFFFFF"/>
              <w:left w:val="single" w:sz="4" w:space="0" w:color="FFFFFF"/>
              <w:bottom w:val="single" w:sz="4" w:space="0" w:color="FFFFFF"/>
              <w:right w:val="single" w:sz="4" w:space="0" w:color="FFFFFF"/>
            </w:tcBorders>
            <w:vAlign w:val="center"/>
          </w:tcPr>
          <w:p w14:paraId="56D485CC" w14:textId="77777777" w:rsidR="00882514" w:rsidRPr="006E5A03" w:rsidRDefault="00882514" w:rsidP="00882514">
            <w:pPr>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321DD48D" w14:textId="77777777" w:rsidR="00882514" w:rsidRPr="006E5A03" w:rsidRDefault="00882514" w:rsidP="00882514">
            <w:pPr>
              <w:tabs>
                <w:tab w:val="decimal" w:pos="429"/>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3D6FFF36" w14:textId="77777777" w:rsidR="00882514" w:rsidRPr="006E5A03" w:rsidRDefault="00882514" w:rsidP="00882514">
            <w:pPr>
              <w:tabs>
                <w:tab w:val="decimal" w:pos="217"/>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0C9E9A3B" w14:textId="77777777" w:rsidR="00882514" w:rsidRPr="006E5A03" w:rsidRDefault="00882514" w:rsidP="00882514">
            <w:pPr>
              <w:tabs>
                <w:tab w:val="decimal" w:pos="431"/>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3B8F7438" w14:textId="77777777" w:rsidR="00882514" w:rsidRPr="006E5A03" w:rsidRDefault="00882514" w:rsidP="00882514">
            <w:pPr>
              <w:tabs>
                <w:tab w:val="decimal" w:pos="248"/>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096A5752" w14:textId="77777777" w:rsidR="00882514" w:rsidRPr="006E5A03" w:rsidRDefault="00882514" w:rsidP="00882514">
            <w:pPr>
              <w:tabs>
                <w:tab w:val="decimal" w:pos="172"/>
              </w:tabs>
              <w:spacing w:line="240" w:lineRule="auto"/>
              <w:rPr>
                <w:sz w:val="20"/>
                <w:szCs w:val="20"/>
              </w:rPr>
            </w:pPr>
          </w:p>
        </w:tc>
        <w:tc>
          <w:tcPr>
            <w:tcW w:w="588" w:type="pct"/>
            <w:tcBorders>
              <w:top w:val="single" w:sz="4" w:space="0" w:color="FFFFFF"/>
              <w:left w:val="single" w:sz="4" w:space="0" w:color="FFFFFF"/>
              <w:bottom w:val="single" w:sz="4" w:space="0" w:color="FFFFFF"/>
              <w:right w:val="single" w:sz="4" w:space="0" w:color="FFFFFF"/>
            </w:tcBorders>
            <w:vAlign w:val="center"/>
          </w:tcPr>
          <w:p w14:paraId="4FA4A97F" w14:textId="77777777" w:rsidR="00882514" w:rsidRPr="006E5A03" w:rsidRDefault="00882514" w:rsidP="00882514">
            <w:pPr>
              <w:tabs>
                <w:tab w:val="decimal" w:pos="250"/>
              </w:tabs>
              <w:spacing w:line="240" w:lineRule="auto"/>
              <w:jc w:val="both"/>
              <w:rPr>
                <w:sz w:val="20"/>
                <w:szCs w:val="20"/>
              </w:rPr>
            </w:pPr>
            <w:r w:rsidRPr="006E5A03">
              <w:rPr>
                <w:sz w:val="20"/>
                <w:szCs w:val="20"/>
              </w:rPr>
              <w:t>-1.07 (0.08)***</w:t>
            </w:r>
          </w:p>
        </w:tc>
      </w:tr>
      <w:tr w:rsidR="00882514" w14:paraId="4B3FEF10" w14:textId="77777777" w:rsidTr="00EA09C7">
        <w:trPr>
          <w:trHeight w:val="230"/>
        </w:trPr>
        <w:tc>
          <w:tcPr>
            <w:tcW w:w="866" w:type="pct"/>
            <w:tcBorders>
              <w:top w:val="single" w:sz="4" w:space="0" w:color="FFFFFF"/>
              <w:left w:val="single" w:sz="4" w:space="0" w:color="FFFFFF"/>
              <w:bottom w:val="single" w:sz="4" w:space="0" w:color="FFFFFF"/>
              <w:right w:val="single" w:sz="4" w:space="0" w:color="FFFFFF"/>
            </w:tcBorders>
            <w:vAlign w:val="center"/>
          </w:tcPr>
          <w:p w14:paraId="6479711D" w14:textId="77777777" w:rsidR="00882514" w:rsidRDefault="00882514" w:rsidP="00882514">
            <w:pPr>
              <w:spacing w:line="240" w:lineRule="auto"/>
              <w:ind w:left="-27" w:firstLine="186"/>
              <w:rPr>
                <w:sz w:val="20"/>
                <w:szCs w:val="20"/>
              </w:rPr>
            </w:pPr>
            <w:r>
              <w:rPr>
                <w:sz w:val="20"/>
                <w:szCs w:val="20"/>
              </w:rPr>
              <w:t>Ignorance X Emma</w:t>
            </w:r>
          </w:p>
        </w:tc>
        <w:tc>
          <w:tcPr>
            <w:tcW w:w="591" w:type="pct"/>
            <w:tcBorders>
              <w:top w:val="single" w:sz="4" w:space="0" w:color="FFFFFF"/>
              <w:left w:val="single" w:sz="4" w:space="0" w:color="FFFFFF"/>
              <w:bottom w:val="single" w:sz="4" w:space="0" w:color="FFFFFF"/>
              <w:right w:val="single" w:sz="4" w:space="0" w:color="FFFFFF"/>
            </w:tcBorders>
            <w:vAlign w:val="center"/>
          </w:tcPr>
          <w:p w14:paraId="21F563A4" w14:textId="77777777" w:rsidR="00882514" w:rsidRPr="006E5A03" w:rsidRDefault="00882514" w:rsidP="00882514">
            <w:pPr>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5DFC58F4" w14:textId="77777777" w:rsidR="00882514" w:rsidRPr="006E5A03" w:rsidRDefault="00882514" w:rsidP="00882514">
            <w:pPr>
              <w:tabs>
                <w:tab w:val="decimal" w:pos="429"/>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34ED6255" w14:textId="77777777" w:rsidR="00882514" w:rsidRPr="006E5A03" w:rsidRDefault="00882514" w:rsidP="00882514">
            <w:pPr>
              <w:tabs>
                <w:tab w:val="decimal" w:pos="217"/>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11E21A9E" w14:textId="77777777" w:rsidR="00882514" w:rsidRPr="006E5A03" w:rsidRDefault="00882514" w:rsidP="00882514">
            <w:pPr>
              <w:tabs>
                <w:tab w:val="decimal" w:pos="431"/>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2A23DAAB" w14:textId="77777777" w:rsidR="00882514" w:rsidRPr="006E5A03" w:rsidRDefault="00882514" w:rsidP="00882514">
            <w:pPr>
              <w:tabs>
                <w:tab w:val="decimal" w:pos="248"/>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3C889F99" w14:textId="77777777" w:rsidR="00882514" w:rsidRPr="006E5A03" w:rsidRDefault="00882514" w:rsidP="00882514">
            <w:pPr>
              <w:tabs>
                <w:tab w:val="decimal" w:pos="172"/>
              </w:tabs>
              <w:spacing w:line="240" w:lineRule="auto"/>
              <w:rPr>
                <w:sz w:val="20"/>
                <w:szCs w:val="20"/>
              </w:rPr>
            </w:pPr>
          </w:p>
        </w:tc>
        <w:tc>
          <w:tcPr>
            <w:tcW w:w="588" w:type="pct"/>
            <w:tcBorders>
              <w:top w:val="single" w:sz="4" w:space="0" w:color="FFFFFF"/>
              <w:left w:val="single" w:sz="4" w:space="0" w:color="FFFFFF"/>
              <w:bottom w:val="single" w:sz="4" w:space="0" w:color="FFFFFF"/>
              <w:right w:val="single" w:sz="4" w:space="0" w:color="FFFFFF"/>
            </w:tcBorders>
            <w:vAlign w:val="center"/>
          </w:tcPr>
          <w:p w14:paraId="605F8360" w14:textId="77777777" w:rsidR="00882514" w:rsidRPr="006E5A03" w:rsidRDefault="00882514" w:rsidP="00882514">
            <w:pPr>
              <w:tabs>
                <w:tab w:val="decimal" w:pos="250"/>
              </w:tabs>
              <w:spacing w:line="240" w:lineRule="auto"/>
              <w:jc w:val="both"/>
              <w:rPr>
                <w:sz w:val="20"/>
                <w:szCs w:val="20"/>
              </w:rPr>
            </w:pPr>
            <w:r w:rsidRPr="006E5A03">
              <w:rPr>
                <w:sz w:val="20"/>
                <w:szCs w:val="20"/>
              </w:rPr>
              <w:t>2.53 (0.14)***</w:t>
            </w:r>
          </w:p>
        </w:tc>
      </w:tr>
      <w:tr w:rsidR="00882514" w14:paraId="16E8159B" w14:textId="77777777" w:rsidTr="00EA09C7">
        <w:trPr>
          <w:trHeight w:val="230"/>
        </w:trPr>
        <w:tc>
          <w:tcPr>
            <w:tcW w:w="866" w:type="pct"/>
            <w:tcBorders>
              <w:top w:val="single" w:sz="4" w:space="0" w:color="FFFFFF"/>
              <w:left w:val="single" w:sz="4" w:space="0" w:color="FFFFFF"/>
              <w:bottom w:val="single" w:sz="4" w:space="0" w:color="FFFFFF"/>
              <w:right w:val="single" w:sz="4" w:space="0" w:color="FFFFFF"/>
            </w:tcBorders>
            <w:vAlign w:val="center"/>
          </w:tcPr>
          <w:p w14:paraId="6EC315F2" w14:textId="77777777" w:rsidR="00882514" w:rsidRDefault="00882514" w:rsidP="00882514">
            <w:pPr>
              <w:spacing w:line="240" w:lineRule="auto"/>
              <w:ind w:left="-27" w:firstLine="186"/>
              <w:rPr>
                <w:sz w:val="20"/>
                <w:szCs w:val="20"/>
              </w:rPr>
            </w:pPr>
            <w:r>
              <w:rPr>
                <w:sz w:val="20"/>
                <w:szCs w:val="20"/>
              </w:rPr>
              <w:t>Ignorance X Gerald</w:t>
            </w:r>
          </w:p>
        </w:tc>
        <w:tc>
          <w:tcPr>
            <w:tcW w:w="591" w:type="pct"/>
            <w:tcBorders>
              <w:top w:val="single" w:sz="4" w:space="0" w:color="FFFFFF"/>
              <w:left w:val="single" w:sz="4" w:space="0" w:color="FFFFFF"/>
              <w:bottom w:val="single" w:sz="4" w:space="0" w:color="FFFFFF"/>
              <w:right w:val="single" w:sz="4" w:space="0" w:color="FFFFFF"/>
            </w:tcBorders>
            <w:vAlign w:val="center"/>
          </w:tcPr>
          <w:p w14:paraId="4D2DDCA6" w14:textId="77777777" w:rsidR="00882514" w:rsidRPr="006E5A03" w:rsidRDefault="00882514" w:rsidP="00882514">
            <w:pPr>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7376B055" w14:textId="77777777" w:rsidR="00882514" w:rsidRPr="006E5A03" w:rsidRDefault="00882514" w:rsidP="00882514">
            <w:pPr>
              <w:tabs>
                <w:tab w:val="decimal" w:pos="429"/>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2B579987" w14:textId="77777777" w:rsidR="00882514" w:rsidRPr="006E5A03" w:rsidRDefault="00882514" w:rsidP="00882514">
            <w:pPr>
              <w:tabs>
                <w:tab w:val="decimal" w:pos="217"/>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5AA99234" w14:textId="77777777" w:rsidR="00882514" w:rsidRPr="006E5A03" w:rsidRDefault="00882514" w:rsidP="00882514">
            <w:pPr>
              <w:tabs>
                <w:tab w:val="decimal" w:pos="431"/>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365ABDA4" w14:textId="77777777" w:rsidR="00882514" w:rsidRPr="006E5A03" w:rsidRDefault="00882514" w:rsidP="00882514">
            <w:pPr>
              <w:tabs>
                <w:tab w:val="decimal" w:pos="248"/>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522A13DE" w14:textId="77777777" w:rsidR="00882514" w:rsidRPr="006E5A03" w:rsidRDefault="00882514" w:rsidP="00882514">
            <w:pPr>
              <w:tabs>
                <w:tab w:val="decimal" w:pos="172"/>
              </w:tabs>
              <w:spacing w:line="240" w:lineRule="auto"/>
              <w:rPr>
                <w:sz w:val="20"/>
                <w:szCs w:val="20"/>
              </w:rPr>
            </w:pPr>
          </w:p>
        </w:tc>
        <w:tc>
          <w:tcPr>
            <w:tcW w:w="588" w:type="pct"/>
            <w:tcBorders>
              <w:top w:val="single" w:sz="4" w:space="0" w:color="FFFFFF"/>
              <w:left w:val="single" w:sz="4" w:space="0" w:color="FFFFFF"/>
              <w:bottom w:val="single" w:sz="4" w:space="0" w:color="FFFFFF"/>
              <w:right w:val="single" w:sz="4" w:space="0" w:color="FFFFFF"/>
            </w:tcBorders>
            <w:vAlign w:val="center"/>
          </w:tcPr>
          <w:p w14:paraId="33491CF1" w14:textId="77777777" w:rsidR="00882514" w:rsidRPr="006E5A03" w:rsidRDefault="00882514" w:rsidP="00882514">
            <w:pPr>
              <w:tabs>
                <w:tab w:val="decimal" w:pos="250"/>
              </w:tabs>
              <w:spacing w:line="240" w:lineRule="auto"/>
              <w:jc w:val="both"/>
              <w:rPr>
                <w:sz w:val="20"/>
                <w:szCs w:val="20"/>
              </w:rPr>
            </w:pPr>
            <w:r w:rsidRPr="006E5A03">
              <w:rPr>
                <w:sz w:val="20"/>
                <w:szCs w:val="20"/>
              </w:rPr>
              <w:t>0.72 (0.11)***</w:t>
            </w:r>
          </w:p>
        </w:tc>
      </w:tr>
      <w:tr w:rsidR="00882514" w14:paraId="35AB0F53" w14:textId="77777777" w:rsidTr="00EA09C7">
        <w:trPr>
          <w:trHeight w:val="230"/>
        </w:trPr>
        <w:tc>
          <w:tcPr>
            <w:tcW w:w="866" w:type="pct"/>
            <w:tcBorders>
              <w:top w:val="single" w:sz="4" w:space="0" w:color="FFFFFF"/>
              <w:left w:val="single" w:sz="4" w:space="0" w:color="FFFFFF"/>
              <w:bottom w:val="single" w:sz="4" w:space="0" w:color="FFFFFF"/>
              <w:right w:val="single" w:sz="4" w:space="0" w:color="FFFFFF"/>
            </w:tcBorders>
            <w:vAlign w:val="center"/>
          </w:tcPr>
          <w:p w14:paraId="60919CCB" w14:textId="77777777" w:rsidR="00882514" w:rsidRDefault="00882514" w:rsidP="00882514">
            <w:pPr>
              <w:spacing w:line="240" w:lineRule="auto"/>
              <w:ind w:left="-27" w:firstLine="186"/>
              <w:rPr>
                <w:sz w:val="20"/>
                <w:szCs w:val="20"/>
              </w:rPr>
            </w:pPr>
            <w:r>
              <w:rPr>
                <w:sz w:val="20"/>
                <w:szCs w:val="20"/>
              </w:rPr>
              <w:t>Knowledge X Emma</w:t>
            </w:r>
          </w:p>
        </w:tc>
        <w:tc>
          <w:tcPr>
            <w:tcW w:w="591" w:type="pct"/>
            <w:tcBorders>
              <w:top w:val="single" w:sz="4" w:space="0" w:color="FFFFFF"/>
              <w:left w:val="single" w:sz="4" w:space="0" w:color="FFFFFF"/>
              <w:bottom w:val="single" w:sz="4" w:space="0" w:color="FFFFFF"/>
              <w:right w:val="single" w:sz="4" w:space="0" w:color="FFFFFF"/>
            </w:tcBorders>
            <w:vAlign w:val="center"/>
          </w:tcPr>
          <w:p w14:paraId="4D390E82" w14:textId="77777777" w:rsidR="00882514" w:rsidRPr="006E5A03" w:rsidRDefault="00882514" w:rsidP="00882514">
            <w:pPr>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20EE673F" w14:textId="77777777" w:rsidR="00882514" w:rsidRPr="006E5A03" w:rsidRDefault="00882514" w:rsidP="00882514">
            <w:pPr>
              <w:tabs>
                <w:tab w:val="decimal" w:pos="429"/>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74FBA371" w14:textId="77777777" w:rsidR="00882514" w:rsidRPr="006E5A03" w:rsidRDefault="00882514" w:rsidP="00882514">
            <w:pPr>
              <w:tabs>
                <w:tab w:val="decimal" w:pos="217"/>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74BA11CB" w14:textId="77777777" w:rsidR="00882514" w:rsidRPr="006E5A03" w:rsidRDefault="00882514" w:rsidP="00882514">
            <w:pPr>
              <w:tabs>
                <w:tab w:val="decimal" w:pos="431"/>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2149A0BE" w14:textId="77777777" w:rsidR="00882514" w:rsidRPr="006E5A03" w:rsidRDefault="00882514" w:rsidP="00882514">
            <w:pPr>
              <w:tabs>
                <w:tab w:val="decimal" w:pos="248"/>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20A86694" w14:textId="77777777" w:rsidR="00882514" w:rsidRPr="006E5A03" w:rsidRDefault="00882514" w:rsidP="00882514">
            <w:pPr>
              <w:tabs>
                <w:tab w:val="decimal" w:pos="172"/>
              </w:tabs>
              <w:spacing w:line="240" w:lineRule="auto"/>
              <w:rPr>
                <w:sz w:val="20"/>
                <w:szCs w:val="20"/>
              </w:rPr>
            </w:pPr>
          </w:p>
        </w:tc>
        <w:tc>
          <w:tcPr>
            <w:tcW w:w="588" w:type="pct"/>
            <w:tcBorders>
              <w:top w:val="single" w:sz="4" w:space="0" w:color="FFFFFF"/>
              <w:left w:val="single" w:sz="4" w:space="0" w:color="FFFFFF"/>
              <w:bottom w:val="single" w:sz="4" w:space="0" w:color="FFFFFF"/>
              <w:right w:val="single" w:sz="4" w:space="0" w:color="FFFFFF"/>
            </w:tcBorders>
            <w:vAlign w:val="center"/>
          </w:tcPr>
          <w:p w14:paraId="7773EF2A" w14:textId="77777777" w:rsidR="00882514" w:rsidRPr="006E5A03" w:rsidRDefault="00882514" w:rsidP="00882514">
            <w:pPr>
              <w:tabs>
                <w:tab w:val="decimal" w:pos="250"/>
              </w:tabs>
              <w:spacing w:line="240" w:lineRule="auto"/>
              <w:jc w:val="both"/>
              <w:rPr>
                <w:sz w:val="20"/>
                <w:szCs w:val="20"/>
              </w:rPr>
            </w:pPr>
            <w:r w:rsidRPr="006E5A03">
              <w:rPr>
                <w:sz w:val="20"/>
                <w:szCs w:val="20"/>
              </w:rPr>
              <w:t>1.07 (0.14)***</w:t>
            </w:r>
          </w:p>
        </w:tc>
      </w:tr>
      <w:tr w:rsidR="00882514" w14:paraId="3744B201" w14:textId="77777777" w:rsidTr="00EA09C7">
        <w:trPr>
          <w:trHeight w:val="230"/>
        </w:trPr>
        <w:tc>
          <w:tcPr>
            <w:tcW w:w="866" w:type="pct"/>
            <w:tcBorders>
              <w:top w:val="single" w:sz="4" w:space="0" w:color="FFFFFF"/>
              <w:left w:val="single" w:sz="4" w:space="0" w:color="FFFFFF"/>
              <w:bottom w:val="single" w:sz="4" w:space="0" w:color="FFFFFF"/>
              <w:right w:val="single" w:sz="4" w:space="0" w:color="FFFFFF"/>
            </w:tcBorders>
            <w:vAlign w:val="center"/>
          </w:tcPr>
          <w:p w14:paraId="7E77C0BC" w14:textId="77777777" w:rsidR="00882514" w:rsidRDefault="00882514" w:rsidP="00882514">
            <w:pPr>
              <w:spacing w:line="240" w:lineRule="auto"/>
              <w:ind w:left="-27" w:firstLine="186"/>
              <w:rPr>
                <w:sz w:val="20"/>
                <w:szCs w:val="20"/>
              </w:rPr>
            </w:pPr>
            <w:r>
              <w:rPr>
                <w:sz w:val="20"/>
                <w:szCs w:val="20"/>
              </w:rPr>
              <w:t>Knowledge X Gerald</w:t>
            </w:r>
          </w:p>
        </w:tc>
        <w:tc>
          <w:tcPr>
            <w:tcW w:w="591" w:type="pct"/>
            <w:tcBorders>
              <w:top w:val="single" w:sz="4" w:space="0" w:color="FFFFFF"/>
              <w:left w:val="single" w:sz="4" w:space="0" w:color="FFFFFF"/>
              <w:bottom w:val="single" w:sz="4" w:space="0" w:color="FFFFFF"/>
              <w:right w:val="single" w:sz="4" w:space="0" w:color="FFFFFF"/>
            </w:tcBorders>
            <w:vAlign w:val="center"/>
          </w:tcPr>
          <w:p w14:paraId="5329E77A" w14:textId="77777777" w:rsidR="00882514" w:rsidRPr="006E5A03" w:rsidRDefault="00882514" w:rsidP="00882514">
            <w:pPr>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09A224D7" w14:textId="77777777" w:rsidR="00882514" w:rsidRPr="006E5A03" w:rsidRDefault="00882514" w:rsidP="00882514">
            <w:pPr>
              <w:tabs>
                <w:tab w:val="decimal" w:pos="429"/>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2C6C06B3" w14:textId="77777777" w:rsidR="00882514" w:rsidRPr="006E5A03" w:rsidRDefault="00882514" w:rsidP="00882514">
            <w:pPr>
              <w:tabs>
                <w:tab w:val="decimal" w:pos="217"/>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4749DC84" w14:textId="77777777" w:rsidR="00882514" w:rsidRPr="006E5A03" w:rsidRDefault="00882514" w:rsidP="00882514">
            <w:pPr>
              <w:tabs>
                <w:tab w:val="decimal" w:pos="431"/>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779D8579" w14:textId="77777777" w:rsidR="00882514" w:rsidRPr="006E5A03" w:rsidRDefault="00882514" w:rsidP="00882514">
            <w:pPr>
              <w:tabs>
                <w:tab w:val="decimal" w:pos="248"/>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711664C5" w14:textId="77777777" w:rsidR="00882514" w:rsidRPr="006E5A03" w:rsidRDefault="00882514" w:rsidP="00882514">
            <w:pPr>
              <w:tabs>
                <w:tab w:val="decimal" w:pos="172"/>
              </w:tabs>
              <w:spacing w:line="240" w:lineRule="auto"/>
              <w:rPr>
                <w:sz w:val="20"/>
                <w:szCs w:val="20"/>
              </w:rPr>
            </w:pPr>
          </w:p>
        </w:tc>
        <w:tc>
          <w:tcPr>
            <w:tcW w:w="588" w:type="pct"/>
            <w:tcBorders>
              <w:top w:val="single" w:sz="4" w:space="0" w:color="FFFFFF"/>
              <w:left w:val="single" w:sz="4" w:space="0" w:color="FFFFFF"/>
              <w:bottom w:val="single" w:sz="4" w:space="0" w:color="FFFFFF"/>
              <w:right w:val="single" w:sz="4" w:space="0" w:color="FFFFFF"/>
            </w:tcBorders>
            <w:vAlign w:val="center"/>
          </w:tcPr>
          <w:p w14:paraId="0324D67A" w14:textId="77777777" w:rsidR="00882514" w:rsidRPr="006E5A03" w:rsidRDefault="00882514" w:rsidP="00882514">
            <w:pPr>
              <w:tabs>
                <w:tab w:val="decimal" w:pos="250"/>
              </w:tabs>
              <w:spacing w:line="240" w:lineRule="auto"/>
              <w:jc w:val="both"/>
              <w:rPr>
                <w:sz w:val="20"/>
                <w:szCs w:val="20"/>
              </w:rPr>
            </w:pPr>
            <w:r w:rsidRPr="006E5A03">
              <w:rPr>
                <w:sz w:val="20"/>
                <w:szCs w:val="20"/>
              </w:rPr>
              <w:t>0.10 (0.11)</w:t>
            </w:r>
          </w:p>
        </w:tc>
      </w:tr>
      <w:tr w:rsidR="00882514" w14:paraId="398809D8" w14:textId="77777777" w:rsidTr="00EA09C7">
        <w:trPr>
          <w:trHeight w:val="220"/>
        </w:trPr>
        <w:tc>
          <w:tcPr>
            <w:tcW w:w="866" w:type="pct"/>
            <w:tcBorders>
              <w:top w:val="single" w:sz="4" w:space="0" w:color="FFFFFF"/>
              <w:left w:val="single" w:sz="4" w:space="0" w:color="FFFFFF"/>
              <w:bottom w:val="single" w:sz="4" w:space="0" w:color="FFFFFF"/>
              <w:right w:val="single" w:sz="4" w:space="0" w:color="FFFFFF"/>
            </w:tcBorders>
            <w:vAlign w:val="center"/>
          </w:tcPr>
          <w:p w14:paraId="616DA63B" w14:textId="77777777" w:rsidR="00882514" w:rsidRDefault="00882514" w:rsidP="00882514">
            <w:pPr>
              <w:spacing w:line="240" w:lineRule="auto"/>
              <w:rPr>
                <w:sz w:val="20"/>
                <w:szCs w:val="20"/>
              </w:rPr>
            </w:pPr>
            <w:r>
              <w:rPr>
                <w:sz w:val="20"/>
                <w:szCs w:val="20"/>
              </w:rPr>
              <w:t>Random Effects</w:t>
            </w:r>
          </w:p>
        </w:tc>
        <w:tc>
          <w:tcPr>
            <w:tcW w:w="591" w:type="pct"/>
            <w:tcBorders>
              <w:top w:val="single" w:sz="4" w:space="0" w:color="FFFFFF"/>
              <w:left w:val="single" w:sz="4" w:space="0" w:color="FFFFFF"/>
              <w:bottom w:val="single" w:sz="4" w:space="0" w:color="FFFFFF"/>
              <w:right w:val="single" w:sz="4" w:space="0" w:color="FFFFFF"/>
            </w:tcBorders>
            <w:vAlign w:val="center"/>
          </w:tcPr>
          <w:p w14:paraId="468F1C6B" w14:textId="77777777" w:rsidR="00882514" w:rsidRPr="006E5A03" w:rsidRDefault="00882514" w:rsidP="00882514">
            <w:pPr>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7B421FCA" w14:textId="77777777" w:rsidR="00882514" w:rsidRPr="006E5A03" w:rsidRDefault="00882514" w:rsidP="00882514">
            <w:pPr>
              <w:tabs>
                <w:tab w:val="decimal" w:pos="429"/>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32CA904E" w14:textId="77777777" w:rsidR="00882514" w:rsidRPr="006E5A03" w:rsidRDefault="00882514" w:rsidP="00882514">
            <w:pPr>
              <w:tabs>
                <w:tab w:val="decimal" w:pos="217"/>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200EC6FF" w14:textId="77777777" w:rsidR="00882514" w:rsidRPr="006E5A03" w:rsidRDefault="00882514" w:rsidP="00882514">
            <w:pPr>
              <w:tabs>
                <w:tab w:val="decimal" w:pos="431"/>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71F4E320" w14:textId="77777777" w:rsidR="00882514" w:rsidRPr="006E5A03" w:rsidRDefault="00882514" w:rsidP="00882514">
            <w:pPr>
              <w:tabs>
                <w:tab w:val="decimal" w:pos="248"/>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5ABA2F32" w14:textId="77777777" w:rsidR="00882514" w:rsidRPr="006E5A03" w:rsidRDefault="00882514" w:rsidP="00882514">
            <w:pPr>
              <w:tabs>
                <w:tab w:val="decimal" w:pos="172"/>
              </w:tabs>
              <w:spacing w:line="240" w:lineRule="auto"/>
              <w:rPr>
                <w:sz w:val="20"/>
                <w:szCs w:val="20"/>
              </w:rPr>
            </w:pPr>
          </w:p>
        </w:tc>
        <w:tc>
          <w:tcPr>
            <w:tcW w:w="588" w:type="pct"/>
            <w:tcBorders>
              <w:top w:val="single" w:sz="4" w:space="0" w:color="FFFFFF"/>
              <w:left w:val="single" w:sz="4" w:space="0" w:color="FFFFFF"/>
              <w:bottom w:val="single" w:sz="4" w:space="0" w:color="FFFFFF"/>
              <w:right w:val="single" w:sz="4" w:space="0" w:color="FFFFFF"/>
            </w:tcBorders>
            <w:vAlign w:val="center"/>
          </w:tcPr>
          <w:p w14:paraId="33B172A6" w14:textId="77777777" w:rsidR="00882514" w:rsidRPr="006E5A03" w:rsidRDefault="00882514" w:rsidP="00882514">
            <w:pPr>
              <w:tabs>
                <w:tab w:val="left" w:pos="265"/>
              </w:tabs>
              <w:spacing w:line="240" w:lineRule="auto"/>
              <w:jc w:val="both"/>
              <w:rPr>
                <w:sz w:val="20"/>
                <w:szCs w:val="20"/>
              </w:rPr>
            </w:pPr>
          </w:p>
        </w:tc>
      </w:tr>
      <w:tr w:rsidR="00882514" w14:paraId="49E9DE28" w14:textId="77777777" w:rsidTr="00EA09C7">
        <w:trPr>
          <w:trHeight w:val="259"/>
        </w:trPr>
        <w:tc>
          <w:tcPr>
            <w:tcW w:w="866" w:type="pct"/>
            <w:tcBorders>
              <w:top w:val="single" w:sz="4" w:space="0" w:color="FFFFFF"/>
              <w:left w:val="single" w:sz="4" w:space="0" w:color="FFFFFF"/>
              <w:bottom w:val="single" w:sz="4" w:space="0" w:color="FFFFFF"/>
              <w:right w:val="single" w:sz="4" w:space="0" w:color="FFFFFF"/>
            </w:tcBorders>
            <w:vAlign w:val="center"/>
          </w:tcPr>
          <w:p w14:paraId="32EE7E82" w14:textId="77777777" w:rsidR="00882514" w:rsidRDefault="00882514" w:rsidP="00882514">
            <w:pPr>
              <w:spacing w:line="240" w:lineRule="auto"/>
              <w:ind w:firstLine="159"/>
              <w:rPr>
                <w:sz w:val="20"/>
                <w:szCs w:val="20"/>
              </w:rPr>
            </w:pPr>
            <w:r>
              <w:rPr>
                <w:sz w:val="20"/>
                <w:szCs w:val="20"/>
              </w:rPr>
              <w:t>Site</w:t>
            </w:r>
          </w:p>
        </w:tc>
        <w:tc>
          <w:tcPr>
            <w:tcW w:w="591" w:type="pct"/>
            <w:tcBorders>
              <w:top w:val="single" w:sz="4" w:space="0" w:color="FFFFFF"/>
              <w:left w:val="single" w:sz="4" w:space="0" w:color="FFFFFF"/>
              <w:bottom w:val="single" w:sz="4" w:space="0" w:color="FFFFFF"/>
              <w:right w:val="single" w:sz="4" w:space="0" w:color="FFFFFF"/>
            </w:tcBorders>
            <w:vAlign w:val="center"/>
          </w:tcPr>
          <w:p w14:paraId="02780F4E" w14:textId="77777777" w:rsidR="00882514" w:rsidRPr="006E5A03" w:rsidRDefault="00882514" w:rsidP="00882514">
            <w:pPr>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52EFE127" w14:textId="77777777" w:rsidR="00882514" w:rsidRPr="006E5A03" w:rsidRDefault="00882514" w:rsidP="00882514">
            <w:pPr>
              <w:tabs>
                <w:tab w:val="decimal" w:pos="429"/>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579D6963" w14:textId="77777777" w:rsidR="00882514" w:rsidRPr="006E5A03" w:rsidRDefault="00882514" w:rsidP="00882514">
            <w:pPr>
              <w:tabs>
                <w:tab w:val="decimal" w:pos="217"/>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4CE0F21A" w14:textId="77777777" w:rsidR="00882514" w:rsidRPr="006E5A03" w:rsidRDefault="00882514" w:rsidP="00882514">
            <w:pPr>
              <w:tabs>
                <w:tab w:val="decimal" w:pos="431"/>
              </w:tabs>
              <w:spacing w:line="240" w:lineRule="auto"/>
              <w:rPr>
                <w:sz w:val="20"/>
                <w:szCs w:val="20"/>
              </w:rPr>
            </w:pPr>
            <w:r w:rsidRPr="006E5A03">
              <w:rPr>
                <w:sz w:val="20"/>
                <w:szCs w:val="20"/>
              </w:rPr>
              <w:t>&lt; 0.001</w:t>
            </w:r>
          </w:p>
        </w:tc>
        <w:tc>
          <w:tcPr>
            <w:tcW w:w="591" w:type="pct"/>
            <w:tcBorders>
              <w:top w:val="single" w:sz="4" w:space="0" w:color="FFFFFF"/>
              <w:left w:val="single" w:sz="4" w:space="0" w:color="FFFFFF"/>
              <w:bottom w:val="single" w:sz="4" w:space="0" w:color="FFFFFF"/>
              <w:right w:val="single" w:sz="4" w:space="0" w:color="FFFFFF"/>
            </w:tcBorders>
            <w:vAlign w:val="center"/>
          </w:tcPr>
          <w:p w14:paraId="6CB4A1F0" w14:textId="77777777" w:rsidR="00882514" w:rsidRPr="006E5A03" w:rsidRDefault="00882514" w:rsidP="00882514">
            <w:pPr>
              <w:tabs>
                <w:tab w:val="decimal" w:pos="248"/>
              </w:tabs>
              <w:spacing w:line="240" w:lineRule="auto"/>
              <w:rPr>
                <w:sz w:val="20"/>
                <w:szCs w:val="20"/>
              </w:rPr>
            </w:pPr>
            <w:r w:rsidRPr="006E5A03">
              <w:rPr>
                <w:sz w:val="20"/>
                <w:szCs w:val="20"/>
              </w:rPr>
              <w:t>&lt; 0.001</w:t>
            </w:r>
          </w:p>
        </w:tc>
        <w:tc>
          <w:tcPr>
            <w:tcW w:w="591" w:type="pct"/>
            <w:tcBorders>
              <w:top w:val="single" w:sz="4" w:space="0" w:color="FFFFFF"/>
              <w:left w:val="single" w:sz="4" w:space="0" w:color="FFFFFF"/>
              <w:bottom w:val="single" w:sz="4" w:space="0" w:color="FFFFFF"/>
              <w:right w:val="single" w:sz="4" w:space="0" w:color="FFFFFF"/>
            </w:tcBorders>
            <w:vAlign w:val="center"/>
          </w:tcPr>
          <w:p w14:paraId="68B573DD" w14:textId="77777777" w:rsidR="00882514" w:rsidRPr="006E5A03" w:rsidRDefault="00882514" w:rsidP="00882514">
            <w:pPr>
              <w:tabs>
                <w:tab w:val="decimal" w:pos="172"/>
              </w:tabs>
              <w:spacing w:line="240" w:lineRule="auto"/>
              <w:rPr>
                <w:sz w:val="20"/>
                <w:szCs w:val="20"/>
              </w:rPr>
            </w:pPr>
            <w:r w:rsidRPr="006E5A03">
              <w:rPr>
                <w:sz w:val="20"/>
                <w:szCs w:val="20"/>
              </w:rPr>
              <w:t>0.099</w:t>
            </w:r>
          </w:p>
        </w:tc>
        <w:tc>
          <w:tcPr>
            <w:tcW w:w="588" w:type="pct"/>
            <w:tcBorders>
              <w:top w:val="single" w:sz="4" w:space="0" w:color="FFFFFF"/>
              <w:left w:val="single" w:sz="4" w:space="0" w:color="FFFFFF"/>
              <w:bottom w:val="single" w:sz="4" w:space="0" w:color="FFFFFF"/>
              <w:right w:val="single" w:sz="4" w:space="0" w:color="FFFFFF"/>
            </w:tcBorders>
            <w:vAlign w:val="center"/>
          </w:tcPr>
          <w:p w14:paraId="142AD2E9" w14:textId="77777777" w:rsidR="00882514" w:rsidRPr="006E5A03" w:rsidRDefault="00882514" w:rsidP="00882514">
            <w:pPr>
              <w:tabs>
                <w:tab w:val="decimal" w:pos="279"/>
              </w:tabs>
              <w:spacing w:line="240" w:lineRule="auto"/>
              <w:jc w:val="both"/>
              <w:rPr>
                <w:sz w:val="20"/>
                <w:szCs w:val="20"/>
              </w:rPr>
            </w:pPr>
            <w:r w:rsidRPr="006E5A03">
              <w:rPr>
                <w:sz w:val="20"/>
                <w:szCs w:val="20"/>
              </w:rPr>
              <w:t>0.022</w:t>
            </w:r>
          </w:p>
        </w:tc>
      </w:tr>
      <w:tr w:rsidR="00882514" w14:paraId="7D8AD894" w14:textId="77777777" w:rsidTr="00EA09C7">
        <w:trPr>
          <w:trHeight w:val="230"/>
        </w:trPr>
        <w:tc>
          <w:tcPr>
            <w:tcW w:w="866" w:type="pct"/>
            <w:tcBorders>
              <w:top w:val="single" w:sz="4" w:space="0" w:color="FFFFFF"/>
              <w:left w:val="single" w:sz="4" w:space="0" w:color="FFFFFF"/>
              <w:bottom w:val="single" w:sz="4" w:space="0" w:color="FFFFFF"/>
              <w:right w:val="single" w:sz="4" w:space="0" w:color="FFFFFF"/>
            </w:tcBorders>
            <w:vAlign w:val="center"/>
          </w:tcPr>
          <w:p w14:paraId="2BFC7023" w14:textId="77777777" w:rsidR="00882514" w:rsidRDefault="00882514" w:rsidP="00882514">
            <w:pPr>
              <w:spacing w:line="240" w:lineRule="auto"/>
              <w:ind w:firstLine="159"/>
              <w:rPr>
                <w:sz w:val="20"/>
                <w:szCs w:val="20"/>
              </w:rPr>
            </w:pPr>
            <w:r>
              <w:rPr>
                <w:sz w:val="20"/>
                <w:szCs w:val="20"/>
              </w:rPr>
              <w:t xml:space="preserve">Participant </w:t>
            </w:r>
          </w:p>
        </w:tc>
        <w:tc>
          <w:tcPr>
            <w:tcW w:w="591" w:type="pct"/>
            <w:tcBorders>
              <w:top w:val="single" w:sz="4" w:space="0" w:color="FFFFFF"/>
              <w:left w:val="single" w:sz="4" w:space="0" w:color="FFFFFF"/>
              <w:bottom w:val="single" w:sz="4" w:space="0" w:color="FFFFFF"/>
              <w:right w:val="single" w:sz="4" w:space="0" w:color="FFFFFF"/>
            </w:tcBorders>
            <w:vAlign w:val="center"/>
          </w:tcPr>
          <w:p w14:paraId="0E66ACC2" w14:textId="77777777" w:rsidR="00882514" w:rsidRPr="006E5A03" w:rsidRDefault="00882514" w:rsidP="00882514">
            <w:pPr>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13FE513E" w14:textId="77777777" w:rsidR="00882514" w:rsidRPr="006E5A03" w:rsidRDefault="00882514" w:rsidP="00882514">
            <w:pPr>
              <w:tabs>
                <w:tab w:val="decimal" w:pos="429"/>
              </w:tabs>
              <w:spacing w:line="240" w:lineRule="auto"/>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1E7F64EF" w14:textId="77777777" w:rsidR="00882514" w:rsidRPr="006E5A03" w:rsidRDefault="00882514" w:rsidP="00882514">
            <w:pPr>
              <w:tabs>
                <w:tab w:val="decimal" w:pos="523"/>
              </w:tabs>
              <w:spacing w:line="240" w:lineRule="auto"/>
              <w:rPr>
                <w:sz w:val="20"/>
                <w:szCs w:val="20"/>
              </w:rPr>
            </w:pPr>
            <w:r w:rsidRPr="006E5A03">
              <w:rPr>
                <w:sz w:val="20"/>
                <w:szCs w:val="20"/>
              </w:rPr>
              <w:t>&lt; 0.001</w:t>
            </w:r>
          </w:p>
        </w:tc>
        <w:tc>
          <w:tcPr>
            <w:tcW w:w="591" w:type="pct"/>
            <w:tcBorders>
              <w:top w:val="single" w:sz="4" w:space="0" w:color="FFFFFF"/>
              <w:left w:val="single" w:sz="4" w:space="0" w:color="FFFFFF"/>
              <w:bottom w:val="single" w:sz="4" w:space="0" w:color="FFFFFF"/>
              <w:right w:val="single" w:sz="4" w:space="0" w:color="FFFFFF"/>
            </w:tcBorders>
            <w:vAlign w:val="center"/>
          </w:tcPr>
          <w:p w14:paraId="184FDB26" w14:textId="77777777" w:rsidR="00882514" w:rsidRPr="006E5A03" w:rsidRDefault="00882514" w:rsidP="00882514">
            <w:pPr>
              <w:tabs>
                <w:tab w:val="decimal" w:pos="431"/>
              </w:tabs>
              <w:spacing w:line="240" w:lineRule="auto"/>
              <w:rPr>
                <w:sz w:val="20"/>
                <w:szCs w:val="20"/>
              </w:rPr>
            </w:pPr>
            <w:r w:rsidRPr="006E5A03">
              <w:rPr>
                <w:sz w:val="20"/>
                <w:szCs w:val="20"/>
              </w:rPr>
              <w:t>&lt; 0.001</w:t>
            </w:r>
          </w:p>
        </w:tc>
        <w:tc>
          <w:tcPr>
            <w:tcW w:w="591" w:type="pct"/>
            <w:tcBorders>
              <w:top w:val="single" w:sz="4" w:space="0" w:color="FFFFFF"/>
              <w:left w:val="single" w:sz="4" w:space="0" w:color="FFFFFF"/>
              <w:bottom w:val="single" w:sz="4" w:space="0" w:color="FFFFFF"/>
              <w:right w:val="single" w:sz="4" w:space="0" w:color="FFFFFF"/>
            </w:tcBorders>
            <w:vAlign w:val="center"/>
          </w:tcPr>
          <w:p w14:paraId="4A970EBB" w14:textId="77777777" w:rsidR="00882514" w:rsidRPr="006E5A03" w:rsidRDefault="00882514" w:rsidP="00882514">
            <w:pPr>
              <w:tabs>
                <w:tab w:val="decimal" w:pos="248"/>
              </w:tabs>
              <w:spacing w:line="240" w:lineRule="auto"/>
              <w:rPr>
                <w:sz w:val="20"/>
                <w:szCs w:val="20"/>
              </w:rPr>
            </w:pPr>
            <w:r w:rsidRPr="006E5A03">
              <w:rPr>
                <w:sz w:val="20"/>
                <w:szCs w:val="20"/>
              </w:rPr>
              <w:t>&lt; 0.001</w:t>
            </w:r>
          </w:p>
        </w:tc>
        <w:tc>
          <w:tcPr>
            <w:tcW w:w="591" w:type="pct"/>
            <w:tcBorders>
              <w:top w:val="single" w:sz="4" w:space="0" w:color="FFFFFF"/>
              <w:left w:val="single" w:sz="4" w:space="0" w:color="FFFFFF"/>
              <w:bottom w:val="single" w:sz="4" w:space="0" w:color="FFFFFF"/>
              <w:right w:val="single" w:sz="4" w:space="0" w:color="FFFFFF"/>
            </w:tcBorders>
            <w:vAlign w:val="center"/>
          </w:tcPr>
          <w:p w14:paraId="201CF22E" w14:textId="77777777" w:rsidR="00882514" w:rsidRPr="006E5A03" w:rsidRDefault="00882514" w:rsidP="00882514">
            <w:pPr>
              <w:tabs>
                <w:tab w:val="decimal" w:pos="172"/>
              </w:tabs>
              <w:spacing w:line="240" w:lineRule="auto"/>
              <w:rPr>
                <w:sz w:val="20"/>
                <w:szCs w:val="20"/>
              </w:rPr>
            </w:pPr>
            <w:r w:rsidRPr="006E5A03">
              <w:rPr>
                <w:sz w:val="20"/>
                <w:szCs w:val="20"/>
              </w:rPr>
              <w:t>0.066</w:t>
            </w:r>
          </w:p>
        </w:tc>
        <w:tc>
          <w:tcPr>
            <w:tcW w:w="588" w:type="pct"/>
            <w:tcBorders>
              <w:top w:val="single" w:sz="4" w:space="0" w:color="FFFFFF"/>
              <w:left w:val="single" w:sz="4" w:space="0" w:color="FFFFFF"/>
              <w:bottom w:val="single" w:sz="4" w:space="0" w:color="FFFFFF"/>
              <w:right w:val="single" w:sz="4" w:space="0" w:color="FFFFFF"/>
            </w:tcBorders>
            <w:vAlign w:val="center"/>
          </w:tcPr>
          <w:p w14:paraId="118384D0" w14:textId="77777777" w:rsidR="00882514" w:rsidRPr="006E5A03" w:rsidRDefault="00882514" w:rsidP="00882514">
            <w:pPr>
              <w:tabs>
                <w:tab w:val="decimal" w:pos="279"/>
              </w:tabs>
              <w:spacing w:line="240" w:lineRule="auto"/>
              <w:jc w:val="both"/>
              <w:rPr>
                <w:sz w:val="20"/>
                <w:szCs w:val="20"/>
              </w:rPr>
            </w:pPr>
            <w:r w:rsidRPr="006E5A03">
              <w:rPr>
                <w:sz w:val="20"/>
                <w:szCs w:val="20"/>
              </w:rPr>
              <w:t>0.040</w:t>
            </w:r>
          </w:p>
        </w:tc>
      </w:tr>
      <w:tr w:rsidR="00882514" w14:paraId="57BF5B71" w14:textId="77777777" w:rsidTr="00EA09C7">
        <w:trPr>
          <w:trHeight w:val="230"/>
        </w:trPr>
        <w:tc>
          <w:tcPr>
            <w:tcW w:w="866" w:type="pct"/>
            <w:tcBorders>
              <w:top w:val="single" w:sz="4" w:space="0" w:color="FFFFFF"/>
              <w:left w:val="single" w:sz="4" w:space="0" w:color="FFFFFF"/>
              <w:bottom w:val="single" w:sz="4" w:space="0" w:color="FFFFFF"/>
              <w:right w:val="single" w:sz="4" w:space="0" w:color="FFFFFF"/>
            </w:tcBorders>
            <w:vAlign w:val="center"/>
          </w:tcPr>
          <w:p w14:paraId="52A3AEBC" w14:textId="77777777" w:rsidR="00882514" w:rsidRDefault="00882514" w:rsidP="00882514">
            <w:pPr>
              <w:spacing w:line="240" w:lineRule="auto"/>
              <w:ind w:firstLine="159"/>
              <w:rPr>
                <w:sz w:val="20"/>
                <w:szCs w:val="20"/>
              </w:rPr>
            </w:pPr>
            <w:r>
              <w:rPr>
                <w:sz w:val="20"/>
                <w:szCs w:val="20"/>
              </w:rPr>
              <w:t>Vignette</w:t>
            </w:r>
          </w:p>
        </w:tc>
        <w:tc>
          <w:tcPr>
            <w:tcW w:w="591" w:type="pct"/>
            <w:tcBorders>
              <w:top w:val="single" w:sz="4" w:space="0" w:color="FFFFFF"/>
              <w:left w:val="single" w:sz="4" w:space="0" w:color="FFFFFF"/>
              <w:bottom w:val="single" w:sz="4" w:space="0" w:color="FFFFFF"/>
              <w:right w:val="single" w:sz="4" w:space="0" w:color="FFFFFF"/>
            </w:tcBorders>
            <w:vAlign w:val="center"/>
          </w:tcPr>
          <w:p w14:paraId="6C733DA2" w14:textId="77777777" w:rsidR="00882514" w:rsidRPr="006E5A03" w:rsidRDefault="00882514" w:rsidP="00882514">
            <w:pPr>
              <w:spacing w:line="240" w:lineRule="auto"/>
              <w:jc w:val="center"/>
              <w:rPr>
                <w:sz w:val="20"/>
                <w:szCs w:val="20"/>
              </w:rPr>
            </w:pPr>
          </w:p>
        </w:tc>
        <w:tc>
          <w:tcPr>
            <w:tcW w:w="591" w:type="pct"/>
            <w:tcBorders>
              <w:top w:val="single" w:sz="4" w:space="0" w:color="FFFFFF"/>
              <w:left w:val="single" w:sz="4" w:space="0" w:color="FFFFFF"/>
              <w:bottom w:val="single" w:sz="4" w:space="0" w:color="FFFFFF"/>
              <w:right w:val="single" w:sz="4" w:space="0" w:color="FFFFFF"/>
            </w:tcBorders>
            <w:vAlign w:val="center"/>
          </w:tcPr>
          <w:p w14:paraId="1C1059CD" w14:textId="77777777" w:rsidR="00882514" w:rsidRPr="006E5A03" w:rsidRDefault="00882514" w:rsidP="00882514">
            <w:pPr>
              <w:tabs>
                <w:tab w:val="decimal" w:pos="429"/>
              </w:tabs>
              <w:spacing w:line="240" w:lineRule="auto"/>
              <w:rPr>
                <w:sz w:val="20"/>
                <w:szCs w:val="20"/>
              </w:rPr>
            </w:pPr>
            <w:r w:rsidRPr="006E5A03">
              <w:rPr>
                <w:sz w:val="20"/>
                <w:szCs w:val="20"/>
              </w:rPr>
              <w:t>0.581</w:t>
            </w:r>
          </w:p>
        </w:tc>
        <w:tc>
          <w:tcPr>
            <w:tcW w:w="591" w:type="pct"/>
            <w:tcBorders>
              <w:top w:val="single" w:sz="4" w:space="0" w:color="FFFFFF"/>
              <w:left w:val="single" w:sz="4" w:space="0" w:color="FFFFFF"/>
              <w:bottom w:val="single" w:sz="4" w:space="0" w:color="FFFFFF"/>
              <w:right w:val="single" w:sz="4" w:space="0" w:color="FFFFFF"/>
            </w:tcBorders>
            <w:vAlign w:val="center"/>
          </w:tcPr>
          <w:p w14:paraId="3A51E151" w14:textId="77777777" w:rsidR="00882514" w:rsidRPr="006E5A03" w:rsidRDefault="00882514" w:rsidP="00882514">
            <w:pPr>
              <w:tabs>
                <w:tab w:val="decimal" w:pos="523"/>
              </w:tabs>
              <w:spacing w:line="240" w:lineRule="auto"/>
              <w:rPr>
                <w:sz w:val="20"/>
                <w:szCs w:val="20"/>
              </w:rPr>
            </w:pPr>
            <w:r w:rsidRPr="006E5A03">
              <w:rPr>
                <w:sz w:val="20"/>
                <w:szCs w:val="20"/>
              </w:rPr>
              <w:t>0.581</w:t>
            </w:r>
          </w:p>
        </w:tc>
        <w:tc>
          <w:tcPr>
            <w:tcW w:w="591" w:type="pct"/>
            <w:tcBorders>
              <w:top w:val="single" w:sz="4" w:space="0" w:color="FFFFFF"/>
              <w:left w:val="single" w:sz="4" w:space="0" w:color="FFFFFF"/>
              <w:bottom w:val="single" w:sz="4" w:space="0" w:color="FFFFFF"/>
              <w:right w:val="single" w:sz="4" w:space="0" w:color="FFFFFF"/>
            </w:tcBorders>
            <w:vAlign w:val="center"/>
          </w:tcPr>
          <w:p w14:paraId="723DC414" w14:textId="77777777" w:rsidR="00882514" w:rsidRPr="006E5A03" w:rsidRDefault="00882514" w:rsidP="00882514">
            <w:pPr>
              <w:tabs>
                <w:tab w:val="decimal" w:pos="431"/>
              </w:tabs>
              <w:spacing w:line="240" w:lineRule="auto"/>
              <w:rPr>
                <w:sz w:val="20"/>
                <w:szCs w:val="20"/>
              </w:rPr>
            </w:pPr>
            <w:r w:rsidRPr="006E5A03">
              <w:rPr>
                <w:sz w:val="20"/>
                <w:szCs w:val="20"/>
              </w:rPr>
              <w:t>0.581</w:t>
            </w:r>
          </w:p>
        </w:tc>
        <w:tc>
          <w:tcPr>
            <w:tcW w:w="591" w:type="pct"/>
            <w:tcBorders>
              <w:top w:val="single" w:sz="4" w:space="0" w:color="FFFFFF"/>
              <w:left w:val="single" w:sz="4" w:space="0" w:color="FFFFFF"/>
              <w:bottom w:val="single" w:sz="4" w:space="0" w:color="FFFFFF"/>
              <w:right w:val="single" w:sz="4" w:space="0" w:color="FFFFFF"/>
            </w:tcBorders>
            <w:vAlign w:val="center"/>
          </w:tcPr>
          <w:p w14:paraId="4698236F" w14:textId="77777777" w:rsidR="00882514" w:rsidRPr="006E5A03" w:rsidRDefault="00882514" w:rsidP="00882514">
            <w:pPr>
              <w:tabs>
                <w:tab w:val="decimal" w:pos="248"/>
              </w:tabs>
              <w:spacing w:line="240" w:lineRule="auto"/>
              <w:rPr>
                <w:sz w:val="20"/>
                <w:szCs w:val="20"/>
              </w:rPr>
            </w:pPr>
            <w:r w:rsidRPr="006E5A03">
              <w:rPr>
                <w:sz w:val="20"/>
                <w:szCs w:val="20"/>
              </w:rPr>
              <w:t>0.585</w:t>
            </w:r>
          </w:p>
        </w:tc>
        <w:tc>
          <w:tcPr>
            <w:tcW w:w="591" w:type="pct"/>
            <w:tcBorders>
              <w:top w:val="single" w:sz="4" w:space="0" w:color="FFFFFF"/>
              <w:left w:val="single" w:sz="4" w:space="0" w:color="FFFFFF"/>
              <w:bottom w:val="single" w:sz="4" w:space="0" w:color="FFFFFF"/>
              <w:right w:val="single" w:sz="4" w:space="0" w:color="FFFFFF"/>
            </w:tcBorders>
            <w:vAlign w:val="center"/>
          </w:tcPr>
          <w:p w14:paraId="55943004" w14:textId="77777777" w:rsidR="00882514" w:rsidRPr="006E5A03" w:rsidRDefault="00882514" w:rsidP="00882514">
            <w:pPr>
              <w:tabs>
                <w:tab w:val="decimal" w:pos="172"/>
              </w:tabs>
              <w:spacing w:line="240" w:lineRule="auto"/>
              <w:rPr>
                <w:sz w:val="20"/>
                <w:szCs w:val="20"/>
              </w:rPr>
            </w:pPr>
            <w:r w:rsidRPr="006E5A03">
              <w:rPr>
                <w:sz w:val="20"/>
                <w:szCs w:val="20"/>
              </w:rPr>
              <w:t>0.611</w:t>
            </w:r>
          </w:p>
        </w:tc>
        <w:tc>
          <w:tcPr>
            <w:tcW w:w="588" w:type="pct"/>
            <w:tcBorders>
              <w:top w:val="single" w:sz="4" w:space="0" w:color="FFFFFF"/>
              <w:left w:val="single" w:sz="4" w:space="0" w:color="FFFFFF"/>
              <w:bottom w:val="single" w:sz="4" w:space="0" w:color="FFFFFF"/>
              <w:right w:val="single" w:sz="4" w:space="0" w:color="FFFFFF"/>
            </w:tcBorders>
            <w:vAlign w:val="center"/>
          </w:tcPr>
          <w:p w14:paraId="3102E95D" w14:textId="77777777" w:rsidR="00882514" w:rsidRPr="006E5A03" w:rsidRDefault="00882514" w:rsidP="00882514">
            <w:pPr>
              <w:tabs>
                <w:tab w:val="decimal" w:pos="279"/>
              </w:tabs>
              <w:spacing w:line="240" w:lineRule="auto"/>
              <w:jc w:val="both"/>
              <w:rPr>
                <w:sz w:val="20"/>
                <w:szCs w:val="20"/>
              </w:rPr>
            </w:pPr>
            <w:r w:rsidRPr="006E5A03">
              <w:rPr>
                <w:sz w:val="20"/>
                <w:szCs w:val="20"/>
              </w:rPr>
              <w:t>&lt; 0.001</w:t>
            </w:r>
          </w:p>
        </w:tc>
      </w:tr>
      <w:tr w:rsidR="00882514" w14:paraId="33FAB677" w14:textId="77777777" w:rsidTr="00EA09C7">
        <w:trPr>
          <w:trHeight w:val="230"/>
        </w:trPr>
        <w:tc>
          <w:tcPr>
            <w:tcW w:w="866" w:type="pct"/>
            <w:tcBorders>
              <w:left w:val="single" w:sz="4" w:space="0" w:color="FFFFFF"/>
              <w:right w:val="single" w:sz="4" w:space="0" w:color="FFFFFF"/>
            </w:tcBorders>
            <w:vAlign w:val="center"/>
          </w:tcPr>
          <w:p w14:paraId="6323E2E7" w14:textId="77777777" w:rsidR="00882514" w:rsidRDefault="00882514" w:rsidP="00882514">
            <w:pPr>
              <w:spacing w:line="240" w:lineRule="auto"/>
              <w:rPr>
                <w:sz w:val="20"/>
                <w:szCs w:val="20"/>
              </w:rPr>
            </w:pPr>
            <w:r>
              <w:rPr>
                <w:sz w:val="20"/>
                <w:szCs w:val="20"/>
              </w:rPr>
              <w:t>AIC</w:t>
            </w:r>
          </w:p>
        </w:tc>
        <w:tc>
          <w:tcPr>
            <w:tcW w:w="591" w:type="pct"/>
            <w:tcBorders>
              <w:left w:val="single" w:sz="4" w:space="0" w:color="FFFFFF"/>
              <w:right w:val="single" w:sz="4" w:space="0" w:color="FFFFFF"/>
            </w:tcBorders>
            <w:vAlign w:val="center"/>
          </w:tcPr>
          <w:p w14:paraId="72C4A47C" w14:textId="77777777" w:rsidR="00882514" w:rsidRDefault="00882514" w:rsidP="00882514">
            <w:pPr>
              <w:spacing w:line="240" w:lineRule="auto"/>
              <w:rPr>
                <w:sz w:val="20"/>
                <w:szCs w:val="20"/>
              </w:rPr>
            </w:pPr>
            <w:r>
              <w:rPr>
                <w:sz w:val="20"/>
                <w:szCs w:val="20"/>
              </w:rPr>
              <w:t>17776.67</w:t>
            </w:r>
          </w:p>
        </w:tc>
        <w:tc>
          <w:tcPr>
            <w:tcW w:w="591" w:type="pct"/>
            <w:tcBorders>
              <w:left w:val="single" w:sz="4" w:space="0" w:color="FFFFFF"/>
              <w:right w:val="single" w:sz="4" w:space="0" w:color="FFFFFF"/>
            </w:tcBorders>
            <w:vAlign w:val="center"/>
          </w:tcPr>
          <w:p w14:paraId="7CE730D0" w14:textId="77777777" w:rsidR="00882514" w:rsidRDefault="00882514" w:rsidP="00882514">
            <w:pPr>
              <w:spacing w:line="240" w:lineRule="auto"/>
              <w:rPr>
                <w:sz w:val="20"/>
                <w:szCs w:val="20"/>
              </w:rPr>
            </w:pPr>
            <w:r>
              <w:rPr>
                <w:sz w:val="20"/>
                <w:szCs w:val="20"/>
              </w:rPr>
              <w:t>16771.30</w:t>
            </w:r>
          </w:p>
        </w:tc>
        <w:tc>
          <w:tcPr>
            <w:tcW w:w="591" w:type="pct"/>
            <w:tcBorders>
              <w:left w:val="single" w:sz="4" w:space="0" w:color="FFFFFF"/>
              <w:right w:val="single" w:sz="4" w:space="0" w:color="FFFFFF"/>
            </w:tcBorders>
            <w:vAlign w:val="center"/>
          </w:tcPr>
          <w:p w14:paraId="4C48A0DC" w14:textId="77777777" w:rsidR="00882514" w:rsidRDefault="00882514" w:rsidP="00882514">
            <w:pPr>
              <w:spacing w:line="240" w:lineRule="auto"/>
              <w:rPr>
                <w:sz w:val="20"/>
                <w:szCs w:val="20"/>
              </w:rPr>
            </w:pPr>
            <w:r>
              <w:rPr>
                <w:sz w:val="20"/>
                <w:szCs w:val="20"/>
              </w:rPr>
              <w:t>16773.30</w:t>
            </w:r>
          </w:p>
        </w:tc>
        <w:tc>
          <w:tcPr>
            <w:tcW w:w="591" w:type="pct"/>
            <w:tcBorders>
              <w:left w:val="single" w:sz="4" w:space="0" w:color="FFFFFF"/>
              <w:right w:val="single" w:sz="4" w:space="0" w:color="FFFFFF"/>
            </w:tcBorders>
            <w:vAlign w:val="center"/>
          </w:tcPr>
          <w:p w14:paraId="194FF729" w14:textId="77777777" w:rsidR="00882514" w:rsidRDefault="00882514" w:rsidP="00882514">
            <w:pPr>
              <w:spacing w:line="240" w:lineRule="auto"/>
              <w:rPr>
                <w:sz w:val="20"/>
                <w:szCs w:val="20"/>
              </w:rPr>
            </w:pPr>
            <w:r>
              <w:rPr>
                <w:sz w:val="20"/>
                <w:szCs w:val="20"/>
              </w:rPr>
              <w:t>16775.30</w:t>
            </w:r>
          </w:p>
        </w:tc>
        <w:tc>
          <w:tcPr>
            <w:tcW w:w="591" w:type="pct"/>
            <w:tcBorders>
              <w:left w:val="single" w:sz="4" w:space="0" w:color="FFFFFF"/>
              <w:right w:val="single" w:sz="4" w:space="0" w:color="FFFFFF"/>
            </w:tcBorders>
            <w:vAlign w:val="center"/>
          </w:tcPr>
          <w:p w14:paraId="2BC98E34" w14:textId="77777777" w:rsidR="00882514" w:rsidRDefault="00882514" w:rsidP="00882514">
            <w:pPr>
              <w:spacing w:line="240" w:lineRule="auto"/>
              <w:rPr>
                <w:sz w:val="20"/>
                <w:szCs w:val="20"/>
              </w:rPr>
            </w:pPr>
            <w:r>
              <w:rPr>
                <w:sz w:val="20"/>
                <w:szCs w:val="20"/>
              </w:rPr>
              <w:t>16489.60</w:t>
            </w:r>
          </w:p>
        </w:tc>
        <w:tc>
          <w:tcPr>
            <w:tcW w:w="591" w:type="pct"/>
            <w:tcBorders>
              <w:left w:val="single" w:sz="4" w:space="0" w:color="FFFFFF"/>
              <w:right w:val="single" w:sz="4" w:space="0" w:color="FFFFFF"/>
            </w:tcBorders>
            <w:vAlign w:val="center"/>
          </w:tcPr>
          <w:p w14:paraId="6E611E1B" w14:textId="77777777" w:rsidR="00882514" w:rsidRDefault="00882514" w:rsidP="00882514">
            <w:pPr>
              <w:spacing w:line="240" w:lineRule="auto"/>
              <w:rPr>
                <w:sz w:val="20"/>
                <w:szCs w:val="20"/>
              </w:rPr>
            </w:pPr>
            <w:r>
              <w:rPr>
                <w:sz w:val="20"/>
                <w:szCs w:val="20"/>
              </w:rPr>
              <w:t>15896.17</w:t>
            </w:r>
          </w:p>
        </w:tc>
        <w:tc>
          <w:tcPr>
            <w:tcW w:w="588" w:type="pct"/>
            <w:tcBorders>
              <w:left w:val="single" w:sz="4" w:space="0" w:color="FFFFFF"/>
              <w:right w:val="single" w:sz="4" w:space="0" w:color="FFFFFF"/>
            </w:tcBorders>
            <w:vAlign w:val="center"/>
          </w:tcPr>
          <w:p w14:paraId="1ECCDB03" w14:textId="77777777" w:rsidR="00882514" w:rsidRDefault="00882514" w:rsidP="00882514">
            <w:pPr>
              <w:tabs>
                <w:tab w:val="left" w:pos="265"/>
              </w:tabs>
              <w:spacing w:line="240" w:lineRule="auto"/>
              <w:rPr>
                <w:sz w:val="20"/>
                <w:szCs w:val="20"/>
              </w:rPr>
            </w:pPr>
            <w:r>
              <w:rPr>
                <w:sz w:val="20"/>
                <w:szCs w:val="20"/>
              </w:rPr>
              <w:t>15458.37</w:t>
            </w:r>
          </w:p>
        </w:tc>
      </w:tr>
    </w:tbl>
    <w:p w14:paraId="0F419B00" w14:textId="77777777" w:rsidR="00E03554" w:rsidRDefault="00E03554">
      <w:pPr>
        <w:spacing w:after="160"/>
        <w:sectPr w:rsidR="00E03554">
          <w:pgSz w:w="15840" w:h="12240" w:orient="landscape"/>
          <w:pgMar w:top="1440" w:right="1440" w:bottom="1440" w:left="1440" w:header="720" w:footer="720" w:gutter="0"/>
          <w:cols w:space="720"/>
        </w:sectPr>
      </w:pPr>
    </w:p>
    <w:p w14:paraId="62E404CC" w14:textId="77777777" w:rsidR="00E03554" w:rsidRDefault="00DF0CFA">
      <w:pPr>
        <w:rPr>
          <w:b/>
        </w:rPr>
      </w:pPr>
      <w:r>
        <w:rPr>
          <w:b/>
        </w:rPr>
        <w:lastRenderedPageBreak/>
        <w:t>Table 12</w:t>
      </w:r>
    </w:p>
    <w:p w14:paraId="6098EFFB" w14:textId="77777777" w:rsidR="00E03554" w:rsidRDefault="00DF0CFA">
      <w:pPr>
        <w:spacing w:before="240" w:after="240"/>
        <w:rPr>
          <w:i/>
        </w:rPr>
      </w:pPr>
      <w:r>
        <w:rPr>
          <w:i/>
        </w:rPr>
        <w:t>Luck (In)ability Attributions from Model 2 Overall and by Vignette</w:t>
      </w:r>
    </w:p>
    <w:tbl>
      <w:tblPr>
        <w:tblW w:w="9360" w:type="dxa"/>
        <w:tblLayout w:type="fixed"/>
        <w:tblLook w:val="0600" w:firstRow="0" w:lastRow="0" w:firstColumn="0" w:lastColumn="0" w:noHBand="1" w:noVBand="1"/>
      </w:tblPr>
      <w:tblGrid>
        <w:gridCol w:w="1872"/>
        <w:gridCol w:w="1872"/>
        <w:gridCol w:w="1872"/>
        <w:gridCol w:w="1872"/>
        <w:gridCol w:w="1872"/>
      </w:tblGrid>
      <w:tr w:rsidR="00882514" w14:paraId="02B9AA3A" w14:textId="77777777" w:rsidTr="00EA09C7">
        <w:trPr>
          <w:trHeight w:val="267"/>
        </w:trPr>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2FD6537F" w14:textId="77777777" w:rsidR="00882514" w:rsidRDefault="00882514" w:rsidP="00EA09C7">
            <w:pPr>
              <w:spacing w:line="240" w:lineRule="auto"/>
            </w:pPr>
          </w:p>
        </w:tc>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4C4E0228" w14:textId="77777777" w:rsidR="00882514" w:rsidRDefault="00882514" w:rsidP="00EA09C7">
            <w:pPr>
              <w:spacing w:line="240" w:lineRule="auto"/>
              <w:jc w:val="center"/>
            </w:pPr>
            <w:r>
              <w:t>Overall</w:t>
            </w:r>
          </w:p>
        </w:tc>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67B59C42" w14:textId="77777777" w:rsidR="00882514" w:rsidRDefault="00882514" w:rsidP="00EA09C7">
            <w:pPr>
              <w:spacing w:line="240" w:lineRule="auto"/>
              <w:jc w:val="center"/>
            </w:pPr>
            <w:r>
              <w:t>Darrel</w:t>
            </w:r>
          </w:p>
        </w:tc>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3D38871D" w14:textId="77777777" w:rsidR="00882514" w:rsidRDefault="00882514" w:rsidP="00EA09C7">
            <w:pPr>
              <w:spacing w:line="240" w:lineRule="auto"/>
              <w:jc w:val="center"/>
            </w:pPr>
            <w:r>
              <w:t>Emma</w:t>
            </w:r>
          </w:p>
        </w:tc>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3CA43608" w14:textId="77777777" w:rsidR="00882514" w:rsidRDefault="00882514" w:rsidP="00EA09C7">
            <w:pPr>
              <w:spacing w:line="240" w:lineRule="auto"/>
              <w:jc w:val="center"/>
            </w:pPr>
            <w:r>
              <w:t xml:space="preserve">Gerald </w:t>
            </w:r>
          </w:p>
        </w:tc>
      </w:tr>
      <w:tr w:rsidR="00882514" w14:paraId="4ADDD211" w14:textId="77777777" w:rsidTr="00EA09C7">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27C413F7" w14:textId="77777777" w:rsidR="00882514" w:rsidRDefault="00882514" w:rsidP="00EA09C7">
            <w:pPr>
              <w:spacing w:line="240" w:lineRule="auto"/>
            </w:pPr>
            <w:r>
              <w:t>Luck</w:t>
            </w:r>
          </w:p>
        </w:tc>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283EBA9C" w14:textId="77777777" w:rsidR="00882514" w:rsidRDefault="00882514" w:rsidP="00EA09C7">
            <w:pPr>
              <w:spacing w:line="240" w:lineRule="auto"/>
              <w:jc w:val="center"/>
            </w:pPr>
            <w:r>
              <w:t>6551 (51.08%)</w:t>
            </w:r>
          </w:p>
        </w:tc>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0989AEEB" w14:textId="77777777" w:rsidR="00882514" w:rsidRDefault="00882514" w:rsidP="00EA09C7">
            <w:pPr>
              <w:spacing w:line="240" w:lineRule="auto"/>
              <w:jc w:val="center"/>
            </w:pPr>
            <w:r>
              <w:t>1434 (33.36%)</w:t>
            </w:r>
          </w:p>
        </w:tc>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02082259" w14:textId="77777777" w:rsidR="00882514" w:rsidRDefault="00882514" w:rsidP="00EA09C7">
            <w:pPr>
              <w:spacing w:line="240" w:lineRule="auto"/>
              <w:jc w:val="center"/>
            </w:pPr>
            <w:r>
              <w:t>2910 (67.50%)</w:t>
            </w:r>
          </w:p>
        </w:tc>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0D1A73EC" w14:textId="77777777" w:rsidR="00882514" w:rsidRDefault="00882514" w:rsidP="00EA09C7">
            <w:pPr>
              <w:spacing w:line="240" w:lineRule="auto"/>
              <w:jc w:val="center"/>
            </w:pPr>
            <w:r>
              <w:t>2207 (52.34%)</w:t>
            </w:r>
          </w:p>
        </w:tc>
      </w:tr>
      <w:tr w:rsidR="00882514" w14:paraId="1FF3E5C5" w14:textId="77777777" w:rsidTr="00EA09C7">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3AD0C2E3" w14:textId="77777777" w:rsidR="00882514" w:rsidRDefault="00882514" w:rsidP="00EA09C7">
            <w:pPr>
              <w:spacing w:line="240" w:lineRule="auto"/>
            </w:pPr>
            <w:r>
              <w:t>(In)ability</w:t>
            </w:r>
          </w:p>
        </w:tc>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75D15E85" w14:textId="77777777" w:rsidR="00882514" w:rsidRDefault="00882514" w:rsidP="00EA09C7">
            <w:pPr>
              <w:spacing w:line="240" w:lineRule="auto"/>
              <w:jc w:val="center"/>
            </w:pPr>
            <w:r>
              <w:t>6275 (48.92%)</w:t>
            </w:r>
          </w:p>
        </w:tc>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7C240F45" w14:textId="77777777" w:rsidR="00882514" w:rsidRDefault="00882514" w:rsidP="00EA09C7">
            <w:pPr>
              <w:spacing w:line="240" w:lineRule="auto"/>
              <w:jc w:val="center"/>
            </w:pPr>
            <w:r>
              <w:t>2864 (66.64%)</w:t>
            </w:r>
          </w:p>
        </w:tc>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0E6ACD1F" w14:textId="77777777" w:rsidR="00882514" w:rsidRDefault="00882514" w:rsidP="00EA09C7">
            <w:pPr>
              <w:spacing w:line="240" w:lineRule="auto"/>
              <w:jc w:val="center"/>
            </w:pPr>
            <w:r>
              <w:t>1401 (32.50%)</w:t>
            </w:r>
          </w:p>
        </w:tc>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324BC5E6" w14:textId="77777777" w:rsidR="00882514" w:rsidRDefault="00882514" w:rsidP="00EA09C7">
            <w:pPr>
              <w:spacing w:line="240" w:lineRule="auto"/>
              <w:jc w:val="center"/>
            </w:pPr>
            <w:r>
              <w:t>2010 (47.66%)</w:t>
            </w:r>
          </w:p>
        </w:tc>
      </w:tr>
    </w:tbl>
    <w:p w14:paraId="0F5C4E46" w14:textId="77777777" w:rsidR="00E03554" w:rsidRDefault="00E03554">
      <w:pPr>
        <w:rPr>
          <w:i/>
        </w:rPr>
      </w:pPr>
    </w:p>
    <w:p w14:paraId="63337EBD" w14:textId="77777777" w:rsidR="00E03554" w:rsidRDefault="00DF0CFA">
      <w:pPr>
        <w:ind w:firstLine="720"/>
      </w:pPr>
      <w:r>
        <w:t>A model with a random intercept for vignette nested within participants (Model 3, AIC = 16773.30) explained similar amounts of variance as the previous model (Pseudo-</w:t>
      </w:r>
      <w:r>
        <w:rPr>
          <w:i/>
        </w:rPr>
        <w:t>R</w:t>
      </w:r>
      <w:r>
        <w:rPr>
          <w:vertAlign w:val="superscript"/>
        </w:rPr>
        <w:t>2</w:t>
      </w:r>
      <w:r>
        <w:t xml:space="preserve"> = .08 - .09).  Nesting within the data collection site ((Model 4, AIC = 16775.30) did not improve the model fit (Pseudo-</w:t>
      </w:r>
      <w:r>
        <w:rPr>
          <w:i/>
        </w:rPr>
        <w:t>R</w:t>
      </w:r>
      <w:r>
        <w:rPr>
          <w:vertAlign w:val="superscript"/>
        </w:rPr>
        <w:t>2</w:t>
      </w:r>
      <w:r>
        <w:t xml:space="preserve"> = .08 - .09). Next, covariates were added to the model as fixed effects (Model 5, AIC = 16489.60). Relative to Model 4, Model 5 explained more variance in luck attributions (Pseudo-</w:t>
      </w:r>
      <w:r>
        <w:rPr>
          <w:i/>
        </w:rPr>
        <w:t>R</w:t>
      </w:r>
      <w:r>
        <w:rPr>
          <w:vertAlign w:val="superscript"/>
        </w:rPr>
        <w:t>2</w:t>
      </w:r>
      <w:r>
        <w:t xml:space="preserve"> = .08 - .10). Years of education, age, and compensation independently predicted luck attributions (see Table 11). </w:t>
      </w:r>
    </w:p>
    <w:p w14:paraId="4991F20D" w14:textId="77777777" w:rsidR="00E03554" w:rsidRDefault="00DF0CFA">
      <w:pPr>
        <w:spacing w:after="160"/>
        <w:ind w:firstLine="720"/>
      </w:pPr>
      <w:r>
        <w:t>Finally, we estimated a model including condition as a fixed effect (Model 6, AIC = 15896.17). This model performed better than the previous models; the likelihood of luck attributions differed according to condition (Pseudo-</w:t>
      </w:r>
      <w:r>
        <w:rPr>
          <w:i/>
        </w:rPr>
        <w:t>R</w:t>
      </w:r>
      <w:r>
        <w:rPr>
          <w:vertAlign w:val="superscript"/>
        </w:rPr>
        <w:t>2</w:t>
      </w:r>
      <w:r>
        <w:t xml:space="preserve"> = .05 to .06). Participants were more likely to attribute the outcome to luck in the Gettier condition than in the other two conditions (see Table 13). In response to both the knowledge condition and the ignorance condition, participants were more likely to attribute outcomes to the protagonist’s ability than to luck, but they were more likely to make luck attributions than ability attributions in response to the Gettier condition vignette. </w:t>
      </w:r>
    </w:p>
    <w:p w14:paraId="7EFFAAF2" w14:textId="77777777" w:rsidR="00E03554" w:rsidRDefault="00E03554">
      <w:pPr>
        <w:rPr>
          <w:b/>
        </w:rPr>
      </w:pPr>
    </w:p>
    <w:p w14:paraId="314DF808" w14:textId="77777777" w:rsidR="00E03554" w:rsidRDefault="00E03554">
      <w:pPr>
        <w:rPr>
          <w:b/>
        </w:rPr>
      </w:pPr>
    </w:p>
    <w:p w14:paraId="173116F6" w14:textId="77777777" w:rsidR="00E03554" w:rsidRDefault="00E03554">
      <w:pPr>
        <w:rPr>
          <w:b/>
        </w:rPr>
      </w:pPr>
    </w:p>
    <w:p w14:paraId="36704DF5" w14:textId="62D8FCA5" w:rsidR="00E03554" w:rsidRDefault="00DF0CFA">
      <w:pPr>
        <w:rPr>
          <w:b/>
        </w:rPr>
      </w:pPr>
      <w:r>
        <w:br w:type="page"/>
      </w:r>
      <w:r>
        <w:rPr>
          <w:b/>
        </w:rPr>
        <w:lastRenderedPageBreak/>
        <w:t>Table 13</w:t>
      </w:r>
    </w:p>
    <w:p w14:paraId="0D6B8606" w14:textId="77777777" w:rsidR="00E03554" w:rsidRDefault="00DF0CFA">
      <w:pPr>
        <w:spacing w:before="240" w:after="240"/>
        <w:rPr>
          <w:i/>
        </w:rPr>
      </w:pPr>
      <w:r>
        <w:rPr>
          <w:i/>
        </w:rPr>
        <w:t>Luck/(In)ability Attributions from Model 6 Overall and by Condition</w:t>
      </w:r>
    </w:p>
    <w:tbl>
      <w:tblPr>
        <w:tblW w:w="9360" w:type="dxa"/>
        <w:tblLayout w:type="fixed"/>
        <w:tblLook w:val="0600" w:firstRow="0" w:lastRow="0" w:firstColumn="0" w:lastColumn="0" w:noHBand="1" w:noVBand="1"/>
      </w:tblPr>
      <w:tblGrid>
        <w:gridCol w:w="1872"/>
        <w:gridCol w:w="1872"/>
        <w:gridCol w:w="1872"/>
        <w:gridCol w:w="1872"/>
        <w:gridCol w:w="1872"/>
      </w:tblGrid>
      <w:tr w:rsidR="00882514" w14:paraId="50CBA96A" w14:textId="77777777" w:rsidTr="00EA09C7">
        <w:trPr>
          <w:trHeight w:val="267"/>
        </w:trPr>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3CED3746" w14:textId="77777777" w:rsidR="00882514" w:rsidRDefault="00882514" w:rsidP="00EA09C7">
            <w:pPr>
              <w:spacing w:line="240" w:lineRule="auto"/>
            </w:pPr>
          </w:p>
        </w:tc>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736E4767" w14:textId="77777777" w:rsidR="00882514" w:rsidRDefault="00882514" w:rsidP="00EA09C7">
            <w:pPr>
              <w:spacing w:line="240" w:lineRule="auto"/>
              <w:jc w:val="center"/>
            </w:pPr>
            <w:r>
              <w:t>Overall</w:t>
            </w:r>
          </w:p>
        </w:tc>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68B6257D" w14:textId="77777777" w:rsidR="00882514" w:rsidRDefault="00882514" w:rsidP="00EA09C7">
            <w:pPr>
              <w:spacing w:line="240" w:lineRule="auto"/>
              <w:jc w:val="center"/>
            </w:pPr>
            <w:r>
              <w:t>Knowledge</w:t>
            </w:r>
          </w:p>
        </w:tc>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2EC91BFB" w14:textId="77777777" w:rsidR="00882514" w:rsidRDefault="00882514" w:rsidP="00EA09C7">
            <w:pPr>
              <w:spacing w:line="240" w:lineRule="auto"/>
              <w:jc w:val="center"/>
            </w:pPr>
            <w:r>
              <w:t>Ignorance</w:t>
            </w:r>
          </w:p>
        </w:tc>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7443316A" w14:textId="77777777" w:rsidR="00882514" w:rsidRDefault="00882514" w:rsidP="00EA09C7">
            <w:pPr>
              <w:spacing w:line="240" w:lineRule="auto"/>
              <w:jc w:val="center"/>
            </w:pPr>
            <w:r>
              <w:t>Gettier</w:t>
            </w:r>
          </w:p>
        </w:tc>
      </w:tr>
      <w:tr w:rsidR="00882514" w14:paraId="45A046F3" w14:textId="77777777" w:rsidTr="00EA09C7">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302F35BB" w14:textId="77777777" w:rsidR="00882514" w:rsidRDefault="00882514" w:rsidP="00EA09C7">
            <w:pPr>
              <w:spacing w:line="240" w:lineRule="auto"/>
            </w:pPr>
            <w:r>
              <w:t>Luck</w:t>
            </w:r>
          </w:p>
        </w:tc>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1E2D01D4" w14:textId="77777777" w:rsidR="00882514" w:rsidRDefault="00882514" w:rsidP="00EA09C7">
            <w:pPr>
              <w:spacing w:line="240" w:lineRule="auto"/>
              <w:jc w:val="center"/>
            </w:pPr>
            <w:r>
              <w:t>6451 (51.04%)</w:t>
            </w:r>
          </w:p>
        </w:tc>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3FABF303" w14:textId="77777777" w:rsidR="00882514" w:rsidRDefault="00882514" w:rsidP="00EA09C7">
            <w:pPr>
              <w:spacing w:line="240" w:lineRule="auto"/>
              <w:jc w:val="center"/>
            </w:pPr>
            <w:r>
              <w:t>1888 (44.53%)</w:t>
            </w:r>
          </w:p>
        </w:tc>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4296A17E" w14:textId="77777777" w:rsidR="00882514" w:rsidRDefault="00882514" w:rsidP="00EA09C7">
            <w:pPr>
              <w:spacing w:line="240" w:lineRule="auto"/>
              <w:jc w:val="center"/>
            </w:pPr>
            <w:r>
              <w:t>1784 (42.71%)</w:t>
            </w:r>
          </w:p>
        </w:tc>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27BE2BBA" w14:textId="77777777" w:rsidR="00882514" w:rsidRDefault="00882514" w:rsidP="00EA09C7">
            <w:pPr>
              <w:spacing w:line="240" w:lineRule="auto"/>
              <w:jc w:val="center"/>
            </w:pPr>
            <w:r>
              <w:t>2779 (65.81%)</w:t>
            </w:r>
          </w:p>
        </w:tc>
      </w:tr>
      <w:tr w:rsidR="00882514" w14:paraId="54FB1683" w14:textId="77777777" w:rsidTr="00EA09C7">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30CEC3F3" w14:textId="77777777" w:rsidR="00882514" w:rsidRDefault="00882514" w:rsidP="00EA09C7">
            <w:pPr>
              <w:spacing w:line="240" w:lineRule="auto"/>
            </w:pPr>
            <w:r>
              <w:t>(In)ability</w:t>
            </w:r>
          </w:p>
        </w:tc>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07401BCB" w14:textId="77777777" w:rsidR="00882514" w:rsidRDefault="00882514" w:rsidP="00EA09C7">
            <w:pPr>
              <w:spacing w:line="240" w:lineRule="auto"/>
              <w:jc w:val="center"/>
            </w:pPr>
            <w:r>
              <w:t>6189 (48.96%)</w:t>
            </w:r>
          </w:p>
        </w:tc>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4176FE68" w14:textId="77777777" w:rsidR="00882514" w:rsidRDefault="00882514" w:rsidP="00EA09C7">
            <w:pPr>
              <w:spacing w:line="240" w:lineRule="auto"/>
              <w:jc w:val="center"/>
            </w:pPr>
            <w:r>
              <w:t>2352 (55.47%)</w:t>
            </w:r>
          </w:p>
        </w:tc>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0D0AB673" w14:textId="77777777" w:rsidR="00882514" w:rsidRDefault="00882514" w:rsidP="00EA09C7">
            <w:pPr>
              <w:spacing w:line="240" w:lineRule="auto"/>
              <w:jc w:val="center"/>
            </w:pPr>
            <w:r>
              <w:t>2393 (57.29%)</w:t>
            </w:r>
          </w:p>
        </w:tc>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6F060502" w14:textId="77777777" w:rsidR="00882514" w:rsidRDefault="00882514" w:rsidP="00EA09C7">
            <w:pPr>
              <w:spacing w:line="240" w:lineRule="auto"/>
              <w:jc w:val="center"/>
            </w:pPr>
            <w:r>
              <w:t>1444 (34.19%)</w:t>
            </w:r>
          </w:p>
        </w:tc>
      </w:tr>
    </w:tbl>
    <w:p w14:paraId="5C29270B" w14:textId="77777777" w:rsidR="00E03554" w:rsidRDefault="00E03554">
      <w:pPr>
        <w:rPr>
          <w:i/>
        </w:rPr>
      </w:pPr>
    </w:p>
    <w:p w14:paraId="31CBB2A1" w14:textId="77777777" w:rsidR="00E03554" w:rsidRDefault="00DF0CFA">
      <w:pPr>
        <w:ind w:firstLine="720"/>
        <w:rPr>
          <w:b/>
        </w:rPr>
      </w:pPr>
      <w:r>
        <w:rPr>
          <w:b/>
        </w:rPr>
        <w:t>Vignette interactions</w:t>
      </w:r>
      <w:r>
        <w:t>. To better understand whether the effect of condition on luck attributions varied as a function of vignette, we estimated a model including an interaction between vignette and condition (Model 6A, AIC = 15458.37). This model explained more variance (Pseudo-</w:t>
      </w:r>
      <w:r>
        <w:rPr>
          <w:i/>
        </w:rPr>
        <w:t>R</w:t>
      </w:r>
      <w:r>
        <w:rPr>
          <w:vertAlign w:val="superscript"/>
        </w:rPr>
        <w:t>2</w:t>
      </w:r>
      <w:r>
        <w:t xml:space="preserve"> = .20 - .23) than Model 6. As shown in Figure 3, each vignette demonstrated a different pattern of effects. Post hoc analyses suggested that the vignette by condition interaction was driven by responses to the Gettier condition. The difference in likelihoods of luck attributions between the Gettier and ignorance conditions was absent for the Darrel vignette (</w:t>
      </w:r>
      <w:proofErr w:type="spellStart"/>
      <w:r>
        <w:t>Cramér’s</w:t>
      </w:r>
      <w:proofErr w:type="spellEnd"/>
      <w:r>
        <w:t xml:space="preserve"> 𝑉 = .02, </w:t>
      </w:r>
      <w:r>
        <w:rPr>
          <w:i/>
        </w:rPr>
        <w:t xml:space="preserve">p </w:t>
      </w:r>
      <w:r>
        <w:t>= .315), moderate for the Gerald vignette (</w:t>
      </w:r>
      <w:proofErr w:type="spellStart"/>
      <w:r>
        <w:t>Cramér’s</w:t>
      </w:r>
      <w:proofErr w:type="spellEnd"/>
      <w:r>
        <w:t xml:space="preserve"> 𝑉 = .20, </w:t>
      </w:r>
      <w:r>
        <w:rPr>
          <w:i/>
        </w:rPr>
        <w:t xml:space="preserve">p </w:t>
      </w:r>
      <w:r>
        <w:t>&lt; .001), and large for the Emma vignette (</w:t>
      </w:r>
      <w:proofErr w:type="spellStart"/>
      <w:r>
        <w:t>Cramér’s</w:t>
      </w:r>
      <w:proofErr w:type="spellEnd"/>
      <w:r>
        <w:t xml:space="preserve"> 𝑉 = .50, </w:t>
      </w:r>
      <w:r>
        <w:rPr>
          <w:i/>
        </w:rPr>
        <w:t xml:space="preserve">p </w:t>
      </w:r>
      <w:r>
        <w:t>&lt; .001). The difference in luck attributions between the Gettier and knowledge conditions was largest in responses to the Emma vignette (</w:t>
      </w:r>
      <w:proofErr w:type="spellStart"/>
      <w:r>
        <w:t>Cramér’s</w:t>
      </w:r>
      <w:proofErr w:type="spellEnd"/>
      <w:r>
        <w:t xml:space="preserve"> 𝑉 = .32, </w:t>
      </w:r>
      <w:r>
        <w:rPr>
          <w:i/>
        </w:rPr>
        <w:t xml:space="preserve">p </w:t>
      </w:r>
      <w:r>
        <w:t>&lt; .001) but of similar size in response to the Darrel vignette (</w:t>
      </w:r>
      <w:proofErr w:type="spellStart"/>
      <w:r>
        <w:t>Cramér’s</w:t>
      </w:r>
      <w:proofErr w:type="spellEnd"/>
      <w:r>
        <w:t xml:space="preserve"> 𝑉 = .16, </w:t>
      </w:r>
      <w:r>
        <w:rPr>
          <w:i/>
        </w:rPr>
        <w:t xml:space="preserve">p </w:t>
      </w:r>
      <w:r>
        <w:t>&lt; .001) and Gerald vignette (</w:t>
      </w:r>
      <w:proofErr w:type="spellStart"/>
      <w:r>
        <w:t>Cramér’s</w:t>
      </w:r>
      <w:proofErr w:type="spellEnd"/>
      <w:r>
        <w:t xml:space="preserve"> 𝑉 = .20, </w:t>
      </w:r>
      <w:r>
        <w:rPr>
          <w:i/>
        </w:rPr>
        <w:t xml:space="preserve">p </w:t>
      </w:r>
      <w:r>
        <w:t>&lt; .001).</w:t>
      </w:r>
    </w:p>
    <w:p w14:paraId="6E9097F6" w14:textId="77777777" w:rsidR="00E03554" w:rsidRDefault="00DF0CFA">
      <w:pPr>
        <w:spacing w:after="160"/>
        <w:ind w:firstLine="720"/>
      </w:pPr>
      <w:r>
        <w:rPr>
          <w:b/>
        </w:rPr>
        <w:t>Luck/(in)ability as a moderator</w:t>
      </w:r>
      <w:r>
        <w:t>. Next, we explored whether attributions of outcomes to luck versus ability influence knowledge attributions as suggested by prior research (</w:t>
      </w:r>
      <w:proofErr w:type="spellStart"/>
      <w:r>
        <w:t>Turri</w:t>
      </w:r>
      <w:proofErr w:type="spellEnd"/>
      <w:r>
        <w:t xml:space="preserve">, 2016, 2017). </w:t>
      </w:r>
      <w:proofErr w:type="spellStart"/>
      <w:r>
        <w:t>Turri</w:t>
      </w:r>
      <w:proofErr w:type="spellEnd"/>
      <w:r>
        <w:t xml:space="preserve"> (2016, Experiment 7) found a strong positive correlation between knowledge attributions and attributions to ability rather than luck (</w:t>
      </w:r>
      <w:r>
        <w:rPr>
          <w:i/>
        </w:rPr>
        <w:t>r</w:t>
      </w:r>
      <w:r>
        <w:t xml:space="preserve"> = .622) and a moderating effect of luck attributions on Gettier intuitions; participants attributed knowledge less frequently when </w:t>
      </w:r>
      <w:r>
        <w:lastRenderedPageBreak/>
        <w:t>protagonists were perceived as having arrived at a truth because of a lucky guess rather than because of their ability (η</w:t>
      </w:r>
      <w:r>
        <w:rPr>
          <w:vertAlign w:val="subscript"/>
        </w:rPr>
        <w:t>p</w:t>
      </w:r>
      <w:r>
        <w:rPr>
          <w:vertAlign w:val="superscript"/>
        </w:rPr>
        <w:t>2</w:t>
      </w:r>
      <w:r>
        <w:t xml:space="preserve"> = .353; </w:t>
      </w:r>
      <w:proofErr w:type="spellStart"/>
      <w:r>
        <w:t>Turri</w:t>
      </w:r>
      <w:proofErr w:type="spellEnd"/>
      <w:r>
        <w:t>, 2016, Experiment 7).</w:t>
      </w:r>
    </w:p>
    <w:p w14:paraId="1A0156F2" w14:textId="08ADFBF6" w:rsidR="00E03554" w:rsidRDefault="00DF0CFA" w:rsidP="00882514">
      <w:pPr>
        <w:spacing w:after="160"/>
        <w:ind w:firstLine="720"/>
        <w:rPr>
          <w:b/>
        </w:rPr>
      </w:pPr>
      <w:r>
        <w:t>We tested whether luck attributions moderated the effect of condition on knowledge attribution among participants who accurately identified that the protagonist was correct (in the Gettier and knowledge conditions) or incorrect (in the ignorance conditions) in their identification of the object as real or counterfeit. The main effect of luck attributions and the interaction between condition and luck attributions were added to Model 6 of the knowledge attributions analysis (Model 6C; AIC = 13363.98). This model (Pseudo-</w:t>
      </w:r>
      <w:r>
        <w:rPr>
          <w:i/>
        </w:rPr>
        <w:t>R</w:t>
      </w:r>
      <w:r>
        <w:rPr>
          <w:vertAlign w:val="superscript"/>
        </w:rPr>
        <w:t>2</w:t>
      </w:r>
      <w:r>
        <w:t xml:space="preserve"> =.24 - .28) explained more variance in knowledge attributions than Model 6. See Table 14 for model summary.</w:t>
      </w:r>
    </w:p>
    <w:p w14:paraId="40713FA8" w14:textId="77777777" w:rsidR="00E03554" w:rsidRDefault="00DF0CFA">
      <w:r>
        <w:rPr>
          <w:b/>
        </w:rPr>
        <w:t>Table 14</w:t>
      </w:r>
    </w:p>
    <w:p w14:paraId="53A3DD48" w14:textId="77777777" w:rsidR="00E03554" w:rsidRDefault="00DF0CFA">
      <w:pPr>
        <w:rPr>
          <w:i/>
        </w:rPr>
      </w:pPr>
      <w:r>
        <w:rPr>
          <w:i/>
        </w:rPr>
        <w:t>Luck/(In)ability Attribution Moderation Model (6C) Summary</w:t>
      </w:r>
    </w:p>
    <w:tbl>
      <w:tblPr>
        <w:tblW w:w="6213"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65"/>
        <w:gridCol w:w="2448"/>
      </w:tblGrid>
      <w:tr w:rsidR="00882514" w14:paraId="444CE3B1" w14:textId="77777777" w:rsidTr="00EA09C7">
        <w:trPr>
          <w:trHeight w:val="226"/>
        </w:trPr>
        <w:tc>
          <w:tcPr>
            <w:tcW w:w="3765" w:type="dxa"/>
            <w:vMerge w:val="restart"/>
            <w:tcBorders>
              <w:top w:val="single" w:sz="8" w:space="0" w:color="333333"/>
              <w:left w:val="single" w:sz="8" w:space="0" w:color="FFFFFF"/>
              <w:right w:val="single" w:sz="8" w:space="0" w:color="FFFFFF"/>
            </w:tcBorders>
            <w:vAlign w:val="center"/>
          </w:tcPr>
          <w:p w14:paraId="4B4E18BD" w14:textId="77777777" w:rsidR="00882514" w:rsidRDefault="00882514" w:rsidP="00882514">
            <w:pPr>
              <w:spacing w:line="240" w:lineRule="auto"/>
              <w:rPr>
                <w:b/>
              </w:rPr>
            </w:pPr>
            <w:r>
              <w:rPr>
                <w:b/>
              </w:rPr>
              <w:t>Parameter or Statistic</w:t>
            </w:r>
          </w:p>
        </w:tc>
        <w:tc>
          <w:tcPr>
            <w:tcW w:w="2448" w:type="dxa"/>
            <w:tcBorders>
              <w:top w:val="single" w:sz="8" w:space="0" w:color="333333"/>
              <w:left w:val="single" w:sz="8" w:space="0" w:color="FFFFFF"/>
              <w:bottom w:val="single" w:sz="8" w:space="0" w:color="333333"/>
              <w:right w:val="single" w:sz="8" w:space="0" w:color="FFFFFF"/>
            </w:tcBorders>
            <w:vAlign w:val="center"/>
          </w:tcPr>
          <w:p w14:paraId="0E17DB83" w14:textId="77777777" w:rsidR="00882514" w:rsidRDefault="00882514" w:rsidP="00882514">
            <w:pPr>
              <w:spacing w:line="240" w:lineRule="auto"/>
              <w:jc w:val="center"/>
              <w:rPr>
                <w:b/>
              </w:rPr>
            </w:pPr>
            <w:r>
              <w:rPr>
                <w:b/>
              </w:rPr>
              <w:t>Measure</w:t>
            </w:r>
          </w:p>
        </w:tc>
      </w:tr>
      <w:tr w:rsidR="00882514" w14:paraId="736066EA" w14:textId="77777777" w:rsidTr="00EA09C7">
        <w:trPr>
          <w:trHeight w:val="226"/>
        </w:trPr>
        <w:tc>
          <w:tcPr>
            <w:tcW w:w="3765" w:type="dxa"/>
            <w:vMerge/>
            <w:tcBorders>
              <w:left w:val="single" w:sz="8" w:space="0" w:color="FFFFFF"/>
              <w:bottom w:val="single" w:sz="8" w:space="0" w:color="333333"/>
              <w:right w:val="single" w:sz="8" w:space="0" w:color="FFFFFF"/>
            </w:tcBorders>
            <w:vAlign w:val="center"/>
          </w:tcPr>
          <w:p w14:paraId="54C7D27E" w14:textId="77777777" w:rsidR="00882514" w:rsidRDefault="00882514" w:rsidP="00882514">
            <w:pPr>
              <w:spacing w:line="240" w:lineRule="auto"/>
              <w:rPr>
                <w:b/>
              </w:rPr>
            </w:pPr>
          </w:p>
        </w:tc>
        <w:tc>
          <w:tcPr>
            <w:tcW w:w="2448" w:type="dxa"/>
            <w:tcBorders>
              <w:top w:val="single" w:sz="8" w:space="0" w:color="333333"/>
              <w:left w:val="single" w:sz="8" w:space="0" w:color="FFFFFF"/>
              <w:bottom w:val="single" w:sz="8" w:space="0" w:color="333333"/>
              <w:right w:val="single" w:sz="8" w:space="0" w:color="FFFFFF"/>
            </w:tcBorders>
            <w:vAlign w:val="center"/>
          </w:tcPr>
          <w:p w14:paraId="10E319C5" w14:textId="77777777" w:rsidR="00882514" w:rsidRDefault="00882514" w:rsidP="00882514">
            <w:pPr>
              <w:spacing w:line="240" w:lineRule="auto"/>
              <w:jc w:val="center"/>
              <w:rPr>
                <w:b/>
              </w:rPr>
            </w:pPr>
            <w:r>
              <w:rPr>
                <w:b/>
              </w:rPr>
              <w:t>Knowledge</w:t>
            </w:r>
          </w:p>
        </w:tc>
      </w:tr>
      <w:tr w:rsidR="00882514" w14:paraId="72161CDF" w14:textId="77777777" w:rsidTr="00EA09C7">
        <w:trPr>
          <w:trHeight w:val="216"/>
        </w:trPr>
        <w:tc>
          <w:tcPr>
            <w:tcW w:w="3765" w:type="dxa"/>
            <w:tcBorders>
              <w:top w:val="single" w:sz="8" w:space="0" w:color="333333"/>
              <w:left w:val="single" w:sz="8" w:space="0" w:color="FFFFFF"/>
              <w:bottom w:val="single" w:sz="8" w:space="0" w:color="FFFFFF"/>
              <w:right w:val="single" w:sz="8" w:space="0" w:color="FFFFFF"/>
            </w:tcBorders>
            <w:vAlign w:val="center"/>
          </w:tcPr>
          <w:p w14:paraId="545922BB" w14:textId="77777777" w:rsidR="00882514" w:rsidRDefault="00882514" w:rsidP="00882514">
            <w:pPr>
              <w:spacing w:line="240" w:lineRule="auto"/>
            </w:pPr>
            <w:r>
              <w:t>Fixed Effects</w:t>
            </w:r>
          </w:p>
        </w:tc>
        <w:tc>
          <w:tcPr>
            <w:tcW w:w="2448" w:type="dxa"/>
            <w:tcBorders>
              <w:top w:val="single" w:sz="8" w:space="0" w:color="333333"/>
              <w:left w:val="single" w:sz="8" w:space="0" w:color="FFFFFF"/>
              <w:bottom w:val="single" w:sz="8" w:space="0" w:color="FFFFFF"/>
              <w:right w:val="single" w:sz="8" w:space="0" w:color="FFFFFF"/>
            </w:tcBorders>
            <w:vAlign w:val="center"/>
          </w:tcPr>
          <w:p w14:paraId="7A96465B" w14:textId="77777777" w:rsidR="00882514" w:rsidRDefault="00882514" w:rsidP="00882514">
            <w:pPr>
              <w:spacing w:line="240" w:lineRule="auto"/>
              <w:jc w:val="center"/>
            </w:pPr>
          </w:p>
        </w:tc>
      </w:tr>
      <w:tr w:rsidR="00882514" w14:paraId="08152CFE" w14:textId="77777777" w:rsidTr="00EA09C7">
        <w:trPr>
          <w:trHeight w:val="270"/>
        </w:trPr>
        <w:tc>
          <w:tcPr>
            <w:tcW w:w="3765" w:type="dxa"/>
            <w:tcBorders>
              <w:top w:val="single" w:sz="8" w:space="0" w:color="FFFFFF"/>
              <w:left w:val="single" w:sz="8" w:space="0" w:color="FFFFFF"/>
              <w:bottom w:val="single" w:sz="8" w:space="0" w:color="FFFFFF"/>
              <w:right w:val="single" w:sz="8" w:space="0" w:color="FFFFFF"/>
            </w:tcBorders>
            <w:vAlign w:val="center"/>
          </w:tcPr>
          <w:p w14:paraId="555E951D" w14:textId="77777777" w:rsidR="00882514" w:rsidRDefault="00882514" w:rsidP="00882514">
            <w:pPr>
              <w:spacing w:line="240" w:lineRule="auto"/>
              <w:ind w:left="-27" w:firstLine="367"/>
            </w:pPr>
            <w:r>
              <w:t>Intercept</w:t>
            </w:r>
          </w:p>
        </w:tc>
        <w:tc>
          <w:tcPr>
            <w:tcW w:w="2448" w:type="dxa"/>
            <w:tcBorders>
              <w:top w:val="single" w:sz="8" w:space="0" w:color="FFFFFF"/>
              <w:left w:val="single" w:sz="8" w:space="0" w:color="FFFFFF"/>
              <w:bottom w:val="single" w:sz="8" w:space="0" w:color="FFFFFF"/>
              <w:right w:val="single" w:sz="8" w:space="0" w:color="FFFFFF"/>
            </w:tcBorders>
            <w:vAlign w:val="center"/>
          </w:tcPr>
          <w:p w14:paraId="288B6E5A" w14:textId="77777777" w:rsidR="00882514" w:rsidRDefault="00882514" w:rsidP="00882514">
            <w:pPr>
              <w:tabs>
                <w:tab w:val="decimal" w:pos="582"/>
              </w:tabs>
              <w:spacing w:line="240" w:lineRule="auto"/>
            </w:pPr>
            <w:r>
              <w:t>-0.48 (0.36)</w:t>
            </w:r>
          </w:p>
        </w:tc>
      </w:tr>
      <w:tr w:rsidR="00882514" w14:paraId="36CDDCEA" w14:textId="77777777" w:rsidTr="00EA09C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2F6BCBE4" w14:textId="77777777" w:rsidR="00882514" w:rsidRDefault="00882514" w:rsidP="00882514">
            <w:pPr>
              <w:spacing w:line="240" w:lineRule="auto"/>
              <w:ind w:left="-27" w:firstLine="367"/>
            </w:pPr>
            <w:r>
              <w:t>Age</w:t>
            </w:r>
          </w:p>
        </w:tc>
        <w:tc>
          <w:tcPr>
            <w:tcW w:w="2448" w:type="dxa"/>
            <w:tcBorders>
              <w:top w:val="single" w:sz="8" w:space="0" w:color="FFFFFF"/>
              <w:left w:val="single" w:sz="8" w:space="0" w:color="FFFFFF"/>
              <w:bottom w:val="single" w:sz="8" w:space="0" w:color="FFFFFF"/>
              <w:right w:val="single" w:sz="8" w:space="0" w:color="FFFFFF"/>
            </w:tcBorders>
            <w:vAlign w:val="center"/>
          </w:tcPr>
          <w:p w14:paraId="5579A578" w14:textId="77777777" w:rsidR="00882514" w:rsidRDefault="00882514" w:rsidP="00882514">
            <w:pPr>
              <w:tabs>
                <w:tab w:val="decimal" w:pos="582"/>
              </w:tabs>
              <w:spacing w:line="240" w:lineRule="auto"/>
            </w:pPr>
            <w:r>
              <w:t>0.003 (0.00)</w:t>
            </w:r>
          </w:p>
        </w:tc>
      </w:tr>
      <w:tr w:rsidR="00882514" w14:paraId="4A23D099" w14:textId="77777777" w:rsidTr="00EA09C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12A0BB34" w14:textId="77777777" w:rsidR="00882514" w:rsidRDefault="00882514" w:rsidP="00882514">
            <w:pPr>
              <w:spacing w:line="240" w:lineRule="auto"/>
              <w:ind w:left="-27" w:firstLine="367"/>
            </w:pPr>
            <w:r>
              <w:t>Gender</w:t>
            </w:r>
          </w:p>
        </w:tc>
        <w:tc>
          <w:tcPr>
            <w:tcW w:w="2448" w:type="dxa"/>
            <w:tcBorders>
              <w:top w:val="single" w:sz="8" w:space="0" w:color="FFFFFF"/>
              <w:left w:val="single" w:sz="8" w:space="0" w:color="FFFFFF"/>
              <w:bottom w:val="single" w:sz="8" w:space="0" w:color="FFFFFF"/>
              <w:right w:val="single" w:sz="8" w:space="0" w:color="FFFFFF"/>
            </w:tcBorders>
            <w:vAlign w:val="center"/>
          </w:tcPr>
          <w:p w14:paraId="3B3A643A" w14:textId="77777777" w:rsidR="00882514" w:rsidRDefault="00882514" w:rsidP="00882514">
            <w:pPr>
              <w:tabs>
                <w:tab w:val="decimal" w:pos="582"/>
              </w:tabs>
              <w:spacing w:line="240" w:lineRule="auto"/>
            </w:pPr>
            <w:r>
              <w:t>-0.13 (0.05)**</w:t>
            </w:r>
          </w:p>
        </w:tc>
      </w:tr>
      <w:tr w:rsidR="00882514" w14:paraId="7F21C76B" w14:textId="77777777" w:rsidTr="00EA09C7">
        <w:trPr>
          <w:trHeight w:val="49"/>
        </w:trPr>
        <w:tc>
          <w:tcPr>
            <w:tcW w:w="3765" w:type="dxa"/>
            <w:tcBorders>
              <w:top w:val="single" w:sz="8" w:space="0" w:color="FFFFFF"/>
              <w:left w:val="single" w:sz="8" w:space="0" w:color="FFFFFF"/>
              <w:bottom w:val="single" w:sz="8" w:space="0" w:color="FFFFFF"/>
              <w:right w:val="single" w:sz="8" w:space="0" w:color="FFFFFF"/>
            </w:tcBorders>
            <w:vAlign w:val="center"/>
          </w:tcPr>
          <w:p w14:paraId="5B065B04" w14:textId="77777777" w:rsidR="00882514" w:rsidRDefault="00882514" w:rsidP="00882514">
            <w:pPr>
              <w:spacing w:line="240" w:lineRule="auto"/>
              <w:ind w:left="-27" w:firstLine="367"/>
            </w:pPr>
            <w:r>
              <w:t>Education</w:t>
            </w:r>
          </w:p>
        </w:tc>
        <w:tc>
          <w:tcPr>
            <w:tcW w:w="2448" w:type="dxa"/>
            <w:tcBorders>
              <w:top w:val="single" w:sz="8" w:space="0" w:color="FFFFFF"/>
              <w:left w:val="single" w:sz="8" w:space="0" w:color="FFFFFF"/>
              <w:bottom w:val="single" w:sz="8" w:space="0" w:color="FFFFFF"/>
              <w:right w:val="single" w:sz="8" w:space="0" w:color="FFFFFF"/>
            </w:tcBorders>
            <w:vAlign w:val="center"/>
          </w:tcPr>
          <w:p w14:paraId="1DDE95B3" w14:textId="77777777" w:rsidR="00882514" w:rsidRDefault="00882514" w:rsidP="00882514">
            <w:pPr>
              <w:tabs>
                <w:tab w:val="decimal" w:pos="582"/>
              </w:tabs>
              <w:spacing w:line="240" w:lineRule="auto"/>
            </w:pPr>
            <w:r>
              <w:t>-0.02 (0.01)*</w:t>
            </w:r>
          </w:p>
        </w:tc>
      </w:tr>
      <w:tr w:rsidR="00882514" w14:paraId="3502BF80" w14:textId="77777777" w:rsidTr="00EA09C7">
        <w:trPr>
          <w:trHeight w:val="151"/>
        </w:trPr>
        <w:tc>
          <w:tcPr>
            <w:tcW w:w="3765" w:type="dxa"/>
            <w:tcBorders>
              <w:top w:val="single" w:sz="8" w:space="0" w:color="FFFFFF"/>
              <w:left w:val="single" w:sz="8" w:space="0" w:color="FFFFFF"/>
              <w:bottom w:val="single" w:sz="8" w:space="0" w:color="FFFFFF"/>
              <w:right w:val="single" w:sz="8" w:space="0" w:color="FFFFFF"/>
            </w:tcBorders>
            <w:vAlign w:val="center"/>
          </w:tcPr>
          <w:p w14:paraId="4DEC5A71" w14:textId="77777777" w:rsidR="00882514" w:rsidRDefault="00882514" w:rsidP="00882514">
            <w:pPr>
              <w:spacing w:line="240" w:lineRule="auto"/>
              <w:ind w:left="-27" w:firstLine="367"/>
            </w:pPr>
            <w:r>
              <w:t>Compensation</w:t>
            </w:r>
          </w:p>
        </w:tc>
        <w:tc>
          <w:tcPr>
            <w:tcW w:w="2448" w:type="dxa"/>
            <w:tcBorders>
              <w:top w:val="single" w:sz="8" w:space="0" w:color="FFFFFF"/>
              <w:left w:val="single" w:sz="8" w:space="0" w:color="FFFFFF"/>
              <w:bottom w:val="single" w:sz="8" w:space="0" w:color="FFFFFF"/>
              <w:right w:val="single" w:sz="8" w:space="0" w:color="FFFFFF"/>
            </w:tcBorders>
            <w:vAlign w:val="center"/>
          </w:tcPr>
          <w:p w14:paraId="7F568394" w14:textId="77777777" w:rsidR="00882514" w:rsidRDefault="00882514" w:rsidP="00882514">
            <w:pPr>
              <w:tabs>
                <w:tab w:val="decimal" w:pos="582"/>
              </w:tabs>
              <w:spacing w:line="240" w:lineRule="auto"/>
            </w:pPr>
            <w:r>
              <w:t>0.02 (0.05)</w:t>
            </w:r>
          </w:p>
        </w:tc>
      </w:tr>
      <w:tr w:rsidR="00882514" w14:paraId="6D4EC96C" w14:textId="77777777" w:rsidTr="00EA09C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4579595B" w14:textId="77777777" w:rsidR="00882514" w:rsidRDefault="00882514" w:rsidP="00882514">
            <w:pPr>
              <w:spacing w:line="240" w:lineRule="auto"/>
              <w:ind w:left="-27" w:firstLine="367"/>
            </w:pPr>
            <w:r>
              <w:t>Condition: Ignorance</w:t>
            </w:r>
          </w:p>
        </w:tc>
        <w:tc>
          <w:tcPr>
            <w:tcW w:w="2448" w:type="dxa"/>
            <w:tcBorders>
              <w:top w:val="single" w:sz="8" w:space="0" w:color="FFFFFF"/>
              <w:left w:val="single" w:sz="8" w:space="0" w:color="FFFFFF"/>
              <w:bottom w:val="single" w:sz="8" w:space="0" w:color="FFFFFF"/>
              <w:right w:val="single" w:sz="8" w:space="0" w:color="FFFFFF"/>
            </w:tcBorders>
            <w:vAlign w:val="center"/>
          </w:tcPr>
          <w:p w14:paraId="5B65D950" w14:textId="77777777" w:rsidR="00882514" w:rsidRDefault="00882514" w:rsidP="00882514">
            <w:pPr>
              <w:tabs>
                <w:tab w:val="decimal" w:pos="582"/>
              </w:tabs>
              <w:spacing w:line="240" w:lineRule="auto"/>
            </w:pPr>
            <w:r>
              <w:t>-1.00 (0.08)***</w:t>
            </w:r>
          </w:p>
        </w:tc>
      </w:tr>
      <w:tr w:rsidR="00882514" w14:paraId="05DB7F02" w14:textId="77777777" w:rsidTr="00EA09C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02921BA4" w14:textId="77777777" w:rsidR="00882514" w:rsidRDefault="00882514" w:rsidP="00882514">
            <w:pPr>
              <w:spacing w:line="240" w:lineRule="auto"/>
              <w:ind w:left="-27" w:firstLine="367"/>
            </w:pPr>
            <w:r>
              <w:t>Condition: Knowledge</w:t>
            </w:r>
          </w:p>
        </w:tc>
        <w:tc>
          <w:tcPr>
            <w:tcW w:w="2448" w:type="dxa"/>
            <w:tcBorders>
              <w:top w:val="single" w:sz="8" w:space="0" w:color="FFFFFF"/>
              <w:left w:val="single" w:sz="8" w:space="0" w:color="FFFFFF"/>
              <w:bottom w:val="single" w:sz="8" w:space="0" w:color="FFFFFF"/>
              <w:right w:val="single" w:sz="8" w:space="0" w:color="FFFFFF"/>
            </w:tcBorders>
            <w:vAlign w:val="center"/>
          </w:tcPr>
          <w:p w14:paraId="3A3B092B" w14:textId="77777777" w:rsidR="00882514" w:rsidRDefault="00882514" w:rsidP="00882514">
            <w:pPr>
              <w:tabs>
                <w:tab w:val="decimal" w:pos="582"/>
              </w:tabs>
              <w:spacing w:line="240" w:lineRule="auto"/>
            </w:pPr>
            <w:r>
              <w:t>0.35 (0.66)***</w:t>
            </w:r>
          </w:p>
        </w:tc>
      </w:tr>
      <w:tr w:rsidR="00882514" w14:paraId="53913B18" w14:textId="77777777" w:rsidTr="00EA09C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50A425AD" w14:textId="77777777" w:rsidR="00882514" w:rsidRDefault="00882514" w:rsidP="00882514">
            <w:pPr>
              <w:spacing w:line="240" w:lineRule="auto"/>
              <w:ind w:left="-27" w:firstLine="367"/>
            </w:pPr>
            <w:r>
              <w:t xml:space="preserve">Luck/Ability </w:t>
            </w:r>
          </w:p>
        </w:tc>
        <w:tc>
          <w:tcPr>
            <w:tcW w:w="2448" w:type="dxa"/>
            <w:tcBorders>
              <w:top w:val="single" w:sz="8" w:space="0" w:color="FFFFFF"/>
              <w:left w:val="single" w:sz="8" w:space="0" w:color="FFFFFF"/>
              <w:bottom w:val="single" w:sz="8" w:space="0" w:color="FFFFFF"/>
              <w:right w:val="single" w:sz="8" w:space="0" w:color="FFFFFF"/>
            </w:tcBorders>
            <w:vAlign w:val="center"/>
          </w:tcPr>
          <w:p w14:paraId="44462F4B" w14:textId="77777777" w:rsidR="00882514" w:rsidRDefault="00882514" w:rsidP="00882514">
            <w:pPr>
              <w:tabs>
                <w:tab w:val="decimal" w:pos="582"/>
              </w:tabs>
              <w:spacing w:line="240" w:lineRule="auto"/>
            </w:pPr>
            <w:r>
              <w:t>1.03 (0.07)***</w:t>
            </w:r>
          </w:p>
        </w:tc>
      </w:tr>
      <w:tr w:rsidR="00882514" w14:paraId="05B15C10" w14:textId="77777777" w:rsidTr="00EA09C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0594E250" w14:textId="77777777" w:rsidR="00882514" w:rsidRDefault="00882514" w:rsidP="00882514">
            <w:pPr>
              <w:spacing w:line="240" w:lineRule="auto"/>
              <w:ind w:left="-27" w:firstLine="367"/>
            </w:pPr>
            <w:r>
              <w:t>Ignorance X Luck/Ability</w:t>
            </w:r>
          </w:p>
        </w:tc>
        <w:tc>
          <w:tcPr>
            <w:tcW w:w="2448" w:type="dxa"/>
            <w:tcBorders>
              <w:top w:val="single" w:sz="8" w:space="0" w:color="FFFFFF"/>
              <w:left w:val="single" w:sz="8" w:space="0" w:color="FFFFFF"/>
              <w:bottom w:val="single" w:sz="8" w:space="0" w:color="FFFFFF"/>
              <w:right w:val="single" w:sz="8" w:space="0" w:color="FFFFFF"/>
            </w:tcBorders>
            <w:vAlign w:val="center"/>
          </w:tcPr>
          <w:p w14:paraId="3BBABB54" w14:textId="77777777" w:rsidR="00882514" w:rsidRDefault="00882514" w:rsidP="00882514">
            <w:pPr>
              <w:tabs>
                <w:tab w:val="decimal" w:pos="582"/>
              </w:tabs>
              <w:spacing w:line="240" w:lineRule="auto"/>
            </w:pPr>
            <w:r>
              <w:t>-1.13 (0.11)***</w:t>
            </w:r>
          </w:p>
        </w:tc>
      </w:tr>
      <w:tr w:rsidR="00882514" w14:paraId="50066775" w14:textId="77777777" w:rsidTr="00EA09C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00257D6D" w14:textId="77777777" w:rsidR="00882514" w:rsidRDefault="00882514" w:rsidP="00882514">
            <w:pPr>
              <w:spacing w:line="240" w:lineRule="auto"/>
              <w:ind w:left="-27" w:firstLine="367"/>
            </w:pPr>
            <w:r>
              <w:t>Knowledge X Luck/Ability</w:t>
            </w:r>
          </w:p>
        </w:tc>
        <w:tc>
          <w:tcPr>
            <w:tcW w:w="2448" w:type="dxa"/>
            <w:tcBorders>
              <w:top w:val="single" w:sz="8" w:space="0" w:color="FFFFFF"/>
              <w:left w:val="single" w:sz="8" w:space="0" w:color="FFFFFF"/>
              <w:bottom w:val="single" w:sz="8" w:space="0" w:color="FFFFFF"/>
              <w:right w:val="single" w:sz="8" w:space="0" w:color="FFFFFF"/>
            </w:tcBorders>
            <w:vAlign w:val="center"/>
          </w:tcPr>
          <w:p w14:paraId="39496722" w14:textId="77777777" w:rsidR="00882514" w:rsidRDefault="00882514" w:rsidP="00882514">
            <w:pPr>
              <w:tabs>
                <w:tab w:val="decimal" w:pos="582"/>
              </w:tabs>
              <w:spacing w:line="240" w:lineRule="auto"/>
            </w:pPr>
            <w:r>
              <w:t>0.20 (0.10)</w:t>
            </w:r>
          </w:p>
        </w:tc>
      </w:tr>
      <w:tr w:rsidR="00882514" w14:paraId="7324AC57" w14:textId="77777777" w:rsidTr="00EA09C7">
        <w:trPr>
          <w:trHeight w:val="216"/>
        </w:trPr>
        <w:tc>
          <w:tcPr>
            <w:tcW w:w="3765" w:type="dxa"/>
            <w:tcBorders>
              <w:top w:val="single" w:sz="8" w:space="0" w:color="FFFFFF"/>
              <w:left w:val="single" w:sz="8" w:space="0" w:color="FFFFFF"/>
              <w:bottom w:val="single" w:sz="8" w:space="0" w:color="FFFFFF"/>
              <w:right w:val="single" w:sz="8" w:space="0" w:color="FFFFFF"/>
            </w:tcBorders>
            <w:vAlign w:val="center"/>
          </w:tcPr>
          <w:p w14:paraId="20BBCF25" w14:textId="77777777" w:rsidR="00882514" w:rsidRDefault="00882514" w:rsidP="00882514">
            <w:pPr>
              <w:spacing w:line="240" w:lineRule="auto"/>
            </w:pPr>
            <w:r>
              <w:t>Random Effects</w:t>
            </w:r>
          </w:p>
        </w:tc>
        <w:tc>
          <w:tcPr>
            <w:tcW w:w="2448" w:type="dxa"/>
            <w:tcBorders>
              <w:top w:val="single" w:sz="8" w:space="0" w:color="FFFFFF"/>
              <w:left w:val="single" w:sz="8" w:space="0" w:color="FFFFFF"/>
              <w:bottom w:val="single" w:sz="8" w:space="0" w:color="FFFFFF"/>
              <w:right w:val="single" w:sz="8" w:space="0" w:color="FFFFFF"/>
            </w:tcBorders>
            <w:vAlign w:val="center"/>
          </w:tcPr>
          <w:p w14:paraId="60067789" w14:textId="77777777" w:rsidR="00882514" w:rsidRDefault="00882514" w:rsidP="00882514">
            <w:pPr>
              <w:tabs>
                <w:tab w:val="decimal" w:pos="413"/>
              </w:tabs>
              <w:spacing w:line="240" w:lineRule="auto"/>
            </w:pPr>
          </w:p>
        </w:tc>
      </w:tr>
      <w:tr w:rsidR="00882514" w14:paraId="496BF53A" w14:textId="77777777" w:rsidTr="00EA09C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60F4832F" w14:textId="77777777" w:rsidR="00882514" w:rsidRDefault="00882514" w:rsidP="00882514">
            <w:pPr>
              <w:spacing w:line="240" w:lineRule="auto"/>
              <w:ind w:firstLine="340"/>
            </w:pPr>
            <w:r>
              <w:t>Site</w:t>
            </w:r>
          </w:p>
        </w:tc>
        <w:tc>
          <w:tcPr>
            <w:tcW w:w="2448" w:type="dxa"/>
            <w:tcBorders>
              <w:top w:val="single" w:sz="8" w:space="0" w:color="FFFFFF"/>
              <w:left w:val="single" w:sz="8" w:space="0" w:color="FFFFFF"/>
              <w:bottom w:val="single" w:sz="8" w:space="0" w:color="FFFFFF"/>
              <w:right w:val="single" w:sz="8" w:space="0" w:color="FFFFFF"/>
            </w:tcBorders>
            <w:vAlign w:val="center"/>
          </w:tcPr>
          <w:p w14:paraId="1F598C66" w14:textId="77777777" w:rsidR="00882514" w:rsidRDefault="00882514" w:rsidP="00882514">
            <w:pPr>
              <w:tabs>
                <w:tab w:val="decimal" w:pos="942"/>
              </w:tabs>
              <w:spacing w:line="240" w:lineRule="auto"/>
            </w:pPr>
            <w:r>
              <w:t>&lt; 0.001</w:t>
            </w:r>
          </w:p>
        </w:tc>
      </w:tr>
      <w:tr w:rsidR="00882514" w14:paraId="4DB6B3EA" w14:textId="77777777" w:rsidTr="00EA09C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4DAB998C" w14:textId="77777777" w:rsidR="00882514" w:rsidRDefault="00882514" w:rsidP="00882514">
            <w:pPr>
              <w:spacing w:line="240" w:lineRule="auto"/>
              <w:ind w:firstLine="340"/>
            </w:pPr>
            <w:r>
              <w:t xml:space="preserve">Participant </w:t>
            </w:r>
          </w:p>
        </w:tc>
        <w:tc>
          <w:tcPr>
            <w:tcW w:w="2448" w:type="dxa"/>
            <w:tcBorders>
              <w:top w:val="single" w:sz="8" w:space="0" w:color="FFFFFF"/>
              <w:left w:val="single" w:sz="8" w:space="0" w:color="FFFFFF"/>
              <w:bottom w:val="single" w:sz="8" w:space="0" w:color="FFFFFF"/>
              <w:right w:val="single" w:sz="8" w:space="0" w:color="FFFFFF"/>
            </w:tcBorders>
            <w:vAlign w:val="center"/>
          </w:tcPr>
          <w:p w14:paraId="4B2E63C7" w14:textId="77777777" w:rsidR="00882514" w:rsidRDefault="00882514" w:rsidP="00882514">
            <w:pPr>
              <w:tabs>
                <w:tab w:val="decimal" w:pos="942"/>
              </w:tabs>
              <w:spacing w:line="240" w:lineRule="auto"/>
            </w:pPr>
            <w:r>
              <w:t>&lt; 0.001</w:t>
            </w:r>
          </w:p>
        </w:tc>
      </w:tr>
      <w:tr w:rsidR="00882514" w14:paraId="79FD28C1" w14:textId="77777777" w:rsidTr="00EA09C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7521040D" w14:textId="77777777" w:rsidR="00882514" w:rsidRDefault="00882514" w:rsidP="00882514">
            <w:pPr>
              <w:spacing w:line="240" w:lineRule="auto"/>
              <w:ind w:firstLine="340"/>
            </w:pPr>
            <w:r>
              <w:t>Vignette</w:t>
            </w:r>
          </w:p>
        </w:tc>
        <w:tc>
          <w:tcPr>
            <w:tcW w:w="2448" w:type="dxa"/>
            <w:tcBorders>
              <w:top w:val="single" w:sz="8" w:space="0" w:color="FFFFFF"/>
              <w:left w:val="single" w:sz="8" w:space="0" w:color="FFFFFF"/>
              <w:bottom w:val="single" w:sz="8" w:space="0" w:color="FFFFFF"/>
              <w:right w:val="single" w:sz="8" w:space="0" w:color="FFFFFF"/>
            </w:tcBorders>
            <w:vAlign w:val="center"/>
          </w:tcPr>
          <w:p w14:paraId="0EA56415" w14:textId="77777777" w:rsidR="00882514" w:rsidRDefault="00882514" w:rsidP="00882514">
            <w:pPr>
              <w:tabs>
                <w:tab w:val="decimal" w:pos="942"/>
              </w:tabs>
              <w:spacing w:line="240" w:lineRule="auto"/>
            </w:pPr>
            <w:r>
              <w:t>0.574</w:t>
            </w:r>
          </w:p>
        </w:tc>
      </w:tr>
      <w:tr w:rsidR="00882514" w14:paraId="3553095F" w14:textId="77777777" w:rsidTr="00EA09C7">
        <w:trPr>
          <w:trHeight w:val="226"/>
        </w:trPr>
        <w:tc>
          <w:tcPr>
            <w:tcW w:w="3765" w:type="dxa"/>
            <w:tcBorders>
              <w:top w:val="single" w:sz="8" w:space="0" w:color="333333"/>
              <w:left w:val="single" w:sz="8" w:space="0" w:color="FFFFFF"/>
              <w:bottom w:val="single" w:sz="8" w:space="0" w:color="333333"/>
              <w:right w:val="single" w:sz="8" w:space="0" w:color="FFFFFF"/>
            </w:tcBorders>
            <w:vAlign w:val="center"/>
          </w:tcPr>
          <w:p w14:paraId="00117DFC" w14:textId="77777777" w:rsidR="00882514" w:rsidRDefault="00882514" w:rsidP="00882514">
            <w:pPr>
              <w:spacing w:line="240" w:lineRule="auto"/>
            </w:pPr>
            <w:r>
              <w:t>AIC</w:t>
            </w:r>
          </w:p>
        </w:tc>
        <w:tc>
          <w:tcPr>
            <w:tcW w:w="2448" w:type="dxa"/>
            <w:tcBorders>
              <w:top w:val="single" w:sz="8" w:space="0" w:color="333333"/>
              <w:left w:val="single" w:sz="8" w:space="0" w:color="FFFFFF"/>
              <w:bottom w:val="single" w:sz="8" w:space="0" w:color="333333"/>
              <w:right w:val="single" w:sz="8" w:space="0" w:color="FFFFFF"/>
            </w:tcBorders>
            <w:vAlign w:val="center"/>
          </w:tcPr>
          <w:p w14:paraId="3A1AE86A" w14:textId="77777777" w:rsidR="00882514" w:rsidRDefault="00882514" w:rsidP="00882514">
            <w:pPr>
              <w:spacing w:line="240" w:lineRule="auto"/>
              <w:jc w:val="center"/>
            </w:pPr>
            <w:r>
              <w:t>13363.98</w:t>
            </w:r>
          </w:p>
        </w:tc>
      </w:tr>
    </w:tbl>
    <w:p w14:paraId="7F5C5254" w14:textId="77777777" w:rsidR="00E03554" w:rsidRDefault="00E03554">
      <w:pPr>
        <w:spacing w:after="160"/>
        <w:ind w:firstLine="720"/>
      </w:pPr>
    </w:p>
    <w:p w14:paraId="13CF62E5" w14:textId="77777777" w:rsidR="00E03554" w:rsidRDefault="00DF0CFA">
      <w:pPr>
        <w:spacing w:after="160"/>
        <w:ind w:firstLine="720"/>
      </w:pPr>
      <w:r>
        <w:br w:type="page"/>
      </w:r>
    </w:p>
    <w:p w14:paraId="1611A0C5" w14:textId="77777777" w:rsidR="00E03554" w:rsidRDefault="00DF0CFA">
      <w:pPr>
        <w:spacing w:after="160"/>
        <w:ind w:firstLine="720"/>
      </w:pPr>
      <w:r>
        <w:lastRenderedPageBreak/>
        <w:t>Condition affected knowledge attributions when participants attributed the protagonists’ (in)correct identification to bad or good luck, 𝜒</w:t>
      </w:r>
      <w:r>
        <w:rPr>
          <w:vertAlign w:val="superscript"/>
        </w:rPr>
        <w:t>2</w:t>
      </w:r>
      <w:r>
        <w:t xml:space="preserve">(2) = 211.03, </w:t>
      </w:r>
      <w:r>
        <w:rPr>
          <w:i/>
        </w:rPr>
        <w:t>p</w:t>
      </w:r>
      <w:r>
        <w:t xml:space="preserve"> &lt; .001. Participants were more likely to attribute knowledge to the protagonist in the Gettier condition vignette (p̂ = .31) than in the ignorance condition vignette (p̂ = .17; </w:t>
      </w:r>
      <w:proofErr w:type="spellStart"/>
      <w:r>
        <w:t>Cramér’s</w:t>
      </w:r>
      <w:proofErr w:type="spellEnd"/>
      <w:r>
        <w:t xml:space="preserve"> 𝑉 = .16, 95% CI [.13, .19], 𝜒</w:t>
      </w:r>
      <w:r>
        <w:rPr>
          <w:vertAlign w:val="superscript"/>
        </w:rPr>
        <w:t>2</w:t>
      </w:r>
      <w:r>
        <w:t xml:space="preserve">(1) = 116.03, 𝑝 &lt; .001). They were also more likely to attribute knowledge in the knowledge condition vignette (p̂ = .38) than in the Gettier condition vignette (p̂ = .31; </w:t>
      </w:r>
      <w:proofErr w:type="spellStart"/>
      <w:r>
        <w:t>Cramér’s</w:t>
      </w:r>
      <w:proofErr w:type="spellEnd"/>
      <w:r>
        <w:t xml:space="preserve"> 𝑉 = .07, 95% CI [.05, .10], 𝜒</w:t>
      </w:r>
      <w:r>
        <w:rPr>
          <w:vertAlign w:val="superscript"/>
        </w:rPr>
        <w:t>2</w:t>
      </w:r>
      <w:r>
        <w:t>(1) = 24.54, 𝑝 &lt; .001).</w:t>
      </w:r>
    </w:p>
    <w:p w14:paraId="3D51542C" w14:textId="3A77D1FF" w:rsidR="00E03554" w:rsidRDefault="00DF0CFA">
      <w:pPr>
        <w:spacing w:after="160"/>
        <w:ind w:firstLine="720"/>
      </w:pPr>
      <w:r>
        <w:t>Similarly, condition affected knowledge attributions when participants attributed the protagonists’ (in)correct identification to (in)ability 𝜒</w:t>
      </w:r>
      <w:r>
        <w:rPr>
          <w:vertAlign w:val="superscript"/>
        </w:rPr>
        <w:t>2</w:t>
      </w:r>
      <w:r>
        <w:t xml:space="preserve">(2) = 1737.19, </w:t>
      </w:r>
      <w:r>
        <w:rPr>
          <w:i/>
        </w:rPr>
        <w:t>p</w:t>
      </w:r>
      <w:r>
        <w:t xml:space="preserve"> &lt; .001. Participants in this group were more likely to attribute knowledge to the protagonist in the Gettier condition vignette (p̂ = .66) than in the ignorance condition vignette (p̂ = .16; </w:t>
      </w:r>
      <w:proofErr w:type="spellStart"/>
      <w:r>
        <w:t>Cramér’s</w:t>
      </w:r>
      <w:proofErr w:type="spellEnd"/>
      <w:r>
        <w:t xml:space="preserve"> 𝑉 = .51, 95% CI [.48, .54], 𝜒</w:t>
      </w:r>
      <w:r>
        <w:rPr>
          <w:vertAlign w:val="superscript"/>
        </w:rPr>
        <w:t>2</w:t>
      </w:r>
      <w:r>
        <w:t xml:space="preserve">(1) = 972.07, 𝑝 &lt; .001). These participants were also more likely to attribute knowledge in the knowledge condition vignette (p̂ = .73) than in the Gettier condition vignette (p̂ = .66; </w:t>
      </w:r>
      <w:proofErr w:type="spellStart"/>
      <w:r>
        <w:t>Cramér’s</w:t>
      </w:r>
      <w:proofErr w:type="spellEnd"/>
      <w:r>
        <w:t xml:space="preserve"> 𝑉 = .08, 95% CI [.05, .11], 𝜒</w:t>
      </w:r>
      <w:r>
        <w:rPr>
          <w:vertAlign w:val="superscript"/>
        </w:rPr>
        <w:t>2</w:t>
      </w:r>
      <w:r>
        <w:t>(1) = 21.36, 𝑝 &lt; .001). While the knowledge attribution difference between the Gettier and ignorance conditions was larger when participants made ability attributions (</w:t>
      </w:r>
      <w:proofErr w:type="spellStart"/>
      <w:r>
        <w:t>Cramér’s</w:t>
      </w:r>
      <w:proofErr w:type="spellEnd"/>
      <w:r>
        <w:t xml:space="preserve"> 𝑉 = .51) than when they made luck attributions (</w:t>
      </w:r>
      <w:proofErr w:type="spellStart"/>
      <w:r>
        <w:t>Cramér’s</w:t>
      </w:r>
      <w:proofErr w:type="spellEnd"/>
      <w:r>
        <w:t xml:space="preserve"> 𝑉 = .16), effect sizes were similar for the differences between the Gettier and knowledge conditions (</w:t>
      </w:r>
      <w:proofErr w:type="spellStart"/>
      <w:r>
        <w:t>Cramér’s</w:t>
      </w:r>
      <w:proofErr w:type="spellEnd"/>
      <w:r>
        <w:t xml:space="preserve"> 𝑉 = .08 vs. .07). Thus, unlike in previous research (</w:t>
      </w:r>
      <w:proofErr w:type="spellStart"/>
      <w:r>
        <w:t>Turri</w:t>
      </w:r>
      <w:proofErr w:type="spellEnd"/>
      <w:r>
        <w:t>, 2016</w:t>
      </w:r>
      <w:r w:rsidR="00A544A7">
        <w:t>,</w:t>
      </w:r>
      <w:r>
        <w:t xml:space="preserve"> 2017), luck attributions did not decrease the likelihood of participants demonstrating Gettier intuitions.</w:t>
      </w:r>
    </w:p>
    <w:p w14:paraId="7416F512" w14:textId="77777777" w:rsidR="00E03554" w:rsidRDefault="00DF0CFA">
      <w:pPr>
        <w:pStyle w:val="Heading3"/>
        <w:rPr>
          <w:color w:val="000000"/>
        </w:rPr>
      </w:pPr>
      <w:bookmarkStart w:id="38" w:name="_sohpei9f2d9c" w:colFirst="0" w:colLast="0"/>
      <w:bookmarkEnd w:id="38"/>
      <w:r>
        <w:rPr>
          <w:color w:val="000000"/>
        </w:rPr>
        <w:t>Alternative Knowledge Probe</w:t>
      </w:r>
    </w:p>
    <w:p w14:paraId="2FC4B29E" w14:textId="6A62CA7B" w:rsidR="00E03554" w:rsidRDefault="00DF0CFA">
      <w:pPr>
        <w:spacing w:after="160"/>
        <w:ind w:firstLine="720"/>
      </w:pPr>
      <w:r>
        <w:t xml:space="preserve">We also assessed whether question wording affected participants’ knowledge attributions as has been suggested by previous research (e.g., </w:t>
      </w:r>
      <w:proofErr w:type="spellStart"/>
      <w:r>
        <w:t>Machery</w:t>
      </w:r>
      <w:proofErr w:type="spellEnd"/>
      <w:r>
        <w:t xml:space="preserve"> et al., 2017</w:t>
      </w:r>
      <w:r w:rsidR="000C2969">
        <w:t>b</w:t>
      </w:r>
      <w:r>
        <w:t xml:space="preserve">; Nagel, San Juan, et al., </w:t>
      </w:r>
      <w:r>
        <w:lastRenderedPageBreak/>
        <w:t>2013). Participants may be more likely to deny knowledge to a protagonist when they are asked a more nuanced question (whether the protagonist knew or only felt like they knew but did not actually know; Nagel, San Juan, et al., 2013) than when they are asked a simpler question (whether the protagonist knew or did not know).</w:t>
      </w:r>
    </w:p>
    <w:p w14:paraId="280533A3" w14:textId="77777777" w:rsidR="00E03554" w:rsidRDefault="00DF0CFA">
      <w:pPr>
        <w:spacing w:after="160"/>
        <w:ind w:firstLine="720"/>
      </w:pPr>
      <w:r>
        <w:t>In our exploratory analyses of the alternative knowledge probe (i.e., following Model steps 1 through 6), we found a pattern of results similar to those for the analyses of our primary knowledge measure (Model 6: AIC = 16332.68; Pseudo-</w:t>
      </w:r>
      <w:r>
        <w:rPr>
          <w:i/>
        </w:rPr>
        <w:t>R</w:t>
      </w:r>
      <w:r>
        <w:rPr>
          <w:vertAlign w:val="superscript"/>
        </w:rPr>
        <w:t>2</w:t>
      </w:r>
      <w:r>
        <w:t xml:space="preserve"> = .16 - .21). See Table 15 for model summary. Participants were more likely to choose the knowledge option in response to the Gettier condition than in response to the ignorance condition. The likelihood of choosing knowledge was also higher in response to the knowledge condition than in response to the Gettier and ignorance conditions. Thus, participants demonstrated Gettier intuitions as measured by the alternative knowledge probe as well. </w:t>
      </w:r>
    </w:p>
    <w:p w14:paraId="6A9ABEB1" w14:textId="77777777" w:rsidR="00E03554" w:rsidRDefault="00DF0CFA">
      <w:pPr>
        <w:rPr>
          <w:b/>
        </w:rPr>
      </w:pPr>
      <w:r>
        <w:br w:type="page"/>
      </w:r>
    </w:p>
    <w:p w14:paraId="4D927B45" w14:textId="77777777" w:rsidR="00E03554" w:rsidRDefault="00DF0CFA">
      <w:r>
        <w:rPr>
          <w:b/>
        </w:rPr>
        <w:lastRenderedPageBreak/>
        <w:t>Table 15</w:t>
      </w:r>
    </w:p>
    <w:p w14:paraId="078FE049" w14:textId="77777777" w:rsidR="00E03554" w:rsidRDefault="00DF0CFA">
      <w:pPr>
        <w:rPr>
          <w:i/>
        </w:rPr>
      </w:pPr>
      <w:r>
        <w:rPr>
          <w:i/>
        </w:rPr>
        <w:t>Alternative Knowledge Probe Model 6 Summary</w:t>
      </w:r>
    </w:p>
    <w:tbl>
      <w:tblPr>
        <w:tblW w:w="5313" w:type="dxa"/>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5"/>
        <w:gridCol w:w="2448"/>
      </w:tblGrid>
      <w:tr w:rsidR="00882514" w14:paraId="72D584EB" w14:textId="77777777" w:rsidTr="00EA09C7">
        <w:trPr>
          <w:trHeight w:val="226"/>
        </w:trPr>
        <w:tc>
          <w:tcPr>
            <w:tcW w:w="2865" w:type="dxa"/>
            <w:vMerge w:val="restart"/>
            <w:tcBorders>
              <w:top w:val="single" w:sz="8" w:space="0" w:color="000000"/>
              <w:left w:val="single" w:sz="8" w:space="0" w:color="FFFFFF"/>
              <w:right w:val="single" w:sz="8" w:space="0" w:color="FFFFFF"/>
            </w:tcBorders>
            <w:vAlign w:val="center"/>
          </w:tcPr>
          <w:p w14:paraId="0DD80266" w14:textId="77777777" w:rsidR="00882514" w:rsidRDefault="00882514" w:rsidP="00882514">
            <w:pPr>
              <w:spacing w:line="240" w:lineRule="auto"/>
              <w:rPr>
                <w:b/>
              </w:rPr>
            </w:pPr>
            <w:bookmarkStart w:id="39" w:name="_b0l0who5ajek" w:colFirst="0" w:colLast="0"/>
            <w:bookmarkEnd w:id="39"/>
            <w:r>
              <w:rPr>
                <w:b/>
              </w:rPr>
              <w:t>Parameter or Statistic</w:t>
            </w:r>
          </w:p>
        </w:tc>
        <w:tc>
          <w:tcPr>
            <w:tcW w:w="2448" w:type="dxa"/>
            <w:tcBorders>
              <w:top w:val="single" w:sz="8" w:space="0" w:color="000000"/>
              <w:left w:val="single" w:sz="8" w:space="0" w:color="FFFFFF"/>
              <w:bottom w:val="single" w:sz="8" w:space="0" w:color="000000"/>
              <w:right w:val="single" w:sz="8" w:space="0" w:color="FFFFFF"/>
            </w:tcBorders>
            <w:vAlign w:val="center"/>
          </w:tcPr>
          <w:p w14:paraId="32E0BD93" w14:textId="77777777" w:rsidR="00882514" w:rsidRDefault="00882514" w:rsidP="00882514">
            <w:pPr>
              <w:spacing w:line="240" w:lineRule="auto"/>
              <w:jc w:val="center"/>
              <w:rPr>
                <w:b/>
              </w:rPr>
            </w:pPr>
            <w:r>
              <w:rPr>
                <w:b/>
              </w:rPr>
              <w:t>Measure</w:t>
            </w:r>
          </w:p>
        </w:tc>
      </w:tr>
      <w:tr w:rsidR="00882514" w14:paraId="574C0049" w14:textId="77777777" w:rsidTr="00EA09C7">
        <w:trPr>
          <w:trHeight w:val="226"/>
        </w:trPr>
        <w:tc>
          <w:tcPr>
            <w:tcW w:w="2865" w:type="dxa"/>
            <w:vMerge/>
            <w:tcBorders>
              <w:left w:val="single" w:sz="8" w:space="0" w:color="FFFFFF"/>
              <w:bottom w:val="single" w:sz="8" w:space="0" w:color="000000"/>
              <w:right w:val="single" w:sz="8" w:space="0" w:color="FFFFFF"/>
            </w:tcBorders>
            <w:vAlign w:val="center"/>
          </w:tcPr>
          <w:p w14:paraId="04592762" w14:textId="77777777" w:rsidR="00882514" w:rsidRDefault="00882514" w:rsidP="00882514">
            <w:pPr>
              <w:spacing w:line="240" w:lineRule="auto"/>
              <w:rPr>
                <w:b/>
              </w:rPr>
            </w:pPr>
          </w:p>
        </w:tc>
        <w:tc>
          <w:tcPr>
            <w:tcW w:w="2448" w:type="dxa"/>
            <w:tcBorders>
              <w:top w:val="single" w:sz="8" w:space="0" w:color="000000"/>
              <w:left w:val="single" w:sz="8" w:space="0" w:color="FFFFFF"/>
              <w:bottom w:val="single" w:sz="8" w:space="0" w:color="000000"/>
              <w:right w:val="single" w:sz="8" w:space="0" w:color="FFFFFF"/>
            </w:tcBorders>
            <w:vAlign w:val="center"/>
          </w:tcPr>
          <w:p w14:paraId="6B487F64" w14:textId="77777777" w:rsidR="00882514" w:rsidRDefault="00882514" w:rsidP="00882514">
            <w:pPr>
              <w:spacing w:line="240" w:lineRule="auto"/>
              <w:jc w:val="center"/>
              <w:rPr>
                <w:b/>
              </w:rPr>
            </w:pPr>
            <w:r>
              <w:rPr>
                <w:b/>
              </w:rPr>
              <w:t>Knowledge Probe</w:t>
            </w:r>
          </w:p>
        </w:tc>
      </w:tr>
      <w:tr w:rsidR="00882514" w14:paraId="5DA2487C" w14:textId="77777777" w:rsidTr="00EA09C7">
        <w:trPr>
          <w:trHeight w:val="216"/>
        </w:trPr>
        <w:tc>
          <w:tcPr>
            <w:tcW w:w="2865" w:type="dxa"/>
            <w:tcBorders>
              <w:top w:val="single" w:sz="8" w:space="0" w:color="000000"/>
              <w:left w:val="single" w:sz="8" w:space="0" w:color="FFFFFF"/>
              <w:bottom w:val="single" w:sz="8" w:space="0" w:color="FFFFFF"/>
              <w:right w:val="single" w:sz="8" w:space="0" w:color="FFFFFF"/>
            </w:tcBorders>
            <w:vAlign w:val="center"/>
          </w:tcPr>
          <w:p w14:paraId="19B3CC29" w14:textId="77777777" w:rsidR="00882514" w:rsidRDefault="00882514" w:rsidP="00882514">
            <w:pPr>
              <w:spacing w:line="240" w:lineRule="auto"/>
            </w:pPr>
            <w:r>
              <w:t>Fixed Effects</w:t>
            </w:r>
          </w:p>
        </w:tc>
        <w:tc>
          <w:tcPr>
            <w:tcW w:w="2448" w:type="dxa"/>
            <w:tcBorders>
              <w:top w:val="single" w:sz="8" w:space="0" w:color="000000"/>
              <w:left w:val="single" w:sz="8" w:space="0" w:color="FFFFFF"/>
              <w:bottom w:val="single" w:sz="8" w:space="0" w:color="FFFFFF"/>
              <w:right w:val="single" w:sz="8" w:space="0" w:color="FFFFFF"/>
            </w:tcBorders>
            <w:vAlign w:val="center"/>
          </w:tcPr>
          <w:p w14:paraId="21ABF9FE" w14:textId="77777777" w:rsidR="00882514" w:rsidRDefault="00882514" w:rsidP="00882514">
            <w:pPr>
              <w:spacing w:line="240" w:lineRule="auto"/>
              <w:jc w:val="center"/>
            </w:pPr>
          </w:p>
        </w:tc>
      </w:tr>
      <w:tr w:rsidR="00882514" w14:paraId="618821EE" w14:textId="77777777" w:rsidTr="00EA09C7">
        <w:trPr>
          <w:trHeight w:val="270"/>
        </w:trPr>
        <w:tc>
          <w:tcPr>
            <w:tcW w:w="2865" w:type="dxa"/>
            <w:tcBorders>
              <w:top w:val="single" w:sz="8" w:space="0" w:color="FFFFFF"/>
              <w:left w:val="single" w:sz="8" w:space="0" w:color="FFFFFF"/>
              <w:bottom w:val="single" w:sz="8" w:space="0" w:color="FFFFFF"/>
              <w:right w:val="single" w:sz="8" w:space="0" w:color="FFFFFF"/>
            </w:tcBorders>
            <w:vAlign w:val="center"/>
          </w:tcPr>
          <w:p w14:paraId="35C39444" w14:textId="77777777" w:rsidR="00882514" w:rsidRDefault="00882514" w:rsidP="00882514">
            <w:pPr>
              <w:spacing w:line="240" w:lineRule="auto"/>
              <w:ind w:left="-27" w:firstLine="367"/>
            </w:pPr>
            <w:r>
              <w:t>Intercept</w:t>
            </w:r>
          </w:p>
        </w:tc>
        <w:tc>
          <w:tcPr>
            <w:tcW w:w="2448" w:type="dxa"/>
            <w:tcBorders>
              <w:top w:val="single" w:sz="8" w:space="0" w:color="FFFFFF"/>
              <w:left w:val="single" w:sz="8" w:space="0" w:color="FFFFFF"/>
              <w:bottom w:val="single" w:sz="8" w:space="0" w:color="FFFFFF"/>
              <w:right w:val="single" w:sz="8" w:space="0" w:color="FFFFFF"/>
            </w:tcBorders>
            <w:vAlign w:val="center"/>
          </w:tcPr>
          <w:p w14:paraId="2B1BB8AA" w14:textId="77777777" w:rsidR="00882514" w:rsidRDefault="00882514" w:rsidP="00882514">
            <w:pPr>
              <w:tabs>
                <w:tab w:val="decimal" w:pos="614"/>
              </w:tabs>
              <w:spacing w:line="240" w:lineRule="auto"/>
            </w:pPr>
            <w:r>
              <w:t>0.67 (0.38)</w:t>
            </w:r>
          </w:p>
        </w:tc>
      </w:tr>
      <w:tr w:rsidR="00882514" w14:paraId="118C336F" w14:textId="77777777" w:rsidTr="00EA09C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3E8A8EF0" w14:textId="77777777" w:rsidR="00882514" w:rsidRDefault="00882514" w:rsidP="00882514">
            <w:pPr>
              <w:spacing w:line="240" w:lineRule="auto"/>
              <w:ind w:left="-27" w:firstLine="367"/>
            </w:pPr>
            <w:r>
              <w:t>Age</w:t>
            </w:r>
          </w:p>
        </w:tc>
        <w:tc>
          <w:tcPr>
            <w:tcW w:w="2448" w:type="dxa"/>
            <w:tcBorders>
              <w:top w:val="single" w:sz="8" w:space="0" w:color="FFFFFF"/>
              <w:left w:val="single" w:sz="8" w:space="0" w:color="FFFFFF"/>
              <w:bottom w:val="single" w:sz="8" w:space="0" w:color="FFFFFF"/>
              <w:right w:val="single" w:sz="8" w:space="0" w:color="FFFFFF"/>
            </w:tcBorders>
            <w:vAlign w:val="center"/>
          </w:tcPr>
          <w:p w14:paraId="649A611B" w14:textId="77777777" w:rsidR="00882514" w:rsidRDefault="00882514" w:rsidP="00882514">
            <w:pPr>
              <w:tabs>
                <w:tab w:val="decimal" w:pos="614"/>
              </w:tabs>
              <w:spacing w:line="240" w:lineRule="auto"/>
            </w:pPr>
            <w:r>
              <w:t>-0.01 (0.00)**</w:t>
            </w:r>
          </w:p>
        </w:tc>
      </w:tr>
      <w:tr w:rsidR="00882514" w14:paraId="6293C643" w14:textId="77777777" w:rsidTr="00EA09C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4A9DEF02" w14:textId="77777777" w:rsidR="00882514" w:rsidRDefault="00882514" w:rsidP="00882514">
            <w:pPr>
              <w:spacing w:line="240" w:lineRule="auto"/>
              <w:ind w:left="-27" w:firstLine="367"/>
            </w:pPr>
            <w:r>
              <w:t>Gender</w:t>
            </w:r>
          </w:p>
        </w:tc>
        <w:tc>
          <w:tcPr>
            <w:tcW w:w="2448" w:type="dxa"/>
            <w:tcBorders>
              <w:top w:val="single" w:sz="8" w:space="0" w:color="FFFFFF"/>
              <w:left w:val="single" w:sz="8" w:space="0" w:color="FFFFFF"/>
              <w:bottom w:val="single" w:sz="8" w:space="0" w:color="FFFFFF"/>
              <w:right w:val="single" w:sz="8" w:space="0" w:color="FFFFFF"/>
            </w:tcBorders>
            <w:vAlign w:val="center"/>
          </w:tcPr>
          <w:p w14:paraId="27E6F6B8" w14:textId="77777777" w:rsidR="00882514" w:rsidRDefault="00882514" w:rsidP="00882514">
            <w:pPr>
              <w:tabs>
                <w:tab w:val="decimal" w:pos="614"/>
              </w:tabs>
              <w:spacing w:line="240" w:lineRule="auto"/>
            </w:pPr>
            <w:r>
              <w:t>0.09 (0.04)*</w:t>
            </w:r>
          </w:p>
        </w:tc>
      </w:tr>
      <w:tr w:rsidR="00882514" w14:paraId="390F6D0E" w14:textId="77777777" w:rsidTr="00EA09C7">
        <w:trPr>
          <w:trHeight w:val="49"/>
        </w:trPr>
        <w:tc>
          <w:tcPr>
            <w:tcW w:w="2865" w:type="dxa"/>
            <w:tcBorders>
              <w:top w:val="single" w:sz="8" w:space="0" w:color="FFFFFF"/>
              <w:left w:val="single" w:sz="8" w:space="0" w:color="FFFFFF"/>
              <w:bottom w:val="single" w:sz="8" w:space="0" w:color="FFFFFF"/>
              <w:right w:val="single" w:sz="8" w:space="0" w:color="FFFFFF"/>
            </w:tcBorders>
            <w:vAlign w:val="center"/>
          </w:tcPr>
          <w:p w14:paraId="5A29D4E0" w14:textId="77777777" w:rsidR="00882514" w:rsidRDefault="00882514" w:rsidP="00882514">
            <w:pPr>
              <w:spacing w:line="240" w:lineRule="auto"/>
              <w:ind w:left="-27" w:firstLine="367"/>
            </w:pPr>
            <w:r>
              <w:t>Education</w:t>
            </w:r>
          </w:p>
        </w:tc>
        <w:tc>
          <w:tcPr>
            <w:tcW w:w="2448" w:type="dxa"/>
            <w:tcBorders>
              <w:top w:val="single" w:sz="8" w:space="0" w:color="FFFFFF"/>
              <w:left w:val="single" w:sz="8" w:space="0" w:color="FFFFFF"/>
              <w:bottom w:val="single" w:sz="8" w:space="0" w:color="FFFFFF"/>
              <w:right w:val="single" w:sz="8" w:space="0" w:color="FFFFFF"/>
            </w:tcBorders>
            <w:vAlign w:val="center"/>
          </w:tcPr>
          <w:p w14:paraId="11D87BBB" w14:textId="77777777" w:rsidR="00882514" w:rsidRDefault="00882514" w:rsidP="00882514">
            <w:pPr>
              <w:tabs>
                <w:tab w:val="decimal" w:pos="614"/>
              </w:tabs>
              <w:spacing w:line="240" w:lineRule="auto"/>
            </w:pPr>
            <w:r>
              <w:t>0.01 (0.01)</w:t>
            </w:r>
          </w:p>
        </w:tc>
      </w:tr>
      <w:tr w:rsidR="00882514" w14:paraId="4412BA39" w14:textId="77777777" w:rsidTr="00EA09C7">
        <w:trPr>
          <w:trHeight w:val="151"/>
        </w:trPr>
        <w:tc>
          <w:tcPr>
            <w:tcW w:w="2865" w:type="dxa"/>
            <w:tcBorders>
              <w:top w:val="single" w:sz="8" w:space="0" w:color="FFFFFF"/>
              <w:left w:val="single" w:sz="8" w:space="0" w:color="FFFFFF"/>
              <w:bottom w:val="single" w:sz="8" w:space="0" w:color="FFFFFF"/>
              <w:right w:val="single" w:sz="8" w:space="0" w:color="FFFFFF"/>
            </w:tcBorders>
            <w:vAlign w:val="center"/>
          </w:tcPr>
          <w:p w14:paraId="1FD78DCD" w14:textId="77777777" w:rsidR="00882514" w:rsidRDefault="00882514" w:rsidP="00882514">
            <w:pPr>
              <w:spacing w:line="240" w:lineRule="auto"/>
              <w:ind w:left="-27" w:firstLine="367"/>
            </w:pPr>
            <w:r>
              <w:t>Compensation</w:t>
            </w:r>
          </w:p>
        </w:tc>
        <w:tc>
          <w:tcPr>
            <w:tcW w:w="2448" w:type="dxa"/>
            <w:tcBorders>
              <w:top w:val="single" w:sz="8" w:space="0" w:color="FFFFFF"/>
              <w:left w:val="single" w:sz="8" w:space="0" w:color="FFFFFF"/>
              <w:bottom w:val="single" w:sz="8" w:space="0" w:color="FFFFFF"/>
              <w:right w:val="single" w:sz="8" w:space="0" w:color="FFFFFF"/>
            </w:tcBorders>
            <w:vAlign w:val="center"/>
          </w:tcPr>
          <w:p w14:paraId="2B67B18A" w14:textId="77777777" w:rsidR="00882514" w:rsidRDefault="00882514" w:rsidP="00882514">
            <w:pPr>
              <w:tabs>
                <w:tab w:val="decimal" w:pos="614"/>
              </w:tabs>
              <w:spacing w:line="240" w:lineRule="auto"/>
            </w:pPr>
            <w:r>
              <w:t>-0.22 (0.04)***</w:t>
            </w:r>
          </w:p>
        </w:tc>
      </w:tr>
      <w:tr w:rsidR="00882514" w14:paraId="7CBD1413" w14:textId="77777777" w:rsidTr="00EA09C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1D7EF44D" w14:textId="77777777" w:rsidR="00882514" w:rsidRDefault="00882514" w:rsidP="00882514">
            <w:pPr>
              <w:spacing w:line="240" w:lineRule="auto"/>
              <w:ind w:left="-27" w:firstLine="367"/>
            </w:pPr>
            <w:r>
              <w:t>Condition: Ignorance</w:t>
            </w:r>
          </w:p>
        </w:tc>
        <w:tc>
          <w:tcPr>
            <w:tcW w:w="2448" w:type="dxa"/>
            <w:tcBorders>
              <w:top w:val="single" w:sz="8" w:space="0" w:color="FFFFFF"/>
              <w:left w:val="single" w:sz="8" w:space="0" w:color="FFFFFF"/>
              <w:bottom w:val="single" w:sz="8" w:space="0" w:color="FFFFFF"/>
              <w:right w:val="single" w:sz="8" w:space="0" w:color="FFFFFF"/>
            </w:tcBorders>
            <w:vAlign w:val="center"/>
          </w:tcPr>
          <w:p w14:paraId="2A6EEE6A" w14:textId="77777777" w:rsidR="00882514" w:rsidRDefault="00882514" w:rsidP="00882514">
            <w:pPr>
              <w:tabs>
                <w:tab w:val="decimal" w:pos="614"/>
              </w:tabs>
              <w:spacing w:line="240" w:lineRule="auto"/>
            </w:pPr>
            <w:r>
              <w:t>1.18 (0.05)***</w:t>
            </w:r>
          </w:p>
        </w:tc>
      </w:tr>
      <w:tr w:rsidR="00882514" w14:paraId="0C26ED3E" w14:textId="77777777" w:rsidTr="00EA09C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7CB80640" w14:textId="77777777" w:rsidR="00882514" w:rsidRDefault="00882514" w:rsidP="00882514">
            <w:pPr>
              <w:spacing w:line="240" w:lineRule="auto"/>
              <w:ind w:left="-27" w:firstLine="367"/>
            </w:pPr>
            <w:r>
              <w:t>Condition: Knowledge</w:t>
            </w:r>
          </w:p>
        </w:tc>
        <w:tc>
          <w:tcPr>
            <w:tcW w:w="2448" w:type="dxa"/>
            <w:tcBorders>
              <w:top w:val="single" w:sz="8" w:space="0" w:color="FFFFFF"/>
              <w:left w:val="single" w:sz="8" w:space="0" w:color="FFFFFF"/>
              <w:bottom w:val="single" w:sz="8" w:space="0" w:color="FFFFFF"/>
              <w:right w:val="single" w:sz="8" w:space="0" w:color="FFFFFF"/>
            </w:tcBorders>
            <w:vAlign w:val="center"/>
          </w:tcPr>
          <w:p w14:paraId="3AD4AE13" w14:textId="77777777" w:rsidR="00882514" w:rsidRDefault="00882514" w:rsidP="00882514">
            <w:pPr>
              <w:tabs>
                <w:tab w:val="decimal" w:pos="614"/>
              </w:tabs>
              <w:spacing w:line="240" w:lineRule="auto"/>
            </w:pPr>
            <w:r>
              <w:t>-0.41 (0.04)***</w:t>
            </w:r>
          </w:p>
        </w:tc>
      </w:tr>
      <w:tr w:rsidR="00882514" w14:paraId="7B410379" w14:textId="77777777" w:rsidTr="00EA09C7">
        <w:trPr>
          <w:trHeight w:val="216"/>
        </w:trPr>
        <w:tc>
          <w:tcPr>
            <w:tcW w:w="2865" w:type="dxa"/>
            <w:tcBorders>
              <w:top w:val="single" w:sz="8" w:space="0" w:color="FFFFFF"/>
              <w:left w:val="single" w:sz="8" w:space="0" w:color="FFFFFF"/>
              <w:bottom w:val="single" w:sz="8" w:space="0" w:color="FFFFFF"/>
              <w:right w:val="single" w:sz="8" w:space="0" w:color="FFFFFF"/>
            </w:tcBorders>
            <w:vAlign w:val="center"/>
          </w:tcPr>
          <w:p w14:paraId="4C680AEF" w14:textId="77777777" w:rsidR="00882514" w:rsidRDefault="00882514" w:rsidP="00882514">
            <w:pPr>
              <w:spacing w:line="240" w:lineRule="auto"/>
            </w:pPr>
            <w:r>
              <w:t>Random Effects</w:t>
            </w:r>
          </w:p>
        </w:tc>
        <w:tc>
          <w:tcPr>
            <w:tcW w:w="2448" w:type="dxa"/>
            <w:tcBorders>
              <w:top w:val="single" w:sz="8" w:space="0" w:color="FFFFFF"/>
              <w:left w:val="single" w:sz="8" w:space="0" w:color="FFFFFF"/>
              <w:bottom w:val="single" w:sz="8" w:space="0" w:color="FFFFFF"/>
              <w:right w:val="single" w:sz="8" w:space="0" w:color="FFFFFF"/>
            </w:tcBorders>
            <w:vAlign w:val="center"/>
          </w:tcPr>
          <w:p w14:paraId="4E78617E" w14:textId="77777777" w:rsidR="00882514" w:rsidRDefault="00882514" w:rsidP="00882514">
            <w:pPr>
              <w:tabs>
                <w:tab w:val="decimal" w:pos="259"/>
              </w:tabs>
              <w:spacing w:line="240" w:lineRule="auto"/>
            </w:pPr>
          </w:p>
        </w:tc>
      </w:tr>
      <w:tr w:rsidR="00882514" w14:paraId="24500BF1" w14:textId="77777777" w:rsidTr="00EA09C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082F3DF5" w14:textId="77777777" w:rsidR="00882514" w:rsidRDefault="00882514" w:rsidP="00882514">
            <w:pPr>
              <w:spacing w:line="240" w:lineRule="auto"/>
              <w:ind w:firstLine="340"/>
            </w:pPr>
            <w:r>
              <w:t>Site</w:t>
            </w:r>
          </w:p>
        </w:tc>
        <w:tc>
          <w:tcPr>
            <w:tcW w:w="2448" w:type="dxa"/>
            <w:tcBorders>
              <w:top w:val="single" w:sz="8" w:space="0" w:color="FFFFFF"/>
              <w:left w:val="single" w:sz="8" w:space="0" w:color="FFFFFF"/>
              <w:bottom w:val="single" w:sz="8" w:space="0" w:color="FFFFFF"/>
              <w:right w:val="single" w:sz="8" w:space="0" w:color="FFFFFF"/>
            </w:tcBorders>
            <w:vAlign w:val="center"/>
          </w:tcPr>
          <w:p w14:paraId="1768A35E" w14:textId="77777777" w:rsidR="00882514" w:rsidRDefault="00882514" w:rsidP="00882514">
            <w:pPr>
              <w:tabs>
                <w:tab w:val="decimal" w:pos="974"/>
              </w:tabs>
              <w:spacing w:line="240" w:lineRule="auto"/>
            </w:pPr>
            <w:r>
              <w:t>&lt; 0.001</w:t>
            </w:r>
          </w:p>
        </w:tc>
      </w:tr>
      <w:tr w:rsidR="00882514" w14:paraId="021D8D59" w14:textId="77777777" w:rsidTr="00EA09C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2DE6D845" w14:textId="77777777" w:rsidR="00882514" w:rsidRDefault="00882514" w:rsidP="00882514">
            <w:pPr>
              <w:spacing w:line="240" w:lineRule="auto"/>
              <w:ind w:firstLine="340"/>
            </w:pPr>
            <w:r>
              <w:t xml:space="preserve">Participant </w:t>
            </w:r>
          </w:p>
        </w:tc>
        <w:tc>
          <w:tcPr>
            <w:tcW w:w="2448" w:type="dxa"/>
            <w:tcBorders>
              <w:top w:val="single" w:sz="8" w:space="0" w:color="FFFFFF"/>
              <w:left w:val="single" w:sz="8" w:space="0" w:color="FFFFFF"/>
              <w:bottom w:val="single" w:sz="8" w:space="0" w:color="FFFFFF"/>
              <w:right w:val="single" w:sz="8" w:space="0" w:color="FFFFFF"/>
            </w:tcBorders>
            <w:vAlign w:val="center"/>
          </w:tcPr>
          <w:p w14:paraId="0C039FFE" w14:textId="77777777" w:rsidR="00882514" w:rsidRDefault="00882514" w:rsidP="00882514">
            <w:pPr>
              <w:tabs>
                <w:tab w:val="decimal" w:pos="974"/>
              </w:tabs>
              <w:spacing w:line="240" w:lineRule="auto"/>
            </w:pPr>
            <w:r>
              <w:t>&lt; 0.001</w:t>
            </w:r>
          </w:p>
        </w:tc>
      </w:tr>
      <w:tr w:rsidR="00882514" w14:paraId="24828633" w14:textId="77777777" w:rsidTr="00EA09C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42C43A0B" w14:textId="77777777" w:rsidR="00882514" w:rsidRDefault="00882514" w:rsidP="00882514">
            <w:pPr>
              <w:spacing w:line="240" w:lineRule="auto"/>
              <w:ind w:firstLine="340"/>
            </w:pPr>
            <w:r>
              <w:t>Vignette</w:t>
            </w:r>
          </w:p>
        </w:tc>
        <w:tc>
          <w:tcPr>
            <w:tcW w:w="2448" w:type="dxa"/>
            <w:tcBorders>
              <w:top w:val="single" w:sz="8" w:space="0" w:color="FFFFFF"/>
              <w:left w:val="single" w:sz="8" w:space="0" w:color="FFFFFF"/>
              <w:bottom w:val="single" w:sz="8" w:space="0" w:color="FFFFFF"/>
              <w:right w:val="single" w:sz="8" w:space="0" w:color="FFFFFF"/>
            </w:tcBorders>
            <w:vAlign w:val="center"/>
          </w:tcPr>
          <w:p w14:paraId="7CF38000" w14:textId="77777777" w:rsidR="00882514" w:rsidRDefault="00882514" w:rsidP="00882514">
            <w:pPr>
              <w:tabs>
                <w:tab w:val="decimal" w:pos="974"/>
              </w:tabs>
              <w:spacing w:line="240" w:lineRule="auto"/>
            </w:pPr>
            <w:r>
              <w:t>0.628</w:t>
            </w:r>
          </w:p>
        </w:tc>
      </w:tr>
      <w:tr w:rsidR="00882514" w14:paraId="11DDD6BB" w14:textId="77777777" w:rsidTr="00EA09C7">
        <w:trPr>
          <w:trHeight w:val="226"/>
        </w:trPr>
        <w:tc>
          <w:tcPr>
            <w:tcW w:w="2865" w:type="dxa"/>
            <w:tcBorders>
              <w:top w:val="single" w:sz="8" w:space="0" w:color="000000"/>
              <w:left w:val="single" w:sz="8" w:space="0" w:color="FFFFFF"/>
              <w:bottom w:val="single" w:sz="8" w:space="0" w:color="000000"/>
              <w:right w:val="single" w:sz="8" w:space="0" w:color="FFFFFF"/>
            </w:tcBorders>
            <w:vAlign w:val="center"/>
          </w:tcPr>
          <w:p w14:paraId="3E63124B" w14:textId="77777777" w:rsidR="00882514" w:rsidRDefault="00882514" w:rsidP="00882514">
            <w:pPr>
              <w:spacing w:line="240" w:lineRule="auto"/>
            </w:pPr>
            <w:r>
              <w:t>AIC</w:t>
            </w:r>
          </w:p>
        </w:tc>
        <w:tc>
          <w:tcPr>
            <w:tcW w:w="2448" w:type="dxa"/>
            <w:tcBorders>
              <w:top w:val="single" w:sz="8" w:space="0" w:color="000000"/>
              <w:left w:val="single" w:sz="8" w:space="0" w:color="FFFFFF"/>
              <w:bottom w:val="single" w:sz="8" w:space="0" w:color="000000"/>
              <w:right w:val="single" w:sz="8" w:space="0" w:color="FFFFFF"/>
            </w:tcBorders>
            <w:vAlign w:val="center"/>
          </w:tcPr>
          <w:p w14:paraId="79C190D3" w14:textId="77777777" w:rsidR="00882514" w:rsidRDefault="00882514" w:rsidP="00882514">
            <w:pPr>
              <w:spacing w:line="240" w:lineRule="auto"/>
              <w:jc w:val="center"/>
            </w:pPr>
            <w:r>
              <w:t>16332.68</w:t>
            </w:r>
          </w:p>
        </w:tc>
      </w:tr>
    </w:tbl>
    <w:p w14:paraId="15EC144A" w14:textId="77777777" w:rsidR="00882514" w:rsidRDefault="00882514" w:rsidP="00882514">
      <w:pPr>
        <w:spacing w:line="240" w:lineRule="auto"/>
      </w:pPr>
      <w:r>
        <w:rPr>
          <w:i/>
        </w:rPr>
        <w:t xml:space="preserve">Note. </w:t>
      </w:r>
      <w:r>
        <w:t xml:space="preserve">Estimates and their standard errors, in parentheses where applicable, are provided for each variable in the model. Positive values suggest an increased likelihood of choosing knowledge.  For the condition variable, Gettier was the comparison group. Full model statistics can be found at </w:t>
      </w:r>
      <w:hyperlink r:id="rId23">
        <w:r>
          <w:rPr>
            <w:u w:val="single"/>
          </w:rPr>
          <w:t>https://osf.io/8ut6e/</w:t>
        </w:r>
      </w:hyperlink>
      <w:r>
        <w:t xml:space="preserve"> in the analysis folder.</w:t>
      </w:r>
    </w:p>
    <w:p w14:paraId="3B91B37C" w14:textId="5517BCD4" w:rsidR="00E03554" w:rsidRDefault="00882514" w:rsidP="00882514">
      <w:pPr>
        <w:spacing w:line="240" w:lineRule="auto"/>
      </w:pPr>
      <w:r>
        <w:t xml:space="preserve">* </w:t>
      </w:r>
      <w:r>
        <w:rPr>
          <w:i/>
        </w:rPr>
        <w:t>p</w:t>
      </w:r>
      <w:r>
        <w:t xml:space="preserve"> &lt; .05; ** </w:t>
      </w:r>
      <w:r>
        <w:rPr>
          <w:i/>
        </w:rPr>
        <w:t>p</w:t>
      </w:r>
      <w:r>
        <w:t xml:space="preserve"> &lt; .01; *** </w:t>
      </w:r>
      <w:r>
        <w:rPr>
          <w:i/>
        </w:rPr>
        <w:t>p</w:t>
      </w:r>
      <w:r>
        <w:t xml:space="preserve"> &lt; .001</w:t>
      </w:r>
    </w:p>
    <w:p w14:paraId="0AB3EEE8" w14:textId="77777777" w:rsidR="00882514" w:rsidRPr="00882514" w:rsidRDefault="00882514" w:rsidP="00882514">
      <w:pPr>
        <w:spacing w:line="240" w:lineRule="auto"/>
        <w:rPr>
          <w:b/>
          <w:i/>
        </w:rPr>
      </w:pPr>
    </w:p>
    <w:p w14:paraId="5F9F6C25" w14:textId="77777777" w:rsidR="00E03554" w:rsidRDefault="00DF0CFA">
      <w:pPr>
        <w:pStyle w:val="Heading3"/>
        <w:rPr>
          <w:color w:val="000000"/>
        </w:rPr>
      </w:pPr>
      <w:bookmarkStart w:id="40" w:name="_lma9j57qg91s" w:colFirst="0" w:colLast="0"/>
      <w:bookmarkEnd w:id="40"/>
      <w:r>
        <w:rPr>
          <w:color w:val="000000"/>
        </w:rPr>
        <w:t>Measurement Characteristics</w:t>
      </w:r>
    </w:p>
    <w:p w14:paraId="0204A7F4" w14:textId="77777777" w:rsidR="00E03554" w:rsidRDefault="00DF0CFA">
      <w:pPr>
        <w:spacing w:after="160"/>
        <w:ind w:firstLine="720"/>
      </w:pPr>
      <w:r>
        <w:t>Finally, we examined whether condition effects were influenced by measurement characteristics, specifically if the outcome was originally measured on a binary or visual analogue scale. See Table 16 for model summaries. Adding measurement and its interaction with condition to the model predicting knowledge attribution did not produce moderation effects or improve model fit (Model 6D; AIC = 15876.57; Pseudo-</w:t>
      </w:r>
      <w:r>
        <w:rPr>
          <w:i/>
        </w:rPr>
        <w:t>R</w:t>
      </w:r>
      <w:r>
        <w:rPr>
          <w:vertAlign w:val="superscript"/>
        </w:rPr>
        <w:t>2</w:t>
      </w:r>
      <w:r>
        <w:t xml:space="preserve"> =0.21 - 0.25). Next, we estimated the same model (Model 6D) in predicting judgments of reasonableness (AIC = 7041.29). While this model (Pseudo-</w:t>
      </w:r>
      <w:r>
        <w:rPr>
          <w:i/>
        </w:rPr>
        <w:t>R</w:t>
      </w:r>
      <w:r>
        <w:rPr>
          <w:vertAlign w:val="superscript"/>
        </w:rPr>
        <w:t>2</w:t>
      </w:r>
      <w:r>
        <w:t xml:space="preserve"> = .02 - .07) performed better than Model 6, the interactions between condition and measurement type were not significant. Finally, we estimated a model that included an interaction between condition and measurement type predicting luck attributions (Model 6D, </w:t>
      </w:r>
      <w:r>
        <w:lastRenderedPageBreak/>
        <w:t xml:space="preserve">AIC = 15862.09). This </w:t>
      </w:r>
      <w:proofErr w:type="gramStart"/>
      <w:r>
        <w:t>model  (</w:t>
      </w:r>
      <w:proofErr w:type="gramEnd"/>
      <w:r>
        <w:t>Pseudo-</w:t>
      </w:r>
      <w:r>
        <w:rPr>
          <w:i/>
        </w:rPr>
        <w:t>R</w:t>
      </w:r>
      <w:r>
        <w:rPr>
          <w:vertAlign w:val="superscript"/>
        </w:rPr>
        <w:t>2</w:t>
      </w:r>
      <w:r>
        <w:t xml:space="preserve"> = .14 - .16) performed better than Model 6 and revealed an interaction effect for the Ignorance condition in comparison to the Gettier condition. </w:t>
      </w:r>
    </w:p>
    <w:p w14:paraId="72249B0B" w14:textId="11430825" w:rsidR="00E03554" w:rsidRPr="00CE50FA" w:rsidRDefault="00DF0CFA">
      <w:pPr>
        <w:rPr>
          <w:b/>
        </w:rPr>
      </w:pPr>
      <w:r>
        <w:rPr>
          <w:b/>
        </w:rPr>
        <w:t>Table 16</w:t>
      </w:r>
      <w:r>
        <w:t xml:space="preserve"> </w:t>
      </w:r>
    </w:p>
    <w:p w14:paraId="015CEE9C" w14:textId="77777777" w:rsidR="00E03554" w:rsidRDefault="00DF0CFA">
      <w:pPr>
        <w:rPr>
          <w:i/>
        </w:rPr>
      </w:pPr>
      <w:r>
        <w:rPr>
          <w:i/>
        </w:rPr>
        <w:t>Measurement Moderation Model (6D) Summaries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326"/>
        <w:gridCol w:w="2011"/>
        <w:gridCol w:w="2011"/>
        <w:gridCol w:w="2012"/>
      </w:tblGrid>
      <w:tr w:rsidR="00882514" w14:paraId="386B7FDE" w14:textId="77777777" w:rsidTr="00EA09C7">
        <w:trPr>
          <w:trHeight w:val="226"/>
        </w:trPr>
        <w:tc>
          <w:tcPr>
            <w:tcW w:w="1777" w:type="pct"/>
            <w:vMerge w:val="restart"/>
            <w:tcBorders>
              <w:top w:val="single" w:sz="8" w:space="0" w:color="auto"/>
              <w:left w:val="nil"/>
              <w:right w:val="nil"/>
            </w:tcBorders>
            <w:vAlign w:val="center"/>
          </w:tcPr>
          <w:p w14:paraId="16A78414" w14:textId="77777777" w:rsidR="00882514" w:rsidRDefault="00882514" w:rsidP="00882514">
            <w:pPr>
              <w:spacing w:line="240" w:lineRule="auto"/>
              <w:rPr>
                <w:b/>
              </w:rPr>
            </w:pPr>
            <w:r>
              <w:rPr>
                <w:b/>
              </w:rPr>
              <w:t>Parameter or Statistic</w:t>
            </w:r>
          </w:p>
        </w:tc>
        <w:tc>
          <w:tcPr>
            <w:tcW w:w="3223" w:type="pct"/>
            <w:gridSpan w:val="3"/>
            <w:tcBorders>
              <w:top w:val="single" w:sz="8" w:space="0" w:color="auto"/>
              <w:left w:val="nil"/>
              <w:bottom w:val="single" w:sz="8" w:space="0" w:color="auto"/>
              <w:right w:val="nil"/>
            </w:tcBorders>
            <w:vAlign w:val="center"/>
          </w:tcPr>
          <w:p w14:paraId="3382B521" w14:textId="77777777" w:rsidR="00882514" w:rsidRDefault="00882514" w:rsidP="00882514">
            <w:pPr>
              <w:spacing w:line="240" w:lineRule="auto"/>
              <w:jc w:val="center"/>
              <w:rPr>
                <w:b/>
              </w:rPr>
            </w:pPr>
            <w:r>
              <w:rPr>
                <w:b/>
              </w:rPr>
              <w:t>Measure</w:t>
            </w:r>
          </w:p>
        </w:tc>
      </w:tr>
      <w:tr w:rsidR="00882514" w14:paraId="3355CE75" w14:textId="77777777" w:rsidTr="00EA09C7">
        <w:trPr>
          <w:trHeight w:val="226"/>
        </w:trPr>
        <w:tc>
          <w:tcPr>
            <w:tcW w:w="1777" w:type="pct"/>
            <w:vMerge/>
            <w:tcBorders>
              <w:left w:val="nil"/>
              <w:bottom w:val="single" w:sz="8" w:space="0" w:color="auto"/>
              <w:right w:val="nil"/>
            </w:tcBorders>
            <w:vAlign w:val="center"/>
          </w:tcPr>
          <w:p w14:paraId="0F152910" w14:textId="77777777" w:rsidR="00882514" w:rsidRDefault="00882514" w:rsidP="00882514">
            <w:pPr>
              <w:spacing w:line="240" w:lineRule="auto"/>
              <w:rPr>
                <w:b/>
              </w:rPr>
            </w:pPr>
          </w:p>
        </w:tc>
        <w:tc>
          <w:tcPr>
            <w:tcW w:w="1074" w:type="pct"/>
            <w:tcBorders>
              <w:top w:val="single" w:sz="8" w:space="0" w:color="auto"/>
              <w:left w:val="nil"/>
              <w:bottom w:val="single" w:sz="8" w:space="0" w:color="auto"/>
              <w:right w:val="nil"/>
            </w:tcBorders>
            <w:vAlign w:val="center"/>
          </w:tcPr>
          <w:p w14:paraId="39D5143E" w14:textId="77777777" w:rsidR="00882514" w:rsidRDefault="00882514" w:rsidP="00882514">
            <w:pPr>
              <w:spacing w:line="240" w:lineRule="auto"/>
              <w:jc w:val="center"/>
              <w:rPr>
                <w:b/>
              </w:rPr>
            </w:pPr>
            <w:r>
              <w:rPr>
                <w:b/>
              </w:rPr>
              <w:t>Knowledge</w:t>
            </w:r>
          </w:p>
        </w:tc>
        <w:tc>
          <w:tcPr>
            <w:tcW w:w="1074" w:type="pct"/>
            <w:tcBorders>
              <w:top w:val="single" w:sz="8" w:space="0" w:color="auto"/>
              <w:left w:val="nil"/>
              <w:bottom w:val="single" w:sz="8" w:space="0" w:color="auto"/>
              <w:right w:val="nil"/>
            </w:tcBorders>
            <w:vAlign w:val="center"/>
          </w:tcPr>
          <w:p w14:paraId="3E7668AA" w14:textId="77777777" w:rsidR="00882514" w:rsidRDefault="00882514" w:rsidP="00882514">
            <w:pPr>
              <w:spacing w:line="240" w:lineRule="auto"/>
              <w:jc w:val="center"/>
              <w:rPr>
                <w:b/>
              </w:rPr>
            </w:pPr>
            <w:r>
              <w:rPr>
                <w:b/>
              </w:rPr>
              <w:t>Reasonableness</w:t>
            </w:r>
          </w:p>
        </w:tc>
        <w:tc>
          <w:tcPr>
            <w:tcW w:w="1074" w:type="pct"/>
            <w:tcBorders>
              <w:top w:val="single" w:sz="8" w:space="0" w:color="auto"/>
              <w:left w:val="nil"/>
              <w:bottom w:val="single" w:sz="8" w:space="0" w:color="auto"/>
              <w:right w:val="nil"/>
            </w:tcBorders>
            <w:vAlign w:val="center"/>
          </w:tcPr>
          <w:p w14:paraId="5F9A08F0" w14:textId="77777777" w:rsidR="00882514" w:rsidRDefault="00882514" w:rsidP="00882514">
            <w:pPr>
              <w:spacing w:line="240" w:lineRule="auto"/>
              <w:jc w:val="center"/>
              <w:rPr>
                <w:b/>
              </w:rPr>
            </w:pPr>
            <w:r>
              <w:rPr>
                <w:b/>
              </w:rPr>
              <w:t>Luck/(In)ability</w:t>
            </w:r>
          </w:p>
        </w:tc>
      </w:tr>
      <w:tr w:rsidR="00882514" w14:paraId="31E08D9E" w14:textId="77777777" w:rsidTr="00EA09C7">
        <w:trPr>
          <w:trHeight w:val="216"/>
        </w:trPr>
        <w:tc>
          <w:tcPr>
            <w:tcW w:w="1777" w:type="pct"/>
            <w:tcBorders>
              <w:top w:val="single" w:sz="8" w:space="0" w:color="auto"/>
              <w:left w:val="single" w:sz="8" w:space="0" w:color="FFFFFF"/>
              <w:bottom w:val="single" w:sz="8" w:space="0" w:color="FFFFFF"/>
              <w:right w:val="single" w:sz="8" w:space="0" w:color="FFFFFF"/>
            </w:tcBorders>
            <w:vAlign w:val="center"/>
          </w:tcPr>
          <w:p w14:paraId="7DDE2E39" w14:textId="77777777" w:rsidR="00882514" w:rsidRDefault="00882514" w:rsidP="00882514">
            <w:pPr>
              <w:spacing w:line="240" w:lineRule="auto"/>
            </w:pPr>
            <w:r>
              <w:t>Fixed Effects</w:t>
            </w:r>
          </w:p>
        </w:tc>
        <w:tc>
          <w:tcPr>
            <w:tcW w:w="1074" w:type="pct"/>
            <w:tcBorders>
              <w:top w:val="single" w:sz="8" w:space="0" w:color="auto"/>
              <w:left w:val="single" w:sz="8" w:space="0" w:color="FFFFFF"/>
              <w:bottom w:val="single" w:sz="8" w:space="0" w:color="FFFFFF"/>
              <w:right w:val="single" w:sz="8" w:space="0" w:color="FFFFFF"/>
            </w:tcBorders>
            <w:vAlign w:val="center"/>
          </w:tcPr>
          <w:p w14:paraId="4FA04B19" w14:textId="77777777" w:rsidR="00882514" w:rsidRDefault="00882514" w:rsidP="00882514">
            <w:pPr>
              <w:tabs>
                <w:tab w:val="decimal" w:pos="242"/>
              </w:tabs>
              <w:spacing w:line="240" w:lineRule="auto"/>
              <w:jc w:val="center"/>
            </w:pPr>
          </w:p>
        </w:tc>
        <w:tc>
          <w:tcPr>
            <w:tcW w:w="1074" w:type="pct"/>
            <w:tcBorders>
              <w:top w:val="single" w:sz="8" w:space="0" w:color="auto"/>
              <w:left w:val="single" w:sz="8" w:space="0" w:color="FFFFFF"/>
              <w:bottom w:val="single" w:sz="8" w:space="0" w:color="FFFFFF"/>
              <w:right w:val="single" w:sz="8" w:space="0" w:color="FFFFFF"/>
            </w:tcBorders>
            <w:vAlign w:val="center"/>
          </w:tcPr>
          <w:p w14:paraId="536DEACD" w14:textId="77777777" w:rsidR="00882514" w:rsidRDefault="00882514" w:rsidP="00882514">
            <w:pPr>
              <w:spacing w:line="240" w:lineRule="auto"/>
              <w:jc w:val="center"/>
            </w:pPr>
          </w:p>
        </w:tc>
        <w:tc>
          <w:tcPr>
            <w:tcW w:w="1074" w:type="pct"/>
            <w:tcBorders>
              <w:top w:val="single" w:sz="8" w:space="0" w:color="auto"/>
              <w:left w:val="single" w:sz="8" w:space="0" w:color="FFFFFF"/>
              <w:bottom w:val="single" w:sz="8" w:space="0" w:color="FFFFFF"/>
              <w:right w:val="single" w:sz="8" w:space="0" w:color="FFFFFF"/>
            </w:tcBorders>
            <w:vAlign w:val="center"/>
          </w:tcPr>
          <w:p w14:paraId="3AD5A9D1" w14:textId="77777777" w:rsidR="00882514" w:rsidRDefault="00882514" w:rsidP="00882514">
            <w:pPr>
              <w:spacing w:line="240" w:lineRule="auto"/>
              <w:jc w:val="center"/>
            </w:pPr>
          </w:p>
        </w:tc>
      </w:tr>
      <w:tr w:rsidR="00882514" w14:paraId="3D02F063" w14:textId="77777777" w:rsidTr="00EA09C7">
        <w:trPr>
          <w:trHeight w:val="226"/>
        </w:trPr>
        <w:tc>
          <w:tcPr>
            <w:tcW w:w="1777" w:type="pct"/>
            <w:tcBorders>
              <w:top w:val="single" w:sz="8" w:space="0" w:color="FFFFFF"/>
              <w:left w:val="single" w:sz="8" w:space="0" w:color="FFFFFF"/>
              <w:bottom w:val="single" w:sz="8" w:space="0" w:color="FFFFFF"/>
              <w:right w:val="single" w:sz="8" w:space="0" w:color="FFFFFF"/>
            </w:tcBorders>
            <w:vAlign w:val="center"/>
          </w:tcPr>
          <w:p w14:paraId="0EA5C64F" w14:textId="77777777" w:rsidR="00882514" w:rsidRDefault="00882514" w:rsidP="00882514">
            <w:pPr>
              <w:spacing w:line="240" w:lineRule="auto"/>
              <w:ind w:left="-27" w:firstLine="367"/>
            </w:pPr>
            <w:r>
              <w:t>Intercept</w:t>
            </w:r>
          </w:p>
        </w:tc>
        <w:tc>
          <w:tcPr>
            <w:tcW w:w="1074" w:type="pct"/>
            <w:tcBorders>
              <w:top w:val="single" w:sz="8" w:space="0" w:color="FFFFFF"/>
              <w:left w:val="single" w:sz="8" w:space="0" w:color="FFFFFF"/>
              <w:bottom w:val="single" w:sz="8" w:space="0" w:color="FFFFFF"/>
              <w:right w:val="single" w:sz="8" w:space="0" w:color="FFFFFF"/>
            </w:tcBorders>
            <w:vAlign w:val="center"/>
          </w:tcPr>
          <w:p w14:paraId="08B58B5C" w14:textId="77777777" w:rsidR="00882514" w:rsidRDefault="00882514" w:rsidP="00882514">
            <w:pPr>
              <w:tabs>
                <w:tab w:val="decimal" w:pos="477"/>
              </w:tabs>
              <w:spacing w:line="240" w:lineRule="auto"/>
            </w:pPr>
            <w:r>
              <w:t>-0.23 (0.41)</w:t>
            </w:r>
          </w:p>
        </w:tc>
        <w:tc>
          <w:tcPr>
            <w:tcW w:w="1074" w:type="pct"/>
            <w:tcBorders>
              <w:top w:val="single" w:sz="8" w:space="0" w:color="FFFFFF"/>
              <w:left w:val="single" w:sz="8" w:space="0" w:color="FFFFFF"/>
              <w:bottom w:val="single" w:sz="8" w:space="0" w:color="FFFFFF"/>
              <w:right w:val="single" w:sz="8" w:space="0" w:color="FFFFFF"/>
            </w:tcBorders>
            <w:vAlign w:val="center"/>
          </w:tcPr>
          <w:p w14:paraId="37B006EA" w14:textId="77777777" w:rsidR="00882514" w:rsidRDefault="00882514" w:rsidP="00882514">
            <w:pPr>
              <w:tabs>
                <w:tab w:val="decimal" w:pos="401"/>
              </w:tabs>
              <w:spacing w:line="240" w:lineRule="auto"/>
            </w:pPr>
            <w:r>
              <w:t>1.57 (0.28)***</w:t>
            </w:r>
          </w:p>
        </w:tc>
        <w:tc>
          <w:tcPr>
            <w:tcW w:w="1074" w:type="pct"/>
            <w:tcBorders>
              <w:top w:val="single" w:sz="8" w:space="0" w:color="FFFFFF"/>
              <w:left w:val="single" w:sz="8" w:space="0" w:color="FFFFFF"/>
              <w:bottom w:val="single" w:sz="8" w:space="0" w:color="FFFFFF"/>
              <w:right w:val="single" w:sz="8" w:space="0" w:color="FFFFFF"/>
            </w:tcBorders>
            <w:vAlign w:val="center"/>
          </w:tcPr>
          <w:p w14:paraId="77060536" w14:textId="77777777" w:rsidR="00882514" w:rsidRDefault="00882514" w:rsidP="00882514">
            <w:pPr>
              <w:tabs>
                <w:tab w:val="decimal" w:pos="466"/>
              </w:tabs>
              <w:spacing w:line="240" w:lineRule="auto"/>
            </w:pPr>
            <w:r>
              <w:t>-0.15 (0.38)</w:t>
            </w:r>
          </w:p>
        </w:tc>
      </w:tr>
      <w:tr w:rsidR="00882514" w14:paraId="1D1C1CF9" w14:textId="77777777" w:rsidTr="00EA09C7">
        <w:trPr>
          <w:trHeight w:val="226"/>
        </w:trPr>
        <w:tc>
          <w:tcPr>
            <w:tcW w:w="1777" w:type="pct"/>
            <w:tcBorders>
              <w:top w:val="single" w:sz="8" w:space="0" w:color="FFFFFF"/>
              <w:left w:val="single" w:sz="8" w:space="0" w:color="FFFFFF"/>
              <w:bottom w:val="single" w:sz="8" w:space="0" w:color="FFFFFF"/>
              <w:right w:val="single" w:sz="8" w:space="0" w:color="FFFFFF"/>
            </w:tcBorders>
            <w:vAlign w:val="center"/>
          </w:tcPr>
          <w:p w14:paraId="34CCE4E6" w14:textId="77777777" w:rsidR="00882514" w:rsidRDefault="00882514" w:rsidP="00882514">
            <w:pPr>
              <w:spacing w:line="240" w:lineRule="auto"/>
              <w:ind w:left="-27" w:firstLine="367"/>
            </w:pPr>
            <w:r>
              <w:t>Age</w:t>
            </w:r>
          </w:p>
        </w:tc>
        <w:tc>
          <w:tcPr>
            <w:tcW w:w="1074" w:type="pct"/>
            <w:tcBorders>
              <w:top w:val="single" w:sz="8" w:space="0" w:color="FFFFFF"/>
              <w:left w:val="single" w:sz="8" w:space="0" w:color="FFFFFF"/>
              <w:bottom w:val="single" w:sz="8" w:space="0" w:color="FFFFFF"/>
              <w:right w:val="single" w:sz="8" w:space="0" w:color="FFFFFF"/>
            </w:tcBorders>
            <w:vAlign w:val="center"/>
          </w:tcPr>
          <w:p w14:paraId="33762AB7" w14:textId="77777777" w:rsidR="00882514" w:rsidRDefault="00882514" w:rsidP="00882514">
            <w:pPr>
              <w:tabs>
                <w:tab w:val="decimal" w:pos="477"/>
              </w:tabs>
              <w:spacing w:line="240" w:lineRule="auto"/>
            </w:pPr>
            <w:r>
              <w:t>0.00 (0.00)</w:t>
            </w:r>
          </w:p>
        </w:tc>
        <w:tc>
          <w:tcPr>
            <w:tcW w:w="1074" w:type="pct"/>
            <w:tcBorders>
              <w:top w:val="single" w:sz="8" w:space="0" w:color="FFFFFF"/>
              <w:left w:val="single" w:sz="8" w:space="0" w:color="FFFFFF"/>
              <w:bottom w:val="single" w:sz="8" w:space="0" w:color="FFFFFF"/>
              <w:right w:val="single" w:sz="8" w:space="0" w:color="FFFFFF"/>
            </w:tcBorders>
            <w:vAlign w:val="center"/>
          </w:tcPr>
          <w:p w14:paraId="57517C2E" w14:textId="77777777" w:rsidR="00882514" w:rsidRDefault="00882514" w:rsidP="00882514">
            <w:pPr>
              <w:tabs>
                <w:tab w:val="decimal" w:pos="401"/>
              </w:tabs>
              <w:spacing w:line="240" w:lineRule="auto"/>
            </w:pPr>
            <w:r>
              <w:t>-0.01 (0.00)</w:t>
            </w:r>
          </w:p>
        </w:tc>
        <w:tc>
          <w:tcPr>
            <w:tcW w:w="1074" w:type="pct"/>
            <w:tcBorders>
              <w:top w:val="single" w:sz="8" w:space="0" w:color="FFFFFF"/>
              <w:left w:val="single" w:sz="8" w:space="0" w:color="FFFFFF"/>
              <w:bottom w:val="single" w:sz="8" w:space="0" w:color="FFFFFF"/>
              <w:right w:val="single" w:sz="8" w:space="0" w:color="FFFFFF"/>
            </w:tcBorders>
            <w:vAlign w:val="center"/>
          </w:tcPr>
          <w:p w14:paraId="6C15D869" w14:textId="77777777" w:rsidR="00882514" w:rsidRDefault="00882514" w:rsidP="00882514">
            <w:pPr>
              <w:tabs>
                <w:tab w:val="decimal" w:pos="466"/>
              </w:tabs>
              <w:spacing w:line="240" w:lineRule="auto"/>
            </w:pPr>
            <w:r>
              <w:t>0.00 (0.00)*</w:t>
            </w:r>
          </w:p>
        </w:tc>
      </w:tr>
      <w:tr w:rsidR="00882514" w14:paraId="7E6713F5" w14:textId="77777777" w:rsidTr="00EA09C7">
        <w:trPr>
          <w:trHeight w:val="226"/>
        </w:trPr>
        <w:tc>
          <w:tcPr>
            <w:tcW w:w="1777" w:type="pct"/>
            <w:tcBorders>
              <w:top w:val="single" w:sz="8" w:space="0" w:color="FFFFFF"/>
              <w:left w:val="single" w:sz="8" w:space="0" w:color="FFFFFF"/>
              <w:bottom w:val="single" w:sz="8" w:space="0" w:color="FFFFFF"/>
              <w:right w:val="single" w:sz="8" w:space="0" w:color="FFFFFF"/>
            </w:tcBorders>
            <w:vAlign w:val="center"/>
          </w:tcPr>
          <w:p w14:paraId="5A90346D" w14:textId="77777777" w:rsidR="00882514" w:rsidRDefault="00882514" w:rsidP="00882514">
            <w:pPr>
              <w:spacing w:line="240" w:lineRule="auto"/>
              <w:ind w:left="-27" w:firstLine="367"/>
            </w:pPr>
            <w:r>
              <w:t>Gender</w:t>
            </w:r>
          </w:p>
        </w:tc>
        <w:tc>
          <w:tcPr>
            <w:tcW w:w="1074" w:type="pct"/>
            <w:tcBorders>
              <w:top w:val="single" w:sz="8" w:space="0" w:color="FFFFFF"/>
              <w:left w:val="single" w:sz="8" w:space="0" w:color="FFFFFF"/>
              <w:bottom w:val="single" w:sz="8" w:space="0" w:color="FFFFFF"/>
              <w:right w:val="single" w:sz="8" w:space="0" w:color="FFFFFF"/>
            </w:tcBorders>
            <w:vAlign w:val="center"/>
          </w:tcPr>
          <w:p w14:paraId="69382DBC" w14:textId="77777777" w:rsidR="00882514" w:rsidRDefault="00882514" w:rsidP="00882514">
            <w:pPr>
              <w:tabs>
                <w:tab w:val="decimal" w:pos="477"/>
              </w:tabs>
              <w:spacing w:line="240" w:lineRule="auto"/>
            </w:pPr>
            <w:r>
              <w:t>-0.08 (0.04)*</w:t>
            </w:r>
          </w:p>
        </w:tc>
        <w:tc>
          <w:tcPr>
            <w:tcW w:w="1074" w:type="pct"/>
            <w:tcBorders>
              <w:top w:val="single" w:sz="8" w:space="0" w:color="FFFFFF"/>
              <w:left w:val="single" w:sz="8" w:space="0" w:color="FFFFFF"/>
              <w:bottom w:val="single" w:sz="8" w:space="0" w:color="FFFFFF"/>
              <w:right w:val="single" w:sz="8" w:space="0" w:color="FFFFFF"/>
            </w:tcBorders>
            <w:vAlign w:val="center"/>
          </w:tcPr>
          <w:p w14:paraId="2B3F73F8" w14:textId="77777777" w:rsidR="00882514" w:rsidRDefault="00882514" w:rsidP="00882514">
            <w:pPr>
              <w:tabs>
                <w:tab w:val="decimal" w:pos="401"/>
              </w:tabs>
              <w:spacing w:line="240" w:lineRule="auto"/>
            </w:pPr>
            <w:r>
              <w:t>-0.18 (0.07)*</w:t>
            </w:r>
          </w:p>
        </w:tc>
        <w:tc>
          <w:tcPr>
            <w:tcW w:w="1074" w:type="pct"/>
            <w:tcBorders>
              <w:top w:val="single" w:sz="8" w:space="0" w:color="FFFFFF"/>
              <w:left w:val="single" w:sz="8" w:space="0" w:color="FFFFFF"/>
              <w:bottom w:val="single" w:sz="8" w:space="0" w:color="FFFFFF"/>
              <w:right w:val="single" w:sz="8" w:space="0" w:color="FFFFFF"/>
            </w:tcBorders>
            <w:vAlign w:val="center"/>
          </w:tcPr>
          <w:p w14:paraId="3C50AF6F" w14:textId="77777777" w:rsidR="00882514" w:rsidRDefault="00882514" w:rsidP="00882514">
            <w:pPr>
              <w:tabs>
                <w:tab w:val="decimal" w:pos="466"/>
              </w:tabs>
              <w:spacing w:line="240" w:lineRule="auto"/>
            </w:pPr>
            <w:r>
              <w:t>0.01 (0.04)</w:t>
            </w:r>
          </w:p>
        </w:tc>
      </w:tr>
      <w:tr w:rsidR="00882514" w14:paraId="2A9D314F" w14:textId="77777777" w:rsidTr="00EA09C7">
        <w:trPr>
          <w:trHeight w:val="49"/>
        </w:trPr>
        <w:tc>
          <w:tcPr>
            <w:tcW w:w="1777" w:type="pct"/>
            <w:tcBorders>
              <w:top w:val="single" w:sz="8" w:space="0" w:color="FFFFFF"/>
              <w:left w:val="single" w:sz="8" w:space="0" w:color="FFFFFF"/>
              <w:bottom w:val="single" w:sz="8" w:space="0" w:color="FFFFFF"/>
              <w:right w:val="single" w:sz="8" w:space="0" w:color="FFFFFF"/>
            </w:tcBorders>
            <w:vAlign w:val="center"/>
          </w:tcPr>
          <w:p w14:paraId="537587A7" w14:textId="77777777" w:rsidR="00882514" w:rsidRDefault="00882514" w:rsidP="00882514">
            <w:pPr>
              <w:spacing w:line="240" w:lineRule="auto"/>
              <w:ind w:left="-27" w:firstLine="367"/>
            </w:pPr>
            <w:r>
              <w:t>Education</w:t>
            </w:r>
          </w:p>
        </w:tc>
        <w:tc>
          <w:tcPr>
            <w:tcW w:w="1074" w:type="pct"/>
            <w:tcBorders>
              <w:top w:val="single" w:sz="8" w:space="0" w:color="FFFFFF"/>
              <w:left w:val="single" w:sz="8" w:space="0" w:color="FFFFFF"/>
              <w:bottom w:val="single" w:sz="8" w:space="0" w:color="FFFFFF"/>
              <w:right w:val="single" w:sz="8" w:space="0" w:color="FFFFFF"/>
            </w:tcBorders>
            <w:vAlign w:val="center"/>
          </w:tcPr>
          <w:p w14:paraId="5EE1F000" w14:textId="77777777" w:rsidR="00882514" w:rsidRDefault="00882514" w:rsidP="00882514">
            <w:pPr>
              <w:tabs>
                <w:tab w:val="decimal" w:pos="477"/>
              </w:tabs>
              <w:spacing w:line="240" w:lineRule="auto"/>
            </w:pPr>
            <w:r>
              <w:t>-0.02 (0.01)*</w:t>
            </w:r>
          </w:p>
        </w:tc>
        <w:tc>
          <w:tcPr>
            <w:tcW w:w="1074" w:type="pct"/>
            <w:tcBorders>
              <w:top w:val="single" w:sz="8" w:space="0" w:color="FFFFFF"/>
              <w:left w:val="single" w:sz="8" w:space="0" w:color="FFFFFF"/>
              <w:bottom w:val="single" w:sz="8" w:space="0" w:color="FFFFFF"/>
              <w:right w:val="single" w:sz="8" w:space="0" w:color="FFFFFF"/>
            </w:tcBorders>
            <w:vAlign w:val="center"/>
          </w:tcPr>
          <w:p w14:paraId="1CC12424" w14:textId="77777777" w:rsidR="00882514" w:rsidRDefault="00882514" w:rsidP="00882514">
            <w:pPr>
              <w:tabs>
                <w:tab w:val="decimal" w:pos="401"/>
              </w:tabs>
              <w:spacing w:line="240" w:lineRule="auto"/>
            </w:pPr>
            <w:r>
              <w:t>0.06 (0.01)***</w:t>
            </w:r>
          </w:p>
        </w:tc>
        <w:tc>
          <w:tcPr>
            <w:tcW w:w="1074" w:type="pct"/>
            <w:tcBorders>
              <w:top w:val="single" w:sz="8" w:space="0" w:color="FFFFFF"/>
              <w:left w:val="single" w:sz="8" w:space="0" w:color="FFFFFF"/>
              <w:bottom w:val="single" w:sz="8" w:space="0" w:color="FFFFFF"/>
              <w:right w:val="single" w:sz="8" w:space="0" w:color="FFFFFF"/>
            </w:tcBorders>
            <w:vAlign w:val="center"/>
          </w:tcPr>
          <w:p w14:paraId="38944162" w14:textId="77777777" w:rsidR="00882514" w:rsidRDefault="00882514" w:rsidP="00882514">
            <w:pPr>
              <w:tabs>
                <w:tab w:val="decimal" w:pos="466"/>
              </w:tabs>
              <w:spacing w:line="240" w:lineRule="auto"/>
            </w:pPr>
            <w:r>
              <w:t>-0.03 (0.01)***</w:t>
            </w:r>
          </w:p>
        </w:tc>
      </w:tr>
      <w:tr w:rsidR="00882514" w14:paraId="695A40D5" w14:textId="77777777" w:rsidTr="00EA09C7">
        <w:trPr>
          <w:trHeight w:val="151"/>
        </w:trPr>
        <w:tc>
          <w:tcPr>
            <w:tcW w:w="1777" w:type="pct"/>
            <w:tcBorders>
              <w:top w:val="single" w:sz="8" w:space="0" w:color="FFFFFF"/>
              <w:left w:val="single" w:sz="8" w:space="0" w:color="FFFFFF"/>
              <w:bottom w:val="single" w:sz="8" w:space="0" w:color="FFFFFF"/>
              <w:right w:val="single" w:sz="8" w:space="0" w:color="FFFFFF"/>
            </w:tcBorders>
            <w:vAlign w:val="center"/>
          </w:tcPr>
          <w:p w14:paraId="6B795BF8" w14:textId="77777777" w:rsidR="00882514" w:rsidRDefault="00882514" w:rsidP="00882514">
            <w:pPr>
              <w:spacing w:line="240" w:lineRule="auto"/>
              <w:ind w:left="-27" w:firstLine="367"/>
            </w:pPr>
            <w:r>
              <w:t>Compensation</w:t>
            </w:r>
          </w:p>
        </w:tc>
        <w:tc>
          <w:tcPr>
            <w:tcW w:w="1074" w:type="pct"/>
            <w:tcBorders>
              <w:top w:val="single" w:sz="8" w:space="0" w:color="FFFFFF"/>
              <w:left w:val="single" w:sz="8" w:space="0" w:color="FFFFFF"/>
              <w:bottom w:val="single" w:sz="8" w:space="0" w:color="FFFFFF"/>
              <w:right w:val="single" w:sz="8" w:space="0" w:color="FFFFFF"/>
            </w:tcBorders>
            <w:vAlign w:val="center"/>
          </w:tcPr>
          <w:p w14:paraId="29CA22BF" w14:textId="77777777" w:rsidR="00882514" w:rsidRDefault="00882514" w:rsidP="00882514">
            <w:pPr>
              <w:tabs>
                <w:tab w:val="decimal" w:pos="477"/>
              </w:tabs>
              <w:spacing w:line="240" w:lineRule="auto"/>
            </w:pPr>
            <w:r>
              <w:t>0.02 (0.04)</w:t>
            </w:r>
          </w:p>
        </w:tc>
        <w:tc>
          <w:tcPr>
            <w:tcW w:w="1074" w:type="pct"/>
            <w:tcBorders>
              <w:top w:val="single" w:sz="8" w:space="0" w:color="FFFFFF"/>
              <w:left w:val="single" w:sz="8" w:space="0" w:color="FFFFFF"/>
              <w:bottom w:val="single" w:sz="8" w:space="0" w:color="FFFFFF"/>
              <w:right w:val="single" w:sz="8" w:space="0" w:color="FFFFFF"/>
            </w:tcBorders>
            <w:vAlign w:val="center"/>
          </w:tcPr>
          <w:p w14:paraId="4AA3B15C" w14:textId="77777777" w:rsidR="00882514" w:rsidRDefault="00882514" w:rsidP="00882514">
            <w:pPr>
              <w:tabs>
                <w:tab w:val="decimal" w:pos="401"/>
              </w:tabs>
              <w:spacing w:line="240" w:lineRule="auto"/>
            </w:pPr>
            <w:r>
              <w:t>0.25 (0.07)***</w:t>
            </w:r>
          </w:p>
        </w:tc>
        <w:tc>
          <w:tcPr>
            <w:tcW w:w="1074" w:type="pct"/>
            <w:tcBorders>
              <w:top w:val="single" w:sz="8" w:space="0" w:color="FFFFFF"/>
              <w:left w:val="single" w:sz="8" w:space="0" w:color="FFFFFF"/>
              <w:bottom w:val="single" w:sz="8" w:space="0" w:color="FFFFFF"/>
              <w:right w:val="single" w:sz="8" w:space="0" w:color="FFFFFF"/>
            </w:tcBorders>
            <w:vAlign w:val="center"/>
          </w:tcPr>
          <w:p w14:paraId="04D7E434" w14:textId="77777777" w:rsidR="00882514" w:rsidRDefault="00882514" w:rsidP="00882514">
            <w:pPr>
              <w:tabs>
                <w:tab w:val="decimal" w:pos="466"/>
              </w:tabs>
              <w:spacing w:line="240" w:lineRule="auto"/>
            </w:pPr>
            <w:r>
              <w:t>-0.18 (0.04)***</w:t>
            </w:r>
          </w:p>
        </w:tc>
      </w:tr>
      <w:tr w:rsidR="00882514" w14:paraId="66E215EB" w14:textId="77777777" w:rsidTr="00EA09C7">
        <w:trPr>
          <w:trHeight w:val="226"/>
        </w:trPr>
        <w:tc>
          <w:tcPr>
            <w:tcW w:w="1777" w:type="pct"/>
            <w:tcBorders>
              <w:top w:val="single" w:sz="8" w:space="0" w:color="FFFFFF"/>
              <w:left w:val="single" w:sz="8" w:space="0" w:color="FFFFFF"/>
              <w:bottom w:val="single" w:sz="8" w:space="0" w:color="FFFFFF"/>
              <w:right w:val="single" w:sz="8" w:space="0" w:color="FFFFFF"/>
            </w:tcBorders>
            <w:vAlign w:val="center"/>
          </w:tcPr>
          <w:p w14:paraId="46761015" w14:textId="77777777" w:rsidR="00882514" w:rsidRDefault="00882514" w:rsidP="00882514">
            <w:pPr>
              <w:spacing w:line="240" w:lineRule="auto"/>
              <w:ind w:left="-27" w:firstLine="367"/>
            </w:pPr>
            <w:r>
              <w:t>Condition: Ignorance</w:t>
            </w:r>
          </w:p>
        </w:tc>
        <w:tc>
          <w:tcPr>
            <w:tcW w:w="1074" w:type="pct"/>
            <w:tcBorders>
              <w:top w:val="single" w:sz="8" w:space="0" w:color="FFFFFF"/>
              <w:left w:val="single" w:sz="8" w:space="0" w:color="FFFFFF"/>
              <w:bottom w:val="single" w:sz="8" w:space="0" w:color="FFFFFF"/>
              <w:right w:val="single" w:sz="8" w:space="0" w:color="FFFFFF"/>
            </w:tcBorders>
            <w:vAlign w:val="center"/>
          </w:tcPr>
          <w:p w14:paraId="3A53D444" w14:textId="77777777" w:rsidR="00882514" w:rsidRDefault="00882514" w:rsidP="00882514">
            <w:pPr>
              <w:tabs>
                <w:tab w:val="decimal" w:pos="477"/>
              </w:tabs>
              <w:spacing w:line="240" w:lineRule="auto"/>
            </w:pPr>
            <w:r>
              <w:t>-1.27 (0.14)***</w:t>
            </w:r>
          </w:p>
        </w:tc>
        <w:tc>
          <w:tcPr>
            <w:tcW w:w="1074" w:type="pct"/>
            <w:tcBorders>
              <w:top w:val="single" w:sz="8" w:space="0" w:color="FFFFFF"/>
              <w:left w:val="single" w:sz="8" w:space="0" w:color="FFFFFF"/>
              <w:bottom w:val="single" w:sz="8" w:space="0" w:color="FFFFFF"/>
              <w:right w:val="single" w:sz="8" w:space="0" w:color="FFFFFF"/>
            </w:tcBorders>
            <w:vAlign w:val="center"/>
          </w:tcPr>
          <w:p w14:paraId="3D02F7FD" w14:textId="77777777" w:rsidR="00882514" w:rsidRDefault="00882514" w:rsidP="00882514">
            <w:pPr>
              <w:tabs>
                <w:tab w:val="decimal" w:pos="401"/>
              </w:tabs>
              <w:spacing w:line="240" w:lineRule="auto"/>
            </w:pPr>
            <w:r>
              <w:t>-0.34 (0.18)</w:t>
            </w:r>
          </w:p>
        </w:tc>
        <w:tc>
          <w:tcPr>
            <w:tcW w:w="1074" w:type="pct"/>
            <w:tcBorders>
              <w:top w:val="single" w:sz="8" w:space="0" w:color="FFFFFF"/>
              <w:left w:val="single" w:sz="8" w:space="0" w:color="FFFFFF"/>
              <w:bottom w:val="single" w:sz="8" w:space="0" w:color="FFFFFF"/>
              <w:right w:val="single" w:sz="8" w:space="0" w:color="FFFFFF"/>
            </w:tcBorders>
            <w:vAlign w:val="center"/>
          </w:tcPr>
          <w:p w14:paraId="35F08319" w14:textId="77777777" w:rsidR="00882514" w:rsidRDefault="00882514" w:rsidP="00882514">
            <w:pPr>
              <w:tabs>
                <w:tab w:val="decimal" w:pos="466"/>
              </w:tabs>
              <w:spacing w:line="240" w:lineRule="auto"/>
            </w:pPr>
            <w:r>
              <w:t>1.42 (0.13)***</w:t>
            </w:r>
          </w:p>
        </w:tc>
      </w:tr>
      <w:tr w:rsidR="00882514" w14:paraId="13C1D1D4" w14:textId="77777777" w:rsidTr="00EA09C7">
        <w:trPr>
          <w:trHeight w:val="226"/>
        </w:trPr>
        <w:tc>
          <w:tcPr>
            <w:tcW w:w="1777" w:type="pct"/>
            <w:tcBorders>
              <w:top w:val="single" w:sz="8" w:space="0" w:color="FFFFFF"/>
              <w:left w:val="single" w:sz="8" w:space="0" w:color="FFFFFF"/>
              <w:bottom w:val="single" w:sz="8" w:space="0" w:color="FFFFFF"/>
              <w:right w:val="single" w:sz="8" w:space="0" w:color="FFFFFF"/>
            </w:tcBorders>
            <w:vAlign w:val="center"/>
          </w:tcPr>
          <w:p w14:paraId="0A6FCF49" w14:textId="77777777" w:rsidR="00882514" w:rsidRDefault="00882514" w:rsidP="00882514">
            <w:pPr>
              <w:spacing w:line="240" w:lineRule="auto"/>
              <w:ind w:left="-27" w:firstLine="367"/>
            </w:pPr>
            <w:r>
              <w:t>Condition: Knowledge</w:t>
            </w:r>
          </w:p>
        </w:tc>
        <w:tc>
          <w:tcPr>
            <w:tcW w:w="1074" w:type="pct"/>
            <w:tcBorders>
              <w:top w:val="single" w:sz="8" w:space="0" w:color="FFFFFF"/>
              <w:left w:val="single" w:sz="8" w:space="0" w:color="FFFFFF"/>
              <w:bottom w:val="single" w:sz="8" w:space="0" w:color="FFFFFF"/>
              <w:right w:val="single" w:sz="8" w:space="0" w:color="FFFFFF"/>
            </w:tcBorders>
            <w:vAlign w:val="center"/>
          </w:tcPr>
          <w:p w14:paraId="7E6FE11B" w14:textId="77777777" w:rsidR="00882514" w:rsidRDefault="00882514" w:rsidP="00882514">
            <w:pPr>
              <w:tabs>
                <w:tab w:val="decimal" w:pos="477"/>
              </w:tabs>
              <w:spacing w:line="240" w:lineRule="auto"/>
            </w:pPr>
            <w:r>
              <w:t>0.59 (0.12)***</w:t>
            </w:r>
          </w:p>
        </w:tc>
        <w:tc>
          <w:tcPr>
            <w:tcW w:w="1074" w:type="pct"/>
            <w:tcBorders>
              <w:top w:val="single" w:sz="8" w:space="0" w:color="FFFFFF"/>
              <w:left w:val="single" w:sz="8" w:space="0" w:color="FFFFFF"/>
              <w:bottom w:val="single" w:sz="8" w:space="0" w:color="FFFFFF"/>
              <w:right w:val="single" w:sz="8" w:space="0" w:color="FFFFFF"/>
            </w:tcBorders>
            <w:vAlign w:val="center"/>
          </w:tcPr>
          <w:p w14:paraId="251BD4DA" w14:textId="77777777" w:rsidR="00882514" w:rsidRDefault="00882514" w:rsidP="00882514">
            <w:pPr>
              <w:tabs>
                <w:tab w:val="decimal" w:pos="401"/>
              </w:tabs>
              <w:spacing w:line="240" w:lineRule="auto"/>
            </w:pPr>
            <w:r>
              <w:t>0.48 (0.22)*</w:t>
            </w:r>
          </w:p>
        </w:tc>
        <w:tc>
          <w:tcPr>
            <w:tcW w:w="1074" w:type="pct"/>
            <w:tcBorders>
              <w:top w:val="single" w:sz="8" w:space="0" w:color="FFFFFF"/>
              <w:left w:val="single" w:sz="8" w:space="0" w:color="FFFFFF"/>
              <w:bottom w:val="single" w:sz="8" w:space="0" w:color="FFFFFF"/>
              <w:right w:val="single" w:sz="8" w:space="0" w:color="FFFFFF"/>
            </w:tcBorders>
            <w:vAlign w:val="center"/>
          </w:tcPr>
          <w:p w14:paraId="37C17567" w14:textId="77777777" w:rsidR="00882514" w:rsidRDefault="00882514" w:rsidP="00882514">
            <w:pPr>
              <w:tabs>
                <w:tab w:val="decimal" w:pos="466"/>
              </w:tabs>
              <w:spacing w:line="240" w:lineRule="auto"/>
            </w:pPr>
            <w:r>
              <w:t>0.82 (0.12)***</w:t>
            </w:r>
          </w:p>
        </w:tc>
      </w:tr>
      <w:tr w:rsidR="00882514" w14:paraId="438111A8" w14:textId="77777777" w:rsidTr="00EA09C7">
        <w:trPr>
          <w:trHeight w:val="226"/>
        </w:trPr>
        <w:tc>
          <w:tcPr>
            <w:tcW w:w="1777" w:type="pct"/>
            <w:tcBorders>
              <w:top w:val="single" w:sz="8" w:space="0" w:color="FFFFFF"/>
              <w:left w:val="single" w:sz="8" w:space="0" w:color="FFFFFF"/>
              <w:bottom w:val="single" w:sz="8" w:space="0" w:color="FFFFFF"/>
              <w:right w:val="single" w:sz="8" w:space="0" w:color="FFFFFF"/>
            </w:tcBorders>
            <w:vAlign w:val="center"/>
          </w:tcPr>
          <w:p w14:paraId="0D9B6A97" w14:textId="77777777" w:rsidR="00882514" w:rsidRDefault="00882514" w:rsidP="00882514">
            <w:pPr>
              <w:spacing w:line="240" w:lineRule="auto"/>
              <w:ind w:left="-27" w:firstLine="367"/>
            </w:pPr>
            <w:r>
              <w:t>Measurement: VAS</w:t>
            </w:r>
          </w:p>
        </w:tc>
        <w:tc>
          <w:tcPr>
            <w:tcW w:w="1074" w:type="pct"/>
            <w:tcBorders>
              <w:top w:val="single" w:sz="8" w:space="0" w:color="FFFFFF"/>
              <w:left w:val="single" w:sz="8" w:space="0" w:color="FFFFFF"/>
              <w:bottom w:val="single" w:sz="8" w:space="0" w:color="FFFFFF"/>
              <w:right w:val="single" w:sz="8" w:space="0" w:color="FFFFFF"/>
            </w:tcBorders>
            <w:vAlign w:val="center"/>
          </w:tcPr>
          <w:p w14:paraId="1E54DBA7" w14:textId="77777777" w:rsidR="00882514" w:rsidRDefault="00882514" w:rsidP="00882514">
            <w:pPr>
              <w:tabs>
                <w:tab w:val="decimal" w:pos="477"/>
              </w:tabs>
              <w:spacing w:line="240" w:lineRule="auto"/>
            </w:pPr>
            <w:r>
              <w:t>0.06 (0.09)</w:t>
            </w:r>
          </w:p>
        </w:tc>
        <w:tc>
          <w:tcPr>
            <w:tcW w:w="1074" w:type="pct"/>
            <w:tcBorders>
              <w:top w:val="single" w:sz="8" w:space="0" w:color="FFFFFF"/>
              <w:left w:val="single" w:sz="8" w:space="0" w:color="FFFFFF"/>
              <w:bottom w:val="single" w:sz="8" w:space="0" w:color="FFFFFF"/>
              <w:right w:val="single" w:sz="8" w:space="0" w:color="FFFFFF"/>
            </w:tcBorders>
            <w:vAlign w:val="center"/>
          </w:tcPr>
          <w:p w14:paraId="387B635F" w14:textId="77777777" w:rsidR="00882514" w:rsidRDefault="00882514" w:rsidP="00882514">
            <w:pPr>
              <w:tabs>
                <w:tab w:val="decimal" w:pos="401"/>
              </w:tabs>
              <w:spacing w:line="240" w:lineRule="auto"/>
            </w:pPr>
            <w:r>
              <w:t>0.35 (0.15)*</w:t>
            </w:r>
          </w:p>
        </w:tc>
        <w:tc>
          <w:tcPr>
            <w:tcW w:w="1074" w:type="pct"/>
            <w:tcBorders>
              <w:top w:val="single" w:sz="8" w:space="0" w:color="FFFFFF"/>
              <w:left w:val="single" w:sz="8" w:space="0" w:color="FFFFFF"/>
              <w:bottom w:val="single" w:sz="8" w:space="0" w:color="FFFFFF"/>
              <w:right w:val="single" w:sz="8" w:space="0" w:color="FFFFFF"/>
            </w:tcBorders>
            <w:vAlign w:val="center"/>
          </w:tcPr>
          <w:p w14:paraId="709FF4D9" w14:textId="77777777" w:rsidR="00882514" w:rsidRDefault="00882514" w:rsidP="00882514">
            <w:pPr>
              <w:tabs>
                <w:tab w:val="decimal" w:pos="466"/>
              </w:tabs>
              <w:spacing w:line="240" w:lineRule="auto"/>
            </w:pPr>
            <w:r>
              <w:t>-0.13 (0.10)</w:t>
            </w:r>
          </w:p>
        </w:tc>
      </w:tr>
      <w:tr w:rsidR="00882514" w14:paraId="2D2EDAE6" w14:textId="77777777" w:rsidTr="00EA09C7">
        <w:trPr>
          <w:trHeight w:val="226"/>
        </w:trPr>
        <w:tc>
          <w:tcPr>
            <w:tcW w:w="1777" w:type="pct"/>
            <w:tcBorders>
              <w:top w:val="single" w:sz="8" w:space="0" w:color="FFFFFF"/>
              <w:left w:val="single" w:sz="8" w:space="0" w:color="FFFFFF"/>
              <w:bottom w:val="single" w:sz="8" w:space="0" w:color="FFFFFF"/>
              <w:right w:val="single" w:sz="8" w:space="0" w:color="FFFFFF"/>
            </w:tcBorders>
            <w:vAlign w:val="center"/>
          </w:tcPr>
          <w:p w14:paraId="498F385E" w14:textId="77777777" w:rsidR="00882514" w:rsidRDefault="00882514" w:rsidP="00882514">
            <w:pPr>
              <w:spacing w:line="240" w:lineRule="auto"/>
              <w:ind w:left="-27" w:firstLine="367"/>
            </w:pPr>
            <w:r>
              <w:t>Measurement X Ignorance</w:t>
            </w:r>
          </w:p>
        </w:tc>
        <w:tc>
          <w:tcPr>
            <w:tcW w:w="1074" w:type="pct"/>
            <w:tcBorders>
              <w:top w:val="single" w:sz="8" w:space="0" w:color="FFFFFF"/>
              <w:left w:val="single" w:sz="8" w:space="0" w:color="FFFFFF"/>
              <w:bottom w:val="single" w:sz="8" w:space="0" w:color="FFFFFF"/>
              <w:right w:val="single" w:sz="8" w:space="0" w:color="FFFFFF"/>
            </w:tcBorders>
            <w:vAlign w:val="center"/>
          </w:tcPr>
          <w:p w14:paraId="16723BED" w14:textId="77777777" w:rsidR="00882514" w:rsidRDefault="00882514" w:rsidP="00882514">
            <w:pPr>
              <w:tabs>
                <w:tab w:val="decimal" w:pos="477"/>
              </w:tabs>
              <w:spacing w:line="240" w:lineRule="auto"/>
            </w:pPr>
            <w:r>
              <w:t>-0.06 (0.15)</w:t>
            </w:r>
          </w:p>
        </w:tc>
        <w:tc>
          <w:tcPr>
            <w:tcW w:w="1074" w:type="pct"/>
            <w:tcBorders>
              <w:top w:val="single" w:sz="8" w:space="0" w:color="FFFFFF"/>
              <w:left w:val="single" w:sz="8" w:space="0" w:color="FFFFFF"/>
              <w:bottom w:val="single" w:sz="8" w:space="0" w:color="FFFFFF"/>
              <w:right w:val="single" w:sz="8" w:space="0" w:color="FFFFFF"/>
            </w:tcBorders>
            <w:vAlign w:val="center"/>
          </w:tcPr>
          <w:p w14:paraId="3771BB68" w14:textId="77777777" w:rsidR="00882514" w:rsidRDefault="00882514" w:rsidP="00882514">
            <w:pPr>
              <w:tabs>
                <w:tab w:val="decimal" w:pos="401"/>
              </w:tabs>
              <w:spacing w:line="240" w:lineRule="auto"/>
            </w:pPr>
            <w:r>
              <w:t>-0.07 (0.20)</w:t>
            </w:r>
          </w:p>
        </w:tc>
        <w:tc>
          <w:tcPr>
            <w:tcW w:w="1074" w:type="pct"/>
            <w:tcBorders>
              <w:top w:val="single" w:sz="8" w:space="0" w:color="FFFFFF"/>
              <w:left w:val="single" w:sz="8" w:space="0" w:color="FFFFFF"/>
              <w:bottom w:val="single" w:sz="8" w:space="0" w:color="FFFFFF"/>
              <w:right w:val="single" w:sz="8" w:space="0" w:color="FFFFFF"/>
            </w:tcBorders>
            <w:vAlign w:val="center"/>
          </w:tcPr>
          <w:p w14:paraId="212F4320" w14:textId="77777777" w:rsidR="00882514" w:rsidRDefault="00882514" w:rsidP="00882514">
            <w:pPr>
              <w:tabs>
                <w:tab w:val="decimal" w:pos="466"/>
              </w:tabs>
              <w:spacing w:line="240" w:lineRule="auto"/>
            </w:pPr>
            <w:r>
              <w:t>-0.45 (0.14)***</w:t>
            </w:r>
          </w:p>
        </w:tc>
      </w:tr>
      <w:tr w:rsidR="00882514" w14:paraId="3E7666FA" w14:textId="77777777" w:rsidTr="00EA09C7">
        <w:trPr>
          <w:trHeight w:val="226"/>
        </w:trPr>
        <w:tc>
          <w:tcPr>
            <w:tcW w:w="1777" w:type="pct"/>
            <w:tcBorders>
              <w:top w:val="single" w:sz="8" w:space="0" w:color="FFFFFF"/>
              <w:left w:val="single" w:sz="8" w:space="0" w:color="FFFFFF"/>
              <w:bottom w:val="single" w:sz="8" w:space="0" w:color="FFFFFF"/>
              <w:right w:val="single" w:sz="8" w:space="0" w:color="FFFFFF"/>
            </w:tcBorders>
            <w:vAlign w:val="center"/>
          </w:tcPr>
          <w:p w14:paraId="79906CD6" w14:textId="77777777" w:rsidR="00882514" w:rsidRDefault="00882514" w:rsidP="00882514">
            <w:pPr>
              <w:spacing w:line="240" w:lineRule="auto"/>
              <w:ind w:left="-27" w:firstLine="367"/>
            </w:pPr>
            <w:r>
              <w:t>Measurement X Knowledge</w:t>
            </w:r>
          </w:p>
        </w:tc>
        <w:tc>
          <w:tcPr>
            <w:tcW w:w="1074" w:type="pct"/>
            <w:tcBorders>
              <w:top w:val="single" w:sz="8" w:space="0" w:color="FFFFFF"/>
              <w:left w:val="single" w:sz="8" w:space="0" w:color="FFFFFF"/>
              <w:bottom w:val="single" w:sz="8" w:space="0" w:color="FFFFFF"/>
              <w:right w:val="single" w:sz="8" w:space="0" w:color="FFFFFF"/>
            </w:tcBorders>
            <w:vAlign w:val="center"/>
          </w:tcPr>
          <w:p w14:paraId="34AC524B" w14:textId="77777777" w:rsidR="00882514" w:rsidRDefault="00882514" w:rsidP="00882514">
            <w:pPr>
              <w:tabs>
                <w:tab w:val="decimal" w:pos="477"/>
              </w:tabs>
              <w:spacing w:line="240" w:lineRule="auto"/>
            </w:pPr>
            <w:r>
              <w:t>0.02 (0.13)</w:t>
            </w:r>
          </w:p>
        </w:tc>
        <w:tc>
          <w:tcPr>
            <w:tcW w:w="1074" w:type="pct"/>
            <w:tcBorders>
              <w:top w:val="single" w:sz="8" w:space="0" w:color="FFFFFF"/>
              <w:left w:val="single" w:sz="8" w:space="0" w:color="FFFFFF"/>
              <w:bottom w:val="single" w:sz="8" w:space="0" w:color="FFFFFF"/>
              <w:right w:val="single" w:sz="8" w:space="0" w:color="FFFFFF"/>
            </w:tcBorders>
            <w:vAlign w:val="center"/>
          </w:tcPr>
          <w:p w14:paraId="51DDC729" w14:textId="77777777" w:rsidR="00882514" w:rsidRDefault="00882514" w:rsidP="00882514">
            <w:pPr>
              <w:tabs>
                <w:tab w:val="decimal" w:pos="401"/>
              </w:tabs>
              <w:spacing w:line="240" w:lineRule="auto"/>
            </w:pPr>
            <w:r>
              <w:t>-0.06 (0.24)</w:t>
            </w:r>
          </w:p>
        </w:tc>
        <w:tc>
          <w:tcPr>
            <w:tcW w:w="1074" w:type="pct"/>
            <w:tcBorders>
              <w:top w:val="single" w:sz="8" w:space="0" w:color="FFFFFF"/>
              <w:left w:val="single" w:sz="8" w:space="0" w:color="FFFFFF"/>
              <w:bottom w:val="single" w:sz="8" w:space="0" w:color="FFFFFF"/>
              <w:right w:val="single" w:sz="8" w:space="0" w:color="FFFFFF"/>
            </w:tcBorders>
            <w:vAlign w:val="center"/>
          </w:tcPr>
          <w:p w14:paraId="442E4769" w14:textId="77777777" w:rsidR="00882514" w:rsidRDefault="00882514" w:rsidP="00882514">
            <w:pPr>
              <w:tabs>
                <w:tab w:val="decimal" w:pos="466"/>
              </w:tabs>
              <w:spacing w:line="240" w:lineRule="auto"/>
            </w:pPr>
            <w:r>
              <w:t>0.14 (0.13)</w:t>
            </w:r>
          </w:p>
        </w:tc>
      </w:tr>
      <w:tr w:rsidR="00882514" w14:paraId="2769B6D2" w14:textId="77777777" w:rsidTr="00EA09C7">
        <w:trPr>
          <w:trHeight w:val="216"/>
        </w:trPr>
        <w:tc>
          <w:tcPr>
            <w:tcW w:w="1777" w:type="pct"/>
            <w:tcBorders>
              <w:top w:val="single" w:sz="8" w:space="0" w:color="FFFFFF"/>
              <w:left w:val="single" w:sz="8" w:space="0" w:color="FFFFFF"/>
              <w:bottom w:val="single" w:sz="8" w:space="0" w:color="FFFFFF"/>
              <w:right w:val="single" w:sz="8" w:space="0" w:color="FFFFFF"/>
            </w:tcBorders>
            <w:vAlign w:val="center"/>
          </w:tcPr>
          <w:p w14:paraId="5F596ADF" w14:textId="77777777" w:rsidR="00882514" w:rsidRDefault="00882514" w:rsidP="00882514">
            <w:pPr>
              <w:spacing w:line="240" w:lineRule="auto"/>
            </w:pPr>
            <w:r>
              <w:t>Random Effects</w:t>
            </w:r>
          </w:p>
        </w:tc>
        <w:tc>
          <w:tcPr>
            <w:tcW w:w="1074" w:type="pct"/>
            <w:tcBorders>
              <w:top w:val="single" w:sz="8" w:space="0" w:color="FFFFFF"/>
              <w:left w:val="single" w:sz="8" w:space="0" w:color="FFFFFF"/>
              <w:bottom w:val="single" w:sz="8" w:space="0" w:color="FFFFFF"/>
              <w:right w:val="single" w:sz="8" w:space="0" w:color="FFFFFF"/>
            </w:tcBorders>
            <w:vAlign w:val="center"/>
          </w:tcPr>
          <w:p w14:paraId="0465D5FD" w14:textId="77777777" w:rsidR="00882514" w:rsidRDefault="00882514" w:rsidP="00882514">
            <w:pPr>
              <w:tabs>
                <w:tab w:val="decimal" w:pos="242"/>
              </w:tabs>
              <w:spacing w:line="240" w:lineRule="auto"/>
            </w:pPr>
          </w:p>
        </w:tc>
        <w:tc>
          <w:tcPr>
            <w:tcW w:w="1074" w:type="pct"/>
            <w:tcBorders>
              <w:top w:val="single" w:sz="8" w:space="0" w:color="FFFFFF"/>
              <w:left w:val="single" w:sz="8" w:space="0" w:color="FFFFFF"/>
              <w:bottom w:val="single" w:sz="8" w:space="0" w:color="FFFFFF"/>
              <w:right w:val="single" w:sz="8" w:space="0" w:color="FFFFFF"/>
            </w:tcBorders>
            <w:vAlign w:val="center"/>
          </w:tcPr>
          <w:p w14:paraId="51CF10BE" w14:textId="77777777" w:rsidR="00882514" w:rsidRDefault="00882514" w:rsidP="00882514">
            <w:pPr>
              <w:tabs>
                <w:tab w:val="decimal" w:pos="212"/>
              </w:tabs>
              <w:spacing w:line="240" w:lineRule="auto"/>
            </w:pPr>
          </w:p>
        </w:tc>
        <w:tc>
          <w:tcPr>
            <w:tcW w:w="1074" w:type="pct"/>
            <w:tcBorders>
              <w:top w:val="single" w:sz="8" w:space="0" w:color="FFFFFF"/>
              <w:left w:val="single" w:sz="8" w:space="0" w:color="FFFFFF"/>
              <w:bottom w:val="single" w:sz="8" w:space="0" w:color="FFFFFF"/>
              <w:right w:val="single" w:sz="8" w:space="0" w:color="FFFFFF"/>
            </w:tcBorders>
            <w:vAlign w:val="center"/>
          </w:tcPr>
          <w:p w14:paraId="0FC22DF5" w14:textId="77777777" w:rsidR="00882514" w:rsidRDefault="00882514" w:rsidP="00882514">
            <w:pPr>
              <w:tabs>
                <w:tab w:val="decimal" w:pos="182"/>
              </w:tabs>
              <w:spacing w:line="240" w:lineRule="auto"/>
            </w:pPr>
          </w:p>
        </w:tc>
      </w:tr>
      <w:tr w:rsidR="00882514" w14:paraId="52EC16D6" w14:textId="77777777" w:rsidTr="00EA09C7">
        <w:trPr>
          <w:trHeight w:val="226"/>
        </w:trPr>
        <w:tc>
          <w:tcPr>
            <w:tcW w:w="1777" w:type="pct"/>
            <w:tcBorders>
              <w:top w:val="single" w:sz="8" w:space="0" w:color="FFFFFF"/>
              <w:left w:val="single" w:sz="8" w:space="0" w:color="FFFFFF"/>
              <w:bottom w:val="single" w:sz="8" w:space="0" w:color="FFFFFF"/>
              <w:right w:val="single" w:sz="8" w:space="0" w:color="FFFFFF"/>
            </w:tcBorders>
            <w:vAlign w:val="center"/>
          </w:tcPr>
          <w:p w14:paraId="1D974D37" w14:textId="77777777" w:rsidR="00882514" w:rsidRDefault="00882514" w:rsidP="00882514">
            <w:pPr>
              <w:spacing w:line="240" w:lineRule="auto"/>
              <w:ind w:firstLine="340"/>
            </w:pPr>
            <w:r>
              <w:t>Site</w:t>
            </w:r>
          </w:p>
        </w:tc>
        <w:tc>
          <w:tcPr>
            <w:tcW w:w="1074" w:type="pct"/>
            <w:tcBorders>
              <w:top w:val="single" w:sz="8" w:space="0" w:color="FFFFFF"/>
              <w:left w:val="single" w:sz="8" w:space="0" w:color="FFFFFF"/>
              <w:bottom w:val="single" w:sz="8" w:space="0" w:color="FFFFFF"/>
              <w:right w:val="single" w:sz="8" w:space="0" w:color="FFFFFF"/>
            </w:tcBorders>
            <w:vAlign w:val="center"/>
          </w:tcPr>
          <w:p w14:paraId="5079EFED" w14:textId="77777777" w:rsidR="00882514" w:rsidRDefault="00882514" w:rsidP="00882514">
            <w:pPr>
              <w:tabs>
                <w:tab w:val="decimal" w:pos="797"/>
              </w:tabs>
              <w:spacing w:line="240" w:lineRule="auto"/>
            </w:pPr>
            <w:r>
              <w:t>&lt; 0.001</w:t>
            </w:r>
          </w:p>
        </w:tc>
        <w:tc>
          <w:tcPr>
            <w:tcW w:w="1074" w:type="pct"/>
            <w:tcBorders>
              <w:top w:val="single" w:sz="8" w:space="0" w:color="FFFFFF"/>
              <w:left w:val="single" w:sz="8" w:space="0" w:color="FFFFFF"/>
              <w:bottom w:val="single" w:sz="8" w:space="0" w:color="FFFFFF"/>
              <w:right w:val="single" w:sz="8" w:space="0" w:color="FFFFFF"/>
            </w:tcBorders>
            <w:vAlign w:val="center"/>
          </w:tcPr>
          <w:p w14:paraId="70F632BB" w14:textId="77777777" w:rsidR="00882514" w:rsidRDefault="00882514" w:rsidP="00882514">
            <w:pPr>
              <w:tabs>
                <w:tab w:val="decimal" w:pos="761"/>
              </w:tabs>
              <w:spacing w:line="240" w:lineRule="auto"/>
            </w:pPr>
            <w:r>
              <w:t>0.086</w:t>
            </w:r>
          </w:p>
        </w:tc>
        <w:tc>
          <w:tcPr>
            <w:tcW w:w="1074" w:type="pct"/>
            <w:tcBorders>
              <w:top w:val="single" w:sz="8" w:space="0" w:color="FFFFFF"/>
              <w:left w:val="single" w:sz="8" w:space="0" w:color="FFFFFF"/>
              <w:bottom w:val="single" w:sz="8" w:space="0" w:color="FFFFFF"/>
              <w:right w:val="single" w:sz="8" w:space="0" w:color="FFFFFF"/>
            </w:tcBorders>
            <w:vAlign w:val="center"/>
          </w:tcPr>
          <w:p w14:paraId="300535C2" w14:textId="77777777" w:rsidR="00882514" w:rsidRDefault="00882514" w:rsidP="00882514">
            <w:pPr>
              <w:tabs>
                <w:tab w:val="decimal" w:pos="826"/>
              </w:tabs>
              <w:spacing w:line="240" w:lineRule="auto"/>
            </w:pPr>
            <w:r>
              <w:t>0.072</w:t>
            </w:r>
          </w:p>
        </w:tc>
      </w:tr>
      <w:tr w:rsidR="00882514" w14:paraId="1980FD10" w14:textId="77777777" w:rsidTr="00EA09C7">
        <w:trPr>
          <w:trHeight w:val="226"/>
        </w:trPr>
        <w:tc>
          <w:tcPr>
            <w:tcW w:w="1777" w:type="pct"/>
            <w:tcBorders>
              <w:top w:val="single" w:sz="8" w:space="0" w:color="FFFFFF"/>
              <w:left w:val="single" w:sz="8" w:space="0" w:color="FFFFFF"/>
              <w:bottom w:val="single" w:sz="8" w:space="0" w:color="FFFFFF"/>
              <w:right w:val="single" w:sz="8" w:space="0" w:color="FFFFFF"/>
            </w:tcBorders>
            <w:vAlign w:val="center"/>
          </w:tcPr>
          <w:p w14:paraId="4634F4E5" w14:textId="77777777" w:rsidR="00882514" w:rsidRDefault="00882514" w:rsidP="00882514">
            <w:pPr>
              <w:spacing w:line="240" w:lineRule="auto"/>
              <w:ind w:firstLine="340"/>
            </w:pPr>
            <w:r>
              <w:t xml:space="preserve">Participant </w:t>
            </w:r>
          </w:p>
        </w:tc>
        <w:tc>
          <w:tcPr>
            <w:tcW w:w="1074" w:type="pct"/>
            <w:tcBorders>
              <w:top w:val="single" w:sz="8" w:space="0" w:color="FFFFFF"/>
              <w:left w:val="single" w:sz="8" w:space="0" w:color="FFFFFF"/>
              <w:bottom w:val="single" w:sz="8" w:space="0" w:color="FFFFFF"/>
              <w:right w:val="single" w:sz="8" w:space="0" w:color="FFFFFF"/>
            </w:tcBorders>
            <w:vAlign w:val="center"/>
          </w:tcPr>
          <w:p w14:paraId="78A3D745" w14:textId="77777777" w:rsidR="00882514" w:rsidRDefault="00882514" w:rsidP="00882514">
            <w:pPr>
              <w:tabs>
                <w:tab w:val="decimal" w:pos="797"/>
              </w:tabs>
              <w:spacing w:line="240" w:lineRule="auto"/>
            </w:pPr>
            <w:r>
              <w:t>&lt; 0.001</w:t>
            </w:r>
          </w:p>
        </w:tc>
        <w:tc>
          <w:tcPr>
            <w:tcW w:w="1074" w:type="pct"/>
            <w:tcBorders>
              <w:top w:val="single" w:sz="8" w:space="0" w:color="FFFFFF"/>
              <w:left w:val="single" w:sz="8" w:space="0" w:color="FFFFFF"/>
              <w:bottom w:val="single" w:sz="8" w:space="0" w:color="FFFFFF"/>
              <w:right w:val="single" w:sz="8" w:space="0" w:color="FFFFFF"/>
            </w:tcBorders>
            <w:vAlign w:val="center"/>
          </w:tcPr>
          <w:p w14:paraId="4086695A" w14:textId="77777777" w:rsidR="00882514" w:rsidRDefault="00882514" w:rsidP="00882514">
            <w:pPr>
              <w:tabs>
                <w:tab w:val="decimal" w:pos="761"/>
              </w:tabs>
              <w:spacing w:line="240" w:lineRule="auto"/>
            </w:pPr>
            <w:r>
              <w:t>0.070</w:t>
            </w:r>
          </w:p>
        </w:tc>
        <w:tc>
          <w:tcPr>
            <w:tcW w:w="1074" w:type="pct"/>
            <w:tcBorders>
              <w:top w:val="single" w:sz="8" w:space="0" w:color="FFFFFF"/>
              <w:left w:val="single" w:sz="8" w:space="0" w:color="FFFFFF"/>
              <w:bottom w:val="single" w:sz="8" w:space="0" w:color="FFFFFF"/>
              <w:right w:val="single" w:sz="8" w:space="0" w:color="FFFFFF"/>
            </w:tcBorders>
            <w:vAlign w:val="center"/>
          </w:tcPr>
          <w:p w14:paraId="7F848220" w14:textId="77777777" w:rsidR="00882514" w:rsidRDefault="00882514" w:rsidP="00882514">
            <w:pPr>
              <w:tabs>
                <w:tab w:val="decimal" w:pos="826"/>
              </w:tabs>
              <w:spacing w:line="240" w:lineRule="auto"/>
            </w:pPr>
            <w:r>
              <w:t>0.010</w:t>
            </w:r>
          </w:p>
        </w:tc>
      </w:tr>
      <w:tr w:rsidR="00882514" w14:paraId="7AB324F4" w14:textId="77777777" w:rsidTr="00EA09C7">
        <w:trPr>
          <w:trHeight w:val="226"/>
        </w:trPr>
        <w:tc>
          <w:tcPr>
            <w:tcW w:w="1777" w:type="pct"/>
            <w:tcBorders>
              <w:top w:val="single" w:sz="8" w:space="0" w:color="FFFFFF"/>
              <w:left w:val="single" w:sz="8" w:space="0" w:color="FFFFFF"/>
              <w:bottom w:val="single" w:sz="8" w:space="0" w:color="FFFFFF"/>
              <w:right w:val="single" w:sz="8" w:space="0" w:color="FFFFFF"/>
            </w:tcBorders>
            <w:vAlign w:val="center"/>
          </w:tcPr>
          <w:p w14:paraId="047916F9" w14:textId="77777777" w:rsidR="00882514" w:rsidRDefault="00882514" w:rsidP="00882514">
            <w:pPr>
              <w:spacing w:line="240" w:lineRule="auto"/>
              <w:ind w:firstLine="340"/>
            </w:pPr>
            <w:r>
              <w:t>Vignette</w:t>
            </w:r>
          </w:p>
        </w:tc>
        <w:tc>
          <w:tcPr>
            <w:tcW w:w="1074" w:type="pct"/>
            <w:tcBorders>
              <w:top w:val="single" w:sz="8" w:space="0" w:color="FFFFFF"/>
              <w:left w:val="single" w:sz="8" w:space="0" w:color="FFFFFF"/>
              <w:bottom w:val="single" w:sz="8" w:space="0" w:color="FFFFFF"/>
              <w:right w:val="single" w:sz="8" w:space="0" w:color="FFFFFF"/>
            </w:tcBorders>
            <w:vAlign w:val="center"/>
          </w:tcPr>
          <w:p w14:paraId="3472FEDD" w14:textId="77777777" w:rsidR="00882514" w:rsidRDefault="00882514" w:rsidP="00882514">
            <w:pPr>
              <w:tabs>
                <w:tab w:val="decimal" w:pos="797"/>
              </w:tabs>
              <w:spacing w:line="240" w:lineRule="auto"/>
            </w:pPr>
            <w:r>
              <w:t>0.669</w:t>
            </w:r>
          </w:p>
        </w:tc>
        <w:tc>
          <w:tcPr>
            <w:tcW w:w="1074" w:type="pct"/>
            <w:tcBorders>
              <w:top w:val="single" w:sz="8" w:space="0" w:color="FFFFFF"/>
              <w:left w:val="single" w:sz="8" w:space="0" w:color="FFFFFF"/>
              <w:bottom w:val="single" w:sz="8" w:space="0" w:color="FFFFFF"/>
              <w:right w:val="single" w:sz="8" w:space="0" w:color="FFFFFF"/>
            </w:tcBorders>
            <w:vAlign w:val="center"/>
          </w:tcPr>
          <w:p w14:paraId="3AA824CD" w14:textId="77777777" w:rsidR="00882514" w:rsidRDefault="00882514" w:rsidP="00882514">
            <w:pPr>
              <w:tabs>
                <w:tab w:val="decimal" w:pos="761"/>
              </w:tabs>
              <w:spacing w:line="240" w:lineRule="auto"/>
            </w:pPr>
            <w:r>
              <w:t>0.277</w:t>
            </w:r>
          </w:p>
        </w:tc>
        <w:tc>
          <w:tcPr>
            <w:tcW w:w="1074" w:type="pct"/>
            <w:tcBorders>
              <w:top w:val="single" w:sz="8" w:space="0" w:color="FFFFFF"/>
              <w:left w:val="single" w:sz="8" w:space="0" w:color="FFFFFF"/>
              <w:bottom w:val="single" w:sz="8" w:space="0" w:color="FFFFFF"/>
              <w:right w:val="single" w:sz="8" w:space="0" w:color="FFFFFF"/>
            </w:tcBorders>
            <w:vAlign w:val="center"/>
          </w:tcPr>
          <w:p w14:paraId="5F988F02" w14:textId="77777777" w:rsidR="00882514" w:rsidRDefault="00882514" w:rsidP="00882514">
            <w:pPr>
              <w:tabs>
                <w:tab w:val="decimal" w:pos="826"/>
              </w:tabs>
              <w:spacing w:line="240" w:lineRule="auto"/>
            </w:pPr>
            <w:r>
              <w:t>0.613</w:t>
            </w:r>
          </w:p>
        </w:tc>
      </w:tr>
      <w:tr w:rsidR="00882514" w14:paraId="30CF7681" w14:textId="77777777" w:rsidTr="00EA09C7">
        <w:trPr>
          <w:trHeight w:val="226"/>
        </w:trPr>
        <w:tc>
          <w:tcPr>
            <w:tcW w:w="1777" w:type="pct"/>
            <w:tcBorders>
              <w:top w:val="single" w:sz="8" w:space="0" w:color="000000"/>
              <w:left w:val="single" w:sz="8" w:space="0" w:color="FFFFFF"/>
              <w:bottom w:val="single" w:sz="8" w:space="0" w:color="000000"/>
              <w:right w:val="single" w:sz="8" w:space="0" w:color="FFFFFF"/>
            </w:tcBorders>
            <w:vAlign w:val="center"/>
          </w:tcPr>
          <w:p w14:paraId="459D8DB1" w14:textId="77777777" w:rsidR="00882514" w:rsidRDefault="00882514" w:rsidP="00882514">
            <w:pPr>
              <w:spacing w:line="240" w:lineRule="auto"/>
            </w:pPr>
            <w:r>
              <w:t>AIC</w:t>
            </w:r>
          </w:p>
        </w:tc>
        <w:tc>
          <w:tcPr>
            <w:tcW w:w="1074" w:type="pct"/>
            <w:tcBorders>
              <w:top w:val="single" w:sz="8" w:space="0" w:color="000000"/>
              <w:left w:val="single" w:sz="8" w:space="0" w:color="FFFFFF"/>
              <w:bottom w:val="single" w:sz="8" w:space="0" w:color="000000"/>
              <w:right w:val="single" w:sz="8" w:space="0" w:color="FFFFFF"/>
            </w:tcBorders>
            <w:vAlign w:val="center"/>
          </w:tcPr>
          <w:p w14:paraId="48518C41" w14:textId="77777777" w:rsidR="00882514" w:rsidRDefault="00882514" w:rsidP="00882514">
            <w:pPr>
              <w:spacing w:line="240" w:lineRule="auto"/>
              <w:jc w:val="center"/>
            </w:pPr>
            <w:r>
              <w:t>15876.57</w:t>
            </w:r>
          </w:p>
        </w:tc>
        <w:tc>
          <w:tcPr>
            <w:tcW w:w="1074" w:type="pct"/>
            <w:tcBorders>
              <w:top w:val="single" w:sz="8" w:space="0" w:color="000000"/>
              <w:left w:val="single" w:sz="8" w:space="0" w:color="FFFFFF"/>
              <w:bottom w:val="single" w:sz="8" w:space="0" w:color="000000"/>
              <w:right w:val="single" w:sz="8" w:space="0" w:color="FFFFFF"/>
            </w:tcBorders>
            <w:vAlign w:val="center"/>
          </w:tcPr>
          <w:p w14:paraId="7B7E61FE" w14:textId="77777777" w:rsidR="00882514" w:rsidRDefault="00882514" w:rsidP="00882514">
            <w:pPr>
              <w:spacing w:line="240" w:lineRule="auto"/>
              <w:jc w:val="center"/>
            </w:pPr>
            <w:r>
              <w:t>7041.30</w:t>
            </w:r>
          </w:p>
        </w:tc>
        <w:tc>
          <w:tcPr>
            <w:tcW w:w="1074" w:type="pct"/>
            <w:tcBorders>
              <w:top w:val="single" w:sz="8" w:space="0" w:color="000000"/>
              <w:left w:val="single" w:sz="8" w:space="0" w:color="FFFFFF"/>
              <w:bottom w:val="single" w:sz="8" w:space="0" w:color="000000"/>
              <w:right w:val="single" w:sz="8" w:space="0" w:color="FFFFFF"/>
            </w:tcBorders>
            <w:vAlign w:val="center"/>
          </w:tcPr>
          <w:p w14:paraId="3A8238F2" w14:textId="77777777" w:rsidR="00882514" w:rsidRDefault="00882514" w:rsidP="00882514">
            <w:pPr>
              <w:spacing w:line="240" w:lineRule="auto"/>
              <w:jc w:val="center"/>
            </w:pPr>
            <w:r>
              <w:t>15862.10</w:t>
            </w:r>
          </w:p>
        </w:tc>
      </w:tr>
    </w:tbl>
    <w:p w14:paraId="2201FD7E" w14:textId="77777777" w:rsidR="00882514" w:rsidRDefault="00882514" w:rsidP="00882514">
      <w:pPr>
        <w:spacing w:line="240" w:lineRule="auto"/>
      </w:pPr>
      <w:r>
        <w:rPr>
          <w:i/>
        </w:rPr>
        <w:t xml:space="preserve">Note. </w:t>
      </w:r>
      <w:r>
        <w:t xml:space="preserve">Estimates and their standard errors, in parentheses where applicable, are provided for each variable in the model. Positive values suggest increased likelihood of knowledge attributions, reasonableness judgments, or attributions to (in)ability. For the condition variable, Gettier was the comparison group. For the measurement variable, binary was the comparison group. Full model statistics can be found at </w:t>
      </w:r>
      <w:hyperlink r:id="rId24">
        <w:r>
          <w:rPr>
            <w:color w:val="1155CC"/>
            <w:u w:val="single"/>
          </w:rPr>
          <w:t>https://osf.io/8ut6e/</w:t>
        </w:r>
      </w:hyperlink>
      <w:r>
        <w:t xml:space="preserve"> in the analysis folder. </w:t>
      </w:r>
    </w:p>
    <w:p w14:paraId="4166A151" w14:textId="77777777" w:rsidR="00882514" w:rsidRDefault="00882514" w:rsidP="00882514">
      <w:r>
        <w:t xml:space="preserve">* </w:t>
      </w:r>
      <w:r>
        <w:rPr>
          <w:i/>
        </w:rPr>
        <w:t>p</w:t>
      </w:r>
      <w:r>
        <w:t xml:space="preserve"> &lt; .05; ** </w:t>
      </w:r>
      <w:r>
        <w:rPr>
          <w:i/>
        </w:rPr>
        <w:t>p</w:t>
      </w:r>
      <w:r>
        <w:t xml:space="preserve"> &lt; .01; *** </w:t>
      </w:r>
      <w:r>
        <w:rPr>
          <w:i/>
        </w:rPr>
        <w:t>p</w:t>
      </w:r>
      <w:r>
        <w:t xml:space="preserve"> &lt; .001</w:t>
      </w:r>
    </w:p>
    <w:p w14:paraId="10B3326A" w14:textId="77777777" w:rsidR="00E03554" w:rsidRDefault="00E03554">
      <w:pPr>
        <w:rPr>
          <w:i/>
        </w:rPr>
      </w:pPr>
    </w:p>
    <w:p w14:paraId="45A1C11C" w14:textId="77777777" w:rsidR="00E03554" w:rsidRDefault="00DF0CFA">
      <w:pPr>
        <w:spacing w:after="160"/>
        <w:ind w:firstLine="720"/>
      </w:pPr>
      <w:r>
        <w:t>Condition affected the likelihood of luck attributions on responses to the binary measure, 𝜒</w:t>
      </w:r>
      <w:r>
        <w:rPr>
          <w:vertAlign w:val="superscript"/>
        </w:rPr>
        <w:t>2</w:t>
      </w:r>
      <w:r>
        <w:t xml:space="preserve">(2) = 120.98, </w:t>
      </w:r>
      <w:r>
        <w:rPr>
          <w:i/>
        </w:rPr>
        <w:t>p</w:t>
      </w:r>
      <w:r>
        <w:t xml:space="preserve"> &lt; .001. Participants were more likely to attribute outcomes to luck in the Gettier condition (p̂ = .68) than in the ignorance condition (p̂ = .37; </w:t>
      </w:r>
      <w:proofErr w:type="spellStart"/>
      <w:r>
        <w:t>Cramér’s</w:t>
      </w:r>
      <w:proofErr w:type="spellEnd"/>
      <w:r>
        <w:t xml:space="preserve"> 𝑉 = .31, 95% CI [.26, .37], 𝜒</w:t>
      </w:r>
      <w:r>
        <w:rPr>
          <w:vertAlign w:val="superscript"/>
        </w:rPr>
        <w:t>2</w:t>
      </w:r>
      <w:r>
        <w:t xml:space="preserve">(1) = 118.14, 𝑝 &lt; .001). Participants were also more likely to attribute outcomes to </w:t>
      </w:r>
      <w:r>
        <w:lastRenderedPageBreak/>
        <w:t xml:space="preserve">luck in the Gettier condition (p̂ = .55) than in the knowledge condition (p̂ = .37; </w:t>
      </w:r>
      <w:proofErr w:type="spellStart"/>
      <w:r>
        <w:t>Cramér’s</w:t>
      </w:r>
      <w:proofErr w:type="spellEnd"/>
      <w:r>
        <w:t xml:space="preserve"> 𝑉 = .18, 95% CI [.13, .24], 𝜒</w:t>
      </w:r>
      <w:r>
        <w:rPr>
          <w:vertAlign w:val="superscript"/>
        </w:rPr>
        <w:t>2</w:t>
      </w:r>
      <w:r>
        <w:t xml:space="preserve">(1) = 41.00, 𝑝 &lt; .001). </w:t>
      </w:r>
    </w:p>
    <w:p w14:paraId="697A1647" w14:textId="77777777" w:rsidR="00E03554" w:rsidRDefault="00DF0CFA">
      <w:pPr>
        <w:spacing w:after="160"/>
        <w:ind w:firstLine="720"/>
      </w:pPr>
      <w:r>
        <w:t>Condition similarly affected luck attributions as measured by the VAS, 𝜒</w:t>
      </w:r>
      <w:r>
        <w:rPr>
          <w:vertAlign w:val="superscript"/>
        </w:rPr>
        <w:t>2</w:t>
      </w:r>
      <w:r>
        <w:t xml:space="preserve">(2) = 454.78, </w:t>
      </w:r>
      <w:r>
        <w:rPr>
          <w:i/>
        </w:rPr>
        <w:t>p</w:t>
      </w:r>
      <w:r>
        <w:t xml:space="preserve"> &lt; .001. Participants were more likely to attribute outcomes to luck in the Gettier condition (p̂ = .66) than in the ignorance condition (p̂ = .45; </w:t>
      </w:r>
      <w:proofErr w:type="spellStart"/>
      <w:r>
        <w:t>Cramér’s</w:t>
      </w:r>
      <w:proofErr w:type="spellEnd"/>
      <w:r>
        <w:t xml:space="preserve"> 𝑉 = .22, 95% CI [.20, .24], 𝜒</w:t>
      </w:r>
      <w:r>
        <w:rPr>
          <w:vertAlign w:val="superscript"/>
        </w:rPr>
        <w:t>2</w:t>
      </w:r>
      <w:r>
        <w:t xml:space="preserve">(1) = 341.27, 𝑝 &lt; .001) Participants were also more likely to attribute outcomes to luck in the Gettier condition (p̂ = .66) than in the knowledge condition (p̂ = .45; </w:t>
      </w:r>
      <w:proofErr w:type="spellStart"/>
      <w:r>
        <w:t>Cramér’s</w:t>
      </w:r>
      <w:proofErr w:type="spellEnd"/>
      <w:r>
        <w:t xml:space="preserve"> 𝑉 = .22, 95% CI [.20, .24], 𝜒</w:t>
      </w:r>
      <w:r>
        <w:rPr>
          <w:vertAlign w:val="superscript"/>
        </w:rPr>
        <w:t>2</w:t>
      </w:r>
      <w:r>
        <w:t>(1) = 345.90, 𝑝 &lt; .001). The effect size of the difference between the Gettier and knowledge conditions was smaller when attributions to luck were measured continuously, but the confidence intervals of the continuous measure effect sizes overlapped with those produced by the binary measure.</w:t>
      </w:r>
    </w:p>
    <w:p w14:paraId="0BB58A19" w14:textId="77777777" w:rsidR="00E03554" w:rsidRDefault="00DF0CFA">
      <w:pPr>
        <w:pStyle w:val="Heading1"/>
      </w:pPr>
      <w:bookmarkStart w:id="41" w:name="_w2040baya60a" w:colFirst="0" w:colLast="0"/>
      <w:bookmarkEnd w:id="41"/>
      <w:r>
        <w:t xml:space="preserve">Discussion </w:t>
      </w:r>
    </w:p>
    <w:p w14:paraId="4E7F8E90" w14:textId="6AFED288" w:rsidR="00E03554" w:rsidRDefault="00DF0CFA">
      <w:pPr>
        <w:ind w:firstLine="720"/>
      </w:pPr>
      <w:r>
        <w:t xml:space="preserve">Past cross-cultural research has suggested that non-philosophers generally rely on a shared epistemic intuition (i.e., a core folk epistemology) that leads them to deny knowledge to protagonists in Gettier-type cases, thereby demonstrating Gettier intuitions (e.g., </w:t>
      </w:r>
      <w:proofErr w:type="spellStart"/>
      <w:r>
        <w:t>Machery</w:t>
      </w:r>
      <w:proofErr w:type="spellEnd"/>
      <w:r>
        <w:t xml:space="preserve"> et al., 2017</w:t>
      </w:r>
      <w:r w:rsidR="000C2969">
        <w:t>b</w:t>
      </w:r>
      <w:r>
        <w:t xml:space="preserve">). In the present research, we examined the prevalence of Gettier intuitions by replicating and extending Experiment 1 of </w:t>
      </w:r>
      <w:proofErr w:type="spellStart"/>
      <w:r>
        <w:t>Turri</w:t>
      </w:r>
      <w:proofErr w:type="spellEnd"/>
      <w:r>
        <w:t xml:space="preserve"> et al. (2015). Our cross-cultural multisite study employed three counterfeit object Gettier vignettes to compare how participants attribute knowledge to protagonists in Gettier, knowledge, and ignorance vignette conditions. Overall, participants demonstrated Gettier intuitions. That is, they were more likely to attribute knowledge to protagonists in standard cases of justified true belief (i.e., the knowledge conditions) than in special cases of justified true belief in which protagonists formed a true belief based on a true observation of an authentic object despite the presence of a salient but failed threat to their ability </w:t>
      </w:r>
      <w:r>
        <w:lastRenderedPageBreak/>
        <w:t xml:space="preserve">to detect its authenticity (i.e., the counterfeit object Gettier-type conditions). This result did not correspond to that found by </w:t>
      </w:r>
      <w:proofErr w:type="spellStart"/>
      <w:r>
        <w:t>Turri</w:t>
      </w:r>
      <w:proofErr w:type="spellEnd"/>
      <w:r>
        <w:t xml:space="preserve"> et al., who failed to detect a difference in knowledge attribution between these two conditions. Notably, the size of the Gettier intuition effect varied by vignette in our study; the Darrel vignette from the original study produced the smallest effect size and the Emma vignette produced the largest. However, few participants attributed knowledge to Emma regardless of epistemological condition. Our results align with recent research suggesting that these differences in knowledge attribution rates may have been driven by participant perceptions of the protagonist (e.g., </w:t>
      </w:r>
      <w:proofErr w:type="spellStart"/>
      <w:r>
        <w:t>Disher</w:t>
      </w:r>
      <w:proofErr w:type="spellEnd"/>
      <w:r>
        <w:t xml:space="preserve"> et al., 2021). </w:t>
      </w:r>
    </w:p>
    <w:p w14:paraId="0E8D0DF8" w14:textId="77777777" w:rsidR="00E03554" w:rsidRDefault="00DF0CFA">
      <w:pPr>
        <w:pStyle w:val="Heading2"/>
        <w:rPr>
          <w:color w:val="000000"/>
        </w:rPr>
      </w:pPr>
      <w:bookmarkStart w:id="42" w:name="_uox7pexbh68" w:colFirst="0" w:colLast="0"/>
      <w:bookmarkEnd w:id="42"/>
      <w:r>
        <w:rPr>
          <w:color w:val="000000"/>
        </w:rPr>
        <w:t>Knowledge Attribution</w:t>
      </w:r>
    </w:p>
    <w:p w14:paraId="545DACE6" w14:textId="77777777" w:rsidR="00E03554" w:rsidRDefault="00DF0CFA">
      <w:pPr>
        <w:ind w:firstLine="720"/>
      </w:pPr>
      <w:r>
        <w:t xml:space="preserve">Our results did not correspond to those found by </w:t>
      </w:r>
      <w:proofErr w:type="spellStart"/>
      <w:r>
        <w:t>Turri</w:t>
      </w:r>
      <w:proofErr w:type="spellEnd"/>
      <w:r>
        <w:t xml:space="preserve"> et al. (2015) in a substantive way. In the original study, participants who read the Gettier version of the "Darrel/Squirrel" vignette attributed knowledge to the protagonist at higher rates than those who read the ignorance version. However, the rates of knowledge attribution did not differ between participants in the Gettier and knowledge control conditions. Although we similarly found a large difference between the Gettier and the ignorance conditions in our replication, our analyses also revealed a difference in rates of knowledge attribution between the Gettier and knowledge conditions (i.e., the Gettier intuition effect; OR = 1.86, 95% </w:t>
      </w:r>
      <w:proofErr w:type="gramStart"/>
      <w:r>
        <w:t>CI[</w:t>
      </w:r>
      <w:proofErr w:type="gramEnd"/>
      <w:r>
        <w:t xml:space="preserve">1.78, 1.94]). This discrepancy could be explained by low power in the original study (i.e., </w:t>
      </w:r>
      <w:r>
        <w:rPr>
          <w:i/>
        </w:rPr>
        <w:t xml:space="preserve">N </w:t>
      </w:r>
      <w:r>
        <w:t xml:space="preserve">= 135 in a between-subjects design with three levels). Indeed, the original authors suspected that their experiment may have failed to demonstrate a difference between these two conditions due to insufficient power (personal communication with </w:t>
      </w:r>
      <w:proofErr w:type="spellStart"/>
      <w:r>
        <w:t>Turri</w:t>
      </w:r>
      <w:proofErr w:type="spellEnd"/>
      <w:r>
        <w:t xml:space="preserve">, March 10, 2018). To further examine this possibility, we attempted to reproduce their chi square analysis to estimate an effect size for comparison purposes. While non-significant, this </w:t>
      </w:r>
      <w:r>
        <w:lastRenderedPageBreak/>
        <w:t xml:space="preserve">effect (OR = 2.00, 95% CI [0.77, 5.21]; see </w:t>
      </w:r>
      <w:hyperlink r:id="rId25">
        <w:r>
          <w:rPr>
            <w:color w:val="1155CC"/>
            <w:u w:val="single"/>
          </w:rPr>
          <w:t>https://osf.io/bdr63/</w:t>
        </w:r>
      </w:hyperlink>
      <w:r>
        <w:t xml:space="preserve"> for calculations) was similar in magnitude to the one we found in our analyses. </w:t>
      </w:r>
    </w:p>
    <w:p w14:paraId="28BECA2C" w14:textId="77777777" w:rsidR="00E03554" w:rsidRDefault="00DF0CFA">
      <w:pPr>
        <w:ind w:firstLine="720"/>
      </w:pPr>
      <w:r>
        <w:t xml:space="preserve">Changes in the methods, design, and analytic approach may also account for our divergent results. One major difference between our replication and the original study was the inclusion of two additional vignettes as part of a within-subjects design. The inclusion of these unique stimuli and design features changed the context of the task and may explain the particular effect. Unlike in the original study that had a between-subjects design, participants in our study responded to all three conditions randomly matched with each vignette (which were counterbalanced across participants) in a single experimental session; therefore, participants’ responses to a vignette condition may have anchored or led to contrast effects on responses to subsequent vignette conditions. However, participants in the present research were more likely to attribute knowledge to protagonists in the knowledge control condition than in the Gettier condition across all three vignettes, including the one used by </w:t>
      </w:r>
      <w:proofErr w:type="spellStart"/>
      <w:r>
        <w:t>Turri</w:t>
      </w:r>
      <w:proofErr w:type="spellEnd"/>
      <w:r>
        <w:t xml:space="preserve"> et al. (2015). In fact, our exploratory analysis of the Darrel vignette that closely approximated </w:t>
      </w:r>
      <w:proofErr w:type="spellStart"/>
      <w:r>
        <w:t>Turri</w:t>
      </w:r>
      <w:proofErr w:type="spellEnd"/>
      <w:r>
        <w:t xml:space="preserve"> et al.’s original analysis found evidence for Gettier intuitions among participants who responded to that vignette first. Further, given that participants were presented with vignette-condition combinations in random order, any contextual order effects would have been minimal. </w:t>
      </w:r>
    </w:p>
    <w:p w14:paraId="3A5ED2ED" w14:textId="62BDCB19" w:rsidR="00E03554" w:rsidRDefault="00DF0CFA">
      <w:pPr>
        <w:ind w:firstLine="720"/>
      </w:pPr>
      <w:r>
        <w:t xml:space="preserve">Prior research on epistemic intuitions has demonstrated the prevalence of Gettier intuitions among non-philosophers (e.g., Nagel, San Juan, et al., 2013; </w:t>
      </w:r>
      <w:proofErr w:type="spellStart"/>
      <w:r>
        <w:t>Starmans</w:t>
      </w:r>
      <w:proofErr w:type="spellEnd"/>
      <w:r>
        <w:t xml:space="preserve"> &amp; Friedman, 2012) and across cultures and geographic regions (e.g., </w:t>
      </w:r>
      <w:proofErr w:type="spellStart"/>
      <w:r>
        <w:t>Machery</w:t>
      </w:r>
      <w:proofErr w:type="spellEnd"/>
      <w:r>
        <w:t xml:space="preserve"> et al., 201</w:t>
      </w:r>
      <w:r w:rsidR="000C2969">
        <w:t>7a</w:t>
      </w:r>
      <w:r>
        <w:t>, 2017</w:t>
      </w:r>
      <w:r w:rsidR="000C2969">
        <w:t>b</w:t>
      </w:r>
      <w:r>
        <w:t xml:space="preserve">). In the present research, participants likewise demonstrated Gettier intuitions across different cultures and geographic regions. These intuitions were detected on a variety of measures, and knowledge attributions were only minimally (but not meaningfully) affected by participant characteristics </w:t>
      </w:r>
      <w:r>
        <w:lastRenderedPageBreak/>
        <w:t xml:space="preserve">such as gender, age, and years of education. Although prior research has suggested that differences in knowledge attribution may depend on how participants are asked whether a target has knowledge (e.g., </w:t>
      </w:r>
      <w:proofErr w:type="spellStart"/>
      <w:r>
        <w:t>Machery</w:t>
      </w:r>
      <w:proofErr w:type="spellEnd"/>
      <w:r>
        <w:t xml:space="preserve"> et al., 2017</w:t>
      </w:r>
      <w:r w:rsidR="000C2969">
        <w:t>b</w:t>
      </w:r>
      <w:r>
        <w:t>; Nagel, San Juan et al., 2013), we found the same pattern of results on the continuous measure, the original binary measure (</w:t>
      </w:r>
      <w:r>
        <w:rPr>
          <w:i/>
        </w:rPr>
        <w:t>knows</w:t>
      </w:r>
      <w:r>
        <w:t xml:space="preserve"> vs.</w:t>
      </w:r>
      <w:r>
        <w:rPr>
          <w:i/>
        </w:rPr>
        <w:t xml:space="preserve"> only believes</w:t>
      </w:r>
      <w:r>
        <w:t>), and the alternative knowledge attribution measure (</w:t>
      </w:r>
      <w:r>
        <w:rPr>
          <w:i/>
        </w:rPr>
        <w:t>knows</w:t>
      </w:r>
      <w:r>
        <w:t xml:space="preserve"> vs. </w:t>
      </w:r>
      <w:r>
        <w:rPr>
          <w:i/>
        </w:rPr>
        <w:t>feels like they know but does not know</w:t>
      </w:r>
      <w:r>
        <w:t>). Thus, the present research supports the view that non-philosophers generally demonstrate Gettier intuitions and may rely on a commonly shared core folk epistemology (i.e., intuitions about knowledge) when assessing the knowledge of others.</w:t>
      </w:r>
    </w:p>
    <w:p w14:paraId="62CE98E0" w14:textId="77777777" w:rsidR="00E03554" w:rsidRDefault="00DF0CFA">
      <w:pPr>
        <w:pStyle w:val="Heading2"/>
        <w:rPr>
          <w:color w:val="000000"/>
        </w:rPr>
      </w:pPr>
      <w:bookmarkStart w:id="43" w:name="_wuqsqzpppabi" w:colFirst="0" w:colLast="0"/>
      <w:bookmarkEnd w:id="43"/>
      <w:r>
        <w:rPr>
          <w:color w:val="000000"/>
        </w:rPr>
        <w:t xml:space="preserve">Ancillary Findings </w:t>
      </w:r>
    </w:p>
    <w:p w14:paraId="2ACBADDB" w14:textId="77777777" w:rsidR="00E03554" w:rsidRDefault="00DF0CFA">
      <w:pPr>
        <w:pStyle w:val="Heading3"/>
        <w:rPr>
          <w:color w:val="000000"/>
        </w:rPr>
      </w:pPr>
      <w:bookmarkStart w:id="44" w:name="_4xaobv1edlm4" w:colFirst="0" w:colLast="0"/>
      <w:bookmarkEnd w:id="44"/>
      <w:r>
        <w:rPr>
          <w:color w:val="000000"/>
        </w:rPr>
        <w:t>Reasonableness judgments</w:t>
      </w:r>
    </w:p>
    <w:p w14:paraId="62D97449" w14:textId="77777777" w:rsidR="00E03554" w:rsidRDefault="00DF0CFA">
      <w:pPr>
        <w:ind w:firstLine="720"/>
      </w:pPr>
      <w:r>
        <w:t>According to the Justified True Belief (JTB) account of knowledge, protagonists must be perceived as having met all three criteria (i.e., justification, truth, and belief) to be attributed knowledge (</w:t>
      </w:r>
      <w:proofErr w:type="spellStart"/>
      <w:r>
        <w:t>Jacquette</w:t>
      </w:r>
      <w:proofErr w:type="spellEnd"/>
      <w:r>
        <w:t xml:space="preserve">, 1996). To test whether Gettier-type challenges to standard justified true beliefs produce different rates of knowledge attribution, we evaluated whether conditions were perceived as having met the appropriate criteria for the Justified True Belief analysis of knowledge. In the present research, the vignette comprehension questions served as the belief criteria by ensuring that participants could report that protagonists held the relevant belief. The truth of the protagonists’ belief varied by condition (i.e., only the protagonist in the ignorance condition held a false belief), and the reasonableness judgment measure probed whether participants judged the protagonists' beliefs to be justified (i.e., reasonable). In the original study, </w:t>
      </w:r>
      <w:proofErr w:type="spellStart"/>
      <w:r>
        <w:t>Turri</w:t>
      </w:r>
      <w:proofErr w:type="spellEnd"/>
      <w:r>
        <w:t xml:space="preserve"> et al. found no difference between epistemological conditions in participants’ reasonableness judgments (i.e., how reasonable the participant rated the protagonist for holding their given belief).</w:t>
      </w:r>
      <w:r>
        <w:rPr>
          <w:i/>
        </w:rPr>
        <w:t xml:space="preserve"> </w:t>
      </w:r>
      <w:r>
        <w:t xml:space="preserve">The authors interpreted this null result as evidence that differences in </w:t>
      </w:r>
      <w:r>
        <w:lastRenderedPageBreak/>
        <w:t xml:space="preserve">knowledge attribution could not be explained by differences in judgments of the protagonists' reasonableness by condition. </w:t>
      </w:r>
    </w:p>
    <w:p w14:paraId="4B4F0A88" w14:textId="77777777" w:rsidR="00E03554" w:rsidRDefault="00DF0CFA">
      <w:pPr>
        <w:ind w:firstLine="720"/>
      </w:pPr>
      <w:r>
        <w:t>In the present research, vignette condition did minimally affect whether participants judged protagonists as reasonable. Participants were more likely to judge protagonists in the Gettier conditions as reasonable than protagonists in the ignorance conditions. They were also more likely to judge protagonists as reasonable in the knowledge condition than in the Gettier condition. While we did detect small differences in judgments of reasonableness between conditions, the vast majority of participants responded that protagonists were reasonable in all conditions. Thus, participants generally perceived the protagonists as being justified in their belief regardless of vignette or condition. Further, the high statistical power of our study allowed us to detect very small effects of condition on reasonableness, but such small effects were unlikely to have had much impact on knowledge attributions; however, we did not directly examine this causal pathway.</w:t>
      </w:r>
    </w:p>
    <w:p w14:paraId="3253E078" w14:textId="77777777" w:rsidR="00E03554" w:rsidRDefault="00DF0CFA">
      <w:pPr>
        <w:pStyle w:val="Heading3"/>
        <w:rPr>
          <w:color w:val="000000"/>
        </w:rPr>
      </w:pPr>
      <w:bookmarkStart w:id="45" w:name="_f5bbnbdwyini" w:colFirst="0" w:colLast="0"/>
      <w:bookmarkEnd w:id="45"/>
      <w:r>
        <w:rPr>
          <w:color w:val="000000"/>
        </w:rPr>
        <w:t>Luck Attributions</w:t>
      </w:r>
    </w:p>
    <w:p w14:paraId="56D725FF" w14:textId="753A94C2" w:rsidR="00E03554" w:rsidRDefault="00DF0CFA">
      <w:pPr>
        <w:ind w:firstLine="720"/>
      </w:pPr>
      <w:r>
        <w:t>Prior research suggests that attributions of true beliefs to luck may moderate the extent to which Gettier intuitions are demonstrated; when Gettier protagonists are perceived as lucky (as opposed to able), the likelihood they are denied knowledge appears to increase (</w:t>
      </w:r>
      <w:proofErr w:type="spellStart"/>
      <w:r>
        <w:t>Turri</w:t>
      </w:r>
      <w:proofErr w:type="spellEnd"/>
      <w:r>
        <w:t>, 2016</w:t>
      </w:r>
      <w:r w:rsidR="00092148">
        <w:t>,</w:t>
      </w:r>
      <w:r>
        <w:t xml:space="preserve"> 2017). In the present research, participants attributed outcomes to luck more frequently in the Gettier condition than in the other two conditions. As expected, we found a negative relationship between the likelihood of luck attributions and the likelihood of knowledge attributions. However, we failed to find evidence that the magnitude of the Gettier intuition effect was moderated by luck attributions. While results suggested a moderating effect of attributions to luck or (in)ability on the difference between the ignorance and Gettier conditions, the difference </w:t>
      </w:r>
      <w:r>
        <w:lastRenderedPageBreak/>
        <w:t>in knowledge attributions between the Gettier and knowledge conditions was similar regardless of whether participants attributed truth outcomes to luck or to ability. Seemingly, the likelihood of Gettier intuitions did not depend on participants attributing the protagonist's true belief to luck. However, the stark differences in luck attributions between vignettes may have dampened moderation effects that could have been found if we were to examine a single scenario.</w:t>
      </w:r>
    </w:p>
    <w:p w14:paraId="16D98FA4" w14:textId="77777777" w:rsidR="00E03554" w:rsidRDefault="00DF0CFA">
      <w:pPr>
        <w:pStyle w:val="Heading2"/>
        <w:rPr>
          <w:color w:val="000000"/>
        </w:rPr>
      </w:pPr>
      <w:bookmarkStart w:id="46" w:name="_fsz37y1ch57x" w:colFirst="0" w:colLast="0"/>
      <w:bookmarkEnd w:id="46"/>
      <w:r>
        <w:rPr>
          <w:color w:val="000000"/>
        </w:rPr>
        <w:t>Differences between Vignettes</w:t>
      </w:r>
    </w:p>
    <w:p w14:paraId="33683E8D" w14:textId="21BFF6BC" w:rsidR="00E03554" w:rsidRDefault="00DF0CFA">
      <w:pPr>
        <w:ind w:firstLine="720"/>
      </w:pPr>
      <w:r>
        <w:t xml:space="preserve">In prior research, Gettier intuitions have been investigated using a variety of different Gettier-type cases and methodologies. Across all types of Gettier-type cases though (e.g., “replacement-by-backup”, “counterfeit object”, “authentic evidence”, “apparent evidence”), results across studies very often contradict one another. Previous research suggests that these heterogeneous findings may be explained in part by methodological features of the research, such as the stimuli used (Kenny &amp; Judd, 201; Landy et al., 2020). In line with this view, the present research found that vignette moderated the effect of condition on all considered dependent measures to varying degrees. </w:t>
      </w:r>
    </w:p>
    <w:p w14:paraId="41347500" w14:textId="77777777" w:rsidR="00E03554" w:rsidRDefault="00DF0CFA">
      <w:pPr>
        <w:ind w:firstLine="720"/>
      </w:pPr>
      <w:r>
        <w:t>Despite possessing the same epistemological structure, the three tested vignettes produced different rates of knowledge attribution, both overall and according to condition (see Figure 2). Participants attributed considerably less knowledge to Emma in the fake diamond vignette than to the protagonists in the other two vignettes. These findings align with prior research that provided evidence for the prevalence of Gettier intuitions using the “Emma/Diamond” vignette (</w:t>
      </w:r>
      <w:proofErr w:type="spellStart"/>
      <w:r>
        <w:t>Disher</w:t>
      </w:r>
      <w:proofErr w:type="spellEnd"/>
      <w:r>
        <w:t xml:space="preserve"> et al., 2021; Nagel, San Juan, et al., 2013; Powell et al., 2015). For example, while Powell et al. (2015) found different rates of knowledge attribution among participants in the ignorance, Gettier, and knowledge conditions, few participants attributed knowledge to Emma overall (e.g., just 25% of those in the knowledge condition). </w:t>
      </w:r>
      <w:r>
        <w:lastRenderedPageBreak/>
        <w:t xml:space="preserve">However, in Experiment 4 reported by </w:t>
      </w:r>
      <w:proofErr w:type="spellStart"/>
      <w:r>
        <w:t>Turri</w:t>
      </w:r>
      <w:proofErr w:type="spellEnd"/>
      <w:r>
        <w:t xml:space="preserve"> et al. (2015), participants in the knowledge condition of a similar “Emma/Diamond” vignette attributed knowledge at a similar rate (90%) to those in the Gettier-type condition involving a failed threat (83%). However, the epistemological structure of the Gettier condition in </w:t>
      </w:r>
      <w:proofErr w:type="spellStart"/>
      <w:r>
        <w:t>Turri</w:t>
      </w:r>
      <w:proofErr w:type="spellEnd"/>
      <w:r>
        <w:t xml:space="preserve"> et al. (2015, Experiment 4) differed from that employed in the present research. Thus, the strength of Gettier intuitions we observed for the “Emma/Diamond” vignette stimulus appears to line up with prior research. </w:t>
      </w:r>
    </w:p>
    <w:p w14:paraId="1479494F" w14:textId="77777777" w:rsidR="00E03554" w:rsidRDefault="00DF0CFA">
      <w:pPr>
        <w:ind w:firstLine="720"/>
      </w:pPr>
      <w:r>
        <w:t>Knowledge attributions for the “Gerald” vignette were overall more split compared to the other two vignettes. However, making comparisons to past empirical research that used the “Gerald/House” vignette is difficult given that prior studies that have used it relied on very different methodology and study materials (</w:t>
      </w:r>
      <w:proofErr w:type="spellStart"/>
      <w:r>
        <w:t>Colaço</w:t>
      </w:r>
      <w:proofErr w:type="spellEnd"/>
      <w:r>
        <w:t xml:space="preserve"> et al., 2014; </w:t>
      </w:r>
      <w:proofErr w:type="spellStart"/>
      <w:r>
        <w:t>Disher</w:t>
      </w:r>
      <w:proofErr w:type="spellEnd"/>
      <w:r>
        <w:t xml:space="preserve"> et al., 2021; Swain et al., 2008; </w:t>
      </w:r>
      <w:proofErr w:type="spellStart"/>
      <w:r>
        <w:t>Ziółkowski</w:t>
      </w:r>
      <w:proofErr w:type="spellEnd"/>
      <w:r>
        <w:t>, 2016). Some researchers have found differences in knowledge attributions between Gettier conditions and knowledge conditions, albeit using different methodologies (</w:t>
      </w:r>
      <w:proofErr w:type="spellStart"/>
      <w:r>
        <w:t>Colaço</w:t>
      </w:r>
      <w:proofErr w:type="spellEnd"/>
      <w:r>
        <w:t xml:space="preserve"> et al., 2014; </w:t>
      </w:r>
      <w:proofErr w:type="spellStart"/>
      <w:r>
        <w:t>Disher</w:t>
      </w:r>
      <w:proofErr w:type="spellEnd"/>
      <w:r>
        <w:t xml:space="preserve"> et al., 2021; </w:t>
      </w:r>
      <w:proofErr w:type="spellStart"/>
      <w:r>
        <w:t>Ziółkowski</w:t>
      </w:r>
      <w:proofErr w:type="spellEnd"/>
      <w:r>
        <w:t>, 2016). Thus, in line with our findings, most studies have found evidence for Gettier intuitions using the “Gerald/House” scenario. Besides the original study (</w:t>
      </w:r>
      <w:proofErr w:type="spellStart"/>
      <w:r>
        <w:t>Turri</w:t>
      </w:r>
      <w:proofErr w:type="spellEnd"/>
      <w:r>
        <w:t xml:space="preserve"> et al., 2015) and the present replication, only one other study (</w:t>
      </w:r>
      <w:proofErr w:type="spellStart"/>
      <w:r>
        <w:t>Disher</w:t>
      </w:r>
      <w:proofErr w:type="spellEnd"/>
      <w:r>
        <w:t xml:space="preserve"> et al., 2021) has employed the “Darrel/Squirrel” vignette; they did not find evidence for Gettier intuitions in response to this scenario, although it used a different name.</w:t>
      </w:r>
    </w:p>
    <w:p w14:paraId="0BFE1A0B" w14:textId="77777777" w:rsidR="00E03554" w:rsidRDefault="00DF0CFA">
      <w:pPr>
        <w:ind w:firstLine="720"/>
      </w:pPr>
      <w:r>
        <w:t>One reason why our vignettes elicited different rates of knowledge attribution may relate to perceptions of luck, given assignment to vignette moderated the effect of condition on both knowledge and luck attributions. For luck attributions, differences between the Gettier and ignorance conditions were considerably smaller for the Darrel and Gerald vignettes (</w:t>
      </w:r>
      <w:proofErr w:type="spellStart"/>
      <w:r>
        <w:t>Cramér’s</w:t>
      </w:r>
      <w:proofErr w:type="spellEnd"/>
      <w:r>
        <w:t xml:space="preserve"> </w:t>
      </w:r>
      <w:r>
        <w:rPr>
          <w:i/>
        </w:rPr>
        <w:t>V</w:t>
      </w:r>
      <w:r>
        <w:t xml:space="preserve"> = .02 and </w:t>
      </w:r>
      <w:proofErr w:type="spellStart"/>
      <w:r>
        <w:t>Cramér’s</w:t>
      </w:r>
      <w:proofErr w:type="spellEnd"/>
      <w:r>
        <w:t xml:space="preserve"> </w:t>
      </w:r>
      <w:r>
        <w:rPr>
          <w:i/>
        </w:rPr>
        <w:t>V</w:t>
      </w:r>
      <w:r>
        <w:t xml:space="preserve"> = .20, respectively) than for the Emma vignette (</w:t>
      </w:r>
      <w:proofErr w:type="spellStart"/>
      <w:r>
        <w:t>Cramér’s</w:t>
      </w:r>
      <w:proofErr w:type="spellEnd"/>
      <w:r>
        <w:t xml:space="preserve"> </w:t>
      </w:r>
      <w:r>
        <w:rPr>
          <w:i/>
        </w:rPr>
        <w:t>V</w:t>
      </w:r>
      <w:r>
        <w:t xml:space="preserve"> = .50), and the luck attribution differences between the Gettier and knowledge conditions were also smaller for </w:t>
      </w:r>
      <w:r>
        <w:lastRenderedPageBreak/>
        <w:t>the Darrel and Gerald vignettes (</w:t>
      </w:r>
      <w:proofErr w:type="spellStart"/>
      <w:r>
        <w:t>Cramér’s</w:t>
      </w:r>
      <w:proofErr w:type="spellEnd"/>
      <w:r>
        <w:t xml:space="preserve"> </w:t>
      </w:r>
      <w:r>
        <w:rPr>
          <w:i/>
        </w:rPr>
        <w:t>V</w:t>
      </w:r>
      <w:r>
        <w:t xml:space="preserve"> = .17 and </w:t>
      </w:r>
      <w:proofErr w:type="spellStart"/>
      <w:r>
        <w:t>Cramér’s</w:t>
      </w:r>
      <w:proofErr w:type="spellEnd"/>
      <w:r>
        <w:t xml:space="preserve"> </w:t>
      </w:r>
      <w:r>
        <w:rPr>
          <w:i/>
        </w:rPr>
        <w:t>V</w:t>
      </w:r>
      <w:r>
        <w:t xml:space="preserve"> = .20, respectively) than for the Emma vignette (</w:t>
      </w:r>
      <w:proofErr w:type="spellStart"/>
      <w:r>
        <w:t>Cramér’s</w:t>
      </w:r>
      <w:proofErr w:type="spellEnd"/>
      <w:r>
        <w:t xml:space="preserve"> </w:t>
      </w:r>
      <w:r>
        <w:rPr>
          <w:i/>
        </w:rPr>
        <w:t>V</w:t>
      </w:r>
      <w:r>
        <w:t xml:space="preserve"> = .32). Overall, Emma's outcomes were attributed most often to luck and Darrel’s outcomes were attributed most often to ability. Thus, the reason why vignettes differed in their overall level of both knowledge and luck attributions may relate to the perceived characteristics of the target protagonist or their situation. In further support of this view, an extension of the present research carried out by collaborators (</w:t>
      </w:r>
      <w:proofErr w:type="spellStart"/>
      <w:r>
        <w:t>Disher</w:t>
      </w:r>
      <w:proofErr w:type="spellEnd"/>
      <w:r>
        <w:t xml:space="preserve"> et al., 2021) that manipulated the gender of the target protagonist found that a protagonist’s knowledge outcome was more likely to be attributed to luck (as opposed to ability) for female protagonists than for male protagonists across all epistemological conditions and scenarios. Thus, the gender of the vignette protagonist may have potentially served as a cue that participants used to assess the ability of a protagonist when deciding whether or not they possessed knowledge.</w:t>
      </w:r>
    </w:p>
    <w:p w14:paraId="2E39D045" w14:textId="77777777" w:rsidR="00E03554" w:rsidRDefault="00DF0CFA">
      <w:pPr>
        <w:ind w:firstLine="720"/>
      </w:pPr>
      <w:r>
        <w:t xml:space="preserve">However, in the present research, differences in the results produced by the Emma vignette in comparison to the other vignettes cannot easily be attributed to protagonist gender alone. Other factors unique to the Emma vignette may also partially explain the differences in response rates across vignettes. In an extension carried out by collaborators (Larkin &amp; </w:t>
      </w:r>
      <w:proofErr w:type="spellStart"/>
      <w:r>
        <w:t>Andreychik</w:t>
      </w:r>
      <w:proofErr w:type="spellEnd"/>
      <w:r>
        <w:t xml:space="preserve">, 2019; see also Appendix E), an additional vignette that manipulated the perceived expertise level of protagonists (i.e., expert or novice) and the epistemological structure (i.e., knowledge, Gettier, or ignorance) was tested as part of our data collection in a between-subjects design. Their results demonstrated that the perceived expertise of protagonists affected knowledge attribution rates; protagonists with high expertise were more likely to be attributed with knowledge than those with low expertise. Given that the "Darrel/Squirrel" vignette features a protagonist that is described as being an ecologist (i.e., an expert) and the "Emma/Diamond" vignette features a protagonist that is described as not able to evaluate whether a diamond is </w:t>
      </w:r>
      <w:r>
        <w:lastRenderedPageBreak/>
        <w:t xml:space="preserve">authentic (i.e., not an expert), differences in attribution rates between these vignettes may be due to their perceived level of expertise. </w:t>
      </w:r>
    </w:p>
    <w:p w14:paraId="7AF7AA59" w14:textId="77777777" w:rsidR="00E03554" w:rsidRDefault="00DF0CFA">
      <w:pPr>
        <w:ind w:firstLine="720"/>
      </w:pPr>
      <w:r>
        <w:t>Finally, the Emma vignette featured a scenario with which most participants were more likely to have personal experience (i.e., shopping). In contrast, the Darrel vignette featured a scenario with which most participants were less likely to have personal experience (i.e., ecological research). Nagel, San Juan, et al. (2013) argued that epistemic egocentrism, or the tendency of people to evaluate others as though they know what we know (Birch, 2005; Birch &amp; Bloom, 2007; Camerer et al., 1989; Nickerson, 1999), may play a substantial role in how participants evaluate the knowledge of others. If participants have differing levels of pre-existing knowledge about vignette scenarios, they may be differently equipped to evaluate protagonists in each scenario based on their assumed shared knowledge. Perhaps participant familiarity with the context of shopping in the Emma vignette allowed participants to consider ways in which she could have better evaluated her belief. Most likely, participant familiarity with the context of ecological research was comparatively low; they may not have generated alternative approaches for Darrel to evaluate his belief. Because we did not manipulate these features of the tested vignettes, such interpretations remain speculative. Parsing out the effects of these different sources of stimulus variation would be a valuable aim for future research.</w:t>
      </w:r>
    </w:p>
    <w:p w14:paraId="0A4F1CE2" w14:textId="77777777" w:rsidR="00E03554" w:rsidRDefault="00DF0CFA">
      <w:pPr>
        <w:pStyle w:val="Heading2"/>
        <w:rPr>
          <w:color w:val="000000"/>
        </w:rPr>
      </w:pPr>
      <w:bookmarkStart w:id="47" w:name="_99odgkhre01o" w:colFirst="0" w:colLast="0"/>
      <w:bookmarkEnd w:id="47"/>
      <w:r>
        <w:rPr>
          <w:color w:val="000000"/>
        </w:rPr>
        <w:t>Implications</w:t>
      </w:r>
    </w:p>
    <w:p w14:paraId="1813CA05" w14:textId="77777777" w:rsidR="00E03554" w:rsidRDefault="00DF0CFA">
      <w:pPr>
        <w:ind w:firstLine="720"/>
      </w:pPr>
      <w:r>
        <w:t xml:space="preserve">Previous research on epistemic intuitions has primarily focused on whether lay people deny knowledge to targets in philosophical problems based on the epistemological structure of the problem. Secondarily, research has investigated whether lay denials of knowledge in these sorts of problems differ based on the identity of the rater/participant (e.g., participants' gender, class, or culture). Our results demonstrate that epistemological structure and participant identity </w:t>
      </w:r>
      <w:r>
        <w:lastRenderedPageBreak/>
        <w:t xml:space="preserve">alone cannot fully account for the rate at which people deny or attribute knowledge. Even standard cases of justified true belief were attributed knowledge at different rates between these vignettes. </w:t>
      </w:r>
    </w:p>
    <w:p w14:paraId="4A39D2F8" w14:textId="77777777" w:rsidR="00E03554" w:rsidRDefault="00DF0CFA">
      <w:pPr>
        <w:ind w:firstLine="720"/>
      </w:pPr>
      <w:r>
        <w:t>These findings support a more subject-sensitive contextualist viewpoint, with the truth-value of knowledge ascriptions depending on the epistemic standards operative in the attributor/rater (</w:t>
      </w:r>
      <w:proofErr w:type="spellStart"/>
      <w:r>
        <w:t>Belleri</w:t>
      </w:r>
      <w:proofErr w:type="spellEnd"/>
      <w:r>
        <w:t xml:space="preserve"> &amp; </w:t>
      </w:r>
      <w:proofErr w:type="spellStart"/>
      <w:r>
        <w:t>Coliva</w:t>
      </w:r>
      <w:proofErr w:type="spellEnd"/>
      <w:r>
        <w:t>, 2018). In such a viewpoint, attributors are considered to be sensitive not only to their own epistemic standards but also to the particular context and characteristics of the subject being rated. In the present research, all scenarios represented the same type of Gettier-type case (i.e., counterfeit object cases) and thus featured the same epistemological structure. If people's epistemic intuitions rely only on all of the same epistemological criteria (e.g., justification, truth, and belief), then they should have denied knowledge similarly across these scenarios as a function of whether those criteria were met. Instead, our results suggest that people attribute knowledge in ways that deviate from these theoretical expectations. Specifically, characteristics of the protagonists and situations presented in the vignettes seem to moderate attributions of knowledge.</w:t>
      </w:r>
    </w:p>
    <w:p w14:paraId="275F53EE" w14:textId="77777777" w:rsidR="00E03554" w:rsidRDefault="00DF0CFA">
      <w:pPr>
        <w:ind w:firstLine="720"/>
      </w:pPr>
      <w:r>
        <w:t xml:space="preserve">While participants’ knowledge attributions may have been sensitive to the nuances of the tested vignettes, the way in which participants attributed knowledge was fairly straightforward. Most participants attributed knowledge on a continuous visual analogue scale which allowed for, but did not reveal, considerable variability in the degree of knowledge attributed to the protagonist. Instead, participants responded in a clearly binary manner as revealed by the bimodal distribution of the knowledge variable: Protagonists were generally perceived as either having knowledge or not. These findings in and of themselves demonstrate that people make judgments about knowledge in a very dichotomous manner. </w:t>
      </w:r>
    </w:p>
    <w:p w14:paraId="0F239127" w14:textId="77777777" w:rsidR="00E03554" w:rsidRDefault="00DF0CFA">
      <w:pPr>
        <w:pStyle w:val="Heading2"/>
        <w:rPr>
          <w:color w:val="000000"/>
        </w:rPr>
      </w:pPr>
      <w:bookmarkStart w:id="48" w:name="_4ize6die3qrr" w:colFirst="0" w:colLast="0"/>
      <w:bookmarkEnd w:id="48"/>
      <w:r>
        <w:rPr>
          <w:color w:val="000000"/>
        </w:rPr>
        <w:lastRenderedPageBreak/>
        <w:t>Pedagogical Considerations</w:t>
      </w:r>
    </w:p>
    <w:p w14:paraId="628447C7" w14:textId="77777777" w:rsidR="00E03554" w:rsidRDefault="00DF0CFA">
      <w:r>
        <w:rPr>
          <w:b/>
        </w:rPr>
        <w:tab/>
      </w:r>
      <w:r>
        <w:t xml:space="preserve">As a partnership between the PSA and CREP, the original purpose of this project was to serve a primarily pedagogical function with support through the PSA’s network and resources. Study 1 from </w:t>
      </w:r>
      <w:proofErr w:type="spellStart"/>
      <w:r>
        <w:t>Turri</w:t>
      </w:r>
      <w:proofErr w:type="spellEnd"/>
      <w:r>
        <w:t xml:space="preserve"> et al. (2015) was selected by the CREP team as a study that was feasible for students to directly replicate; the original study had relatively simple materials (i.e., three variations of one “Darrel” vignette), measurements (i.e., dichotomous “knows/believes” judgments), and analyses (i.e., chi-square goodness-of-fit tests). In the process of submitting and revising a Registered Report for the study, the materials, measurements, and analyses all became more complex and, importantly, more useful for the underlying empirical questions than the original. However, we observed some trade-offs between rigor and pedagogy because of this increase in complexity. </w:t>
      </w:r>
    </w:p>
    <w:p w14:paraId="07C2897E" w14:textId="77777777" w:rsidR="00E03554" w:rsidRDefault="00DF0CFA">
      <w:r>
        <w:tab/>
        <w:t xml:space="preserve">In a typical CREP project, students prepare their materials and OSF pages, submit their pages for initial review, collect data, clean and analyze data, interpret their results, and submit their pages for final review. The increase in design complexity resulted in the need for centralized data collection to guarantee adherence to the randomization and counterbalancing procedures. Instead, students worked with the project administration team to incorporate their own information (e.g. informed consent, compensation) into the centralized survey where needed. The increased analytic complexity meant that students (and instructors) faced challenges in completing their site-level analyses. </w:t>
      </w:r>
      <w:proofErr w:type="gramStart"/>
      <w:r>
        <w:t>The majority of</w:t>
      </w:r>
      <w:proofErr w:type="gramEnd"/>
      <w:r>
        <w:t xml:space="preserve"> undergraduate and masters level students have likely not been trained in mixed ANOVA or multilevel modeling. </w:t>
      </w:r>
    </w:p>
    <w:p w14:paraId="4D216557" w14:textId="77777777" w:rsidR="00E03554" w:rsidRDefault="00DF0CFA">
      <w:pPr>
        <w:ind w:firstLine="720"/>
      </w:pPr>
      <w:r>
        <w:t xml:space="preserve">For this project, students generally did not prepare their own materials or analyze their own site’s data (see the “Site Level Analysis” column in Table 1). However, most or all students completed many traditional CREP steps: creating OSF accounts and following instructors to </w:t>
      </w:r>
      <w:r>
        <w:lastRenderedPageBreak/>
        <w:t xml:space="preserve">create study pages for their site, recording videos of the study procedures, posting all materials including ethics approval, requesting reviews, and revising projects as necessary. All teams with data included in the present study completed at least these minimum requirements; some teams did more than the minimum required, including the evaluation of extension hypotheses. In large part, however, teams just completed the minimum requirements. </w:t>
      </w:r>
    </w:p>
    <w:p w14:paraId="153987C9" w14:textId="77777777" w:rsidR="00E03554" w:rsidRDefault="00DF0CFA">
      <w:pPr>
        <w:ind w:firstLine="720"/>
      </w:pPr>
      <w:r>
        <w:t>In general, we believe that student contributors may have received less training by participating in this project than they would have during a typical CREP project. We have planned a follow-up survey to assess self-reported learning among student collaborators. While we can compare the results of that survey to similar surveys following other CREP projects, we cannot determine whether participation in the project would have produced different learning outcomes for students had it been implemented as originally planned.</w:t>
      </w:r>
    </w:p>
    <w:p w14:paraId="5B1AE0F1" w14:textId="77777777" w:rsidR="00E03554" w:rsidRDefault="00DF0CFA">
      <w:pPr>
        <w:ind w:firstLine="720"/>
      </w:pPr>
      <w:r>
        <w:t xml:space="preserve">There were other consequences of the tradeoffs between the scientific and pedagogical aims of this study. Our attempt to provide flexibility for teams resulted in data loss and energy-, time-, and resource-draining data processing procedures. For instance, some contributors requested the ability to prepare their own project materials via Qualtrics and, in consultation with the RR editor, we decided to support the pedagogical goals of those researchers. This effort to allow for experiential learning while adhering to the approved methods and analysis plan led to complications. Data from some of the teams who administered a Qualtrics survey proved unusable due to lack of adequate documentation. </w:t>
      </w:r>
    </w:p>
    <w:p w14:paraId="31345CDC" w14:textId="77777777" w:rsidR="00E03554" w:rsidRDefault="00DF0CFA">
      <w:pPr>
        <w:ind w:firstLine="720"/>
      </w:pPr>
      <w:r>
        <w:t xml:space="preserve">If this had been a purely PSA study, then students would presumably have had fewer opportunities to do things like use the Open Science Framework or communicate with reviewers before data collection. Students also would have had less flexibility in data collection methods and extension variables. On the other hand, data processing and documentation would have been </w:t>
      </w:r>
      <w:r>
        <w:lastRenderedPageBreak/>
        <w:t xml:space="preserve">much easier. The CREP process is not the process that we would have used if we were only interested in the empirical questions addressed in this manuscript – but it is also not the process that we would have used if we were only interested in training students how to do replications or research. We exchanged time, resources, and energy for the opportunity to satisfy both empirical and pedagogical goals. Creative strategies, such as requiring students to prepare materials on their own prior to being given access to the centralized data collection link, may satisfy the needs of both pedagogy and rigor in future large scale collaborations. </w:t>
      </w:r>
    </w:p>
    <w:p w14:paraId="40DB3F8F" w14:textId="77777777" w:rsidR="00E03554" w:rsidRDefault="00DF0CFA">
      <w:pPr>
        <w:ind w:firstLine="720"/>
      </w:pPr>
      <w:r>
        <w:t>Despite these tradeoffs, we would recommend doing big team science with students as researchers in the future. Likely, some of our challenges may have been less pronounced without a Registered Report process that placed a priority on the empirical question and resulted in a complicated design. At the very least, the students who collaborated as researchers on this project learned about preregistration, Registered Reports, and the Open Science Framework. While general research literacy could be improved by learning about these practices, for those students who will continue to do research in graduate school or as part of their profession, incorporating these practices into their toolkit at an early stage may improve the rigor and transparency of their future contributions (</w:t>
      </w:r>
      <w:proofErr w:type="spellStart"/>
      <w:r>
        <w:t>Pownall</w:t>
      </w:r>
      <w:proofErr w:type="spellEnd"/>
      <w:r>
        <w:t xml:space="preserve"> et al., 2022).</w:t>
      </w:r>
    </w:p>
    <w:p w14:paraId="36223069" w14:textId="77777777" w:rsidR="00E03554" w:rsidRDefault="00DF0CFA">
      <w:pPr>
        <w:pStyle w:val="Heading2"/>
        <w:rPr>
          <w:color w:val="000000"/>
        </w:rPr>
      </w:pPr>
      <w:bookmarkStart w:id="49" w:name="_vrpzoel0bs47" w:colFirst="0" w:colLast="0"/>
      <w:bookmarkEnd w:id="49"/>
      <w:r>
        <w:rPr>
          <w:color w:val="000000"/>
        </w:rPr>
        <w:t>Limitations</w:t>
      </w:r>
    </w:p>
    <w:p w14:paraId="58A7EF5B" w14:textId="77777777" w:rsidR="00E03554" w:rsidRDefault="00DF0CFA">
      <w:pPr>
        <w:ind w:firstLine="720"/>
      </w:pPr>
      <w:r>
        <w:t xml:space="preserve">Though the present research represents the largest multi-lab empirical study of Gettier intuitions conducted across multiple geographic regions using multiple minimally matched stimuli to date, our conclusions are limited by 1) inconsistencies in data documentation and collection, 2) methodological decisions, 3) strict a priori exclusion criteria, and 4) generalizability. </w:t>
      </w:r>
    </w:p>
    <w:p w14:paraId="3D964D47" w14:textId="77777777" w:rsidR="00E03554" w:rsidRDefault="00DF0CFA">
      <w:pPr>
        <w:ind w:firstLine="720"/>
      </w:pPr>
      <w:r>
        <w:lastRenderedPageBreak/>
        <w:t xml:space="preserve">Given the pedagogical goals of this project, trade-offs between research quality and accessibility to students were made at various stages of the project that led to inconsistencies in data documentation and collection. Exceptions to the accepted protocol were granted for several student teams (e.g., some teams implemented the study independently in Qualtrics rather than using the vetted </w:t>
      </w:r>
      <w:proofErr w:type="spellStart"/>
      <w:r>
        <w:t>SoSciSurvey</w:t>
      </w:r>
      <w:proofErr w:type="spellEnd"/>
      <w:r>
        <w:t xml:space="preserve"> survey). Thus, some of the samples collected as part of this project were excluded due to data quality concerns. However, despite large losses in data due to data quality related exclusions, permitting flexibility in data collection allowed for more students to experience being part of a large multi-lab research project that enriched their research education. </w:t>
      </w:r>
    </w:p>
    <w:p w14:paraId="4A1F60C1" w14:textId="77777777" w:rsidR="00E03554" w:rsidRDefault="00DF0CFA">
      <w:pPr>
        <w:ind w:firstLine="720"/>
      </w:pPr>
      <w:r>
        <w:t xml:space="preserve">Methodological complications with measurement further limited our results. Changing the original binary response options for the knowledge question to a visual analogue scale may have impacted the results that we found after converting those continuous responses to a binary format. While exploratory analyses suggest that results obtained using the binary knowledge measure did not differ meaningfully from the results we obtained using the continuous knowledge measure, our results may have been different if all participants were asked to respond to the knowledge question in a response format that better reflects the binary way in which people appear to make these kinds of determinations. </w:t>
      </w:r>
    </w:p>
    <w:p w14:paraId="30CF9C4A" w14:textId="1F781B04" w:rsidR="00E03554" w:rsidRDefault="00DF0CFA">
      <w:pPr>
        <w:ind w:firstLine="720"/>
        <w:rPr>
          <w:b/>
          <w:i/>
        </w:rPr>
      </w:pPr>
      <w:r>
        <w:t xml:space="preserve">The large number of participant exclusions is another limitation of this research. According to our strict a priori exclusion criteria, many participants were excluded because they responded incorrectly to at least one of the vignette comprehension questions or did not report their age or language proficiency. These three exclusion criteria resulted in nearly half of participants being excluded from analyses. Failed vignette comprehension checks accounted for most of the exclusions, likely due to inattention or intellectually challenging content. The results we report above may have differed if we had not excluded participants list-wise who failed only </w:t>
      </w:r>
      <w:r>
        <w:lastRenderedPageBreak/>
        <w:t xml:space="preserve">one of the comprehension questions and allowed those participants to be included in only the vignettes for which they got the comprehension question correct. Given that almost half of our participants were excluded, our results have limited generalizability. While comprehension exclusions have been common in previous investigations (i.e., 2% - 47%; </w:t>
      </w:r>
      <w:proofErr w:type="spellStart"/>
      <w:r>
        <w:t>Machery</w:t>
      </w:r>
      <w:proofErr w:type="spellEnd"/>
      <w:r>
        <w:t xml:space="preserve"> et al., 201</w:t>
      </w:r>
      <w:r w:rsidR="000C2969">
        <w:t>7a</w:t>
      </w:r>
      <w:r>
        <w:t xml:space="preserve">; </w:t>
      </w:r>
      <w:proofErr w:type="spellStart"/>
      <w:r>
        <w:t>Starmans</w:t>
      </w:r>
      <w:proofErr w:type="spellEnd"/>
      <w:r>
        <w:t xml:space="preserve"> &amp; Friedman, 2012), those studies used between-subjects designs in which participants responded to a single scenario. Our relatively high rates of comprehension exclusions (i.e., 47%) may have resulted from our listwise exclusion of participants if they responded incorrectly to any one of the three vignettes’ comprehension questions. However, other cross-cultural studies in this domain have produced similar comprehension exclusion rates with between-subjects designs (e.g., 47%, </w:t>
      </w:r>
      <w:proofErr w:type="spellStart"/>
      <w:r>
        <w:t>Machery</w:t>
      </w:r>
      <w:proofErr w:type="spellEnd"/>
      <w:r>
        <w:t xml:space="preserve"> et al., 201</w:t>
      </w:r>
      <w:r w:rsidR="000C2969">
        <w:t>7a</w:t>
      </w:r>
      <w:r>
        <w:t xml:space="preserve">). Perhaps cultural variation in conceptual familiarity or linguistic forms reduced comprehension or memory of the tested vignettes (see </w:t>
      </w:r>
      <w:proofErr w:type="spellStart"/>
      <w:r>
        <w:t>Machery</w:t>
      </w:r>
      <w:proofErr w:type="spellEnd"/>
      <w:r>
        <w:t xml:space="preserve"> et al., 201</w:t>
      </w:r>
      <w:r w:rsidR="000C2969">
        <w:t>7a</w:t>
      </w:r>
      <w:r>
        <w:t>).  Nonetheless, according to a review of Gettier intuition studies (</w:t>
      </w:r>
      <w:proofErr w:type="spellStart"/>
      <w:r>
        <w:t>Popiel</w:t>
      </w:r>
      <w:proofErr w:type="spellEnd"/>
      <w:r>
        <w:t xml:space="preserve">, 2016), participant exclusions typically have no effect on study results. Still, we cannot draw conclusions about the epistemic intuitions of “lay people” when so many of them were unable to understand or adequately engage with the scenarios we provided. </w:t>
      </w:r>
    </w:p>
    <w:p w14:paraId="27AB83FF" w14:textId="77777777" w:rsidR="00E03554" w:rsidRDefault="00DF0CFA">
      <w:pPr>
        <w:ind w:firstLine="720"/>
        <w:rPr>
          <w:b/>
        </w:rPr>
      </w:pPr>
      <w:r>
        <w:t xml:space="preserve">Lastly, because most of our participants were drawn from university samples, our findings may not generalize beyond the small subset of educated, socioeconomically advantaged young adults—at least those able to pass comprehension checks (for evidence of socioeconomic differences, see Nichols et al., 2003; for educational differences, see </w:t>
      </w:r>
      <w:proofErr w:type="spellStart"/>
      <w:r>
        <w:t>Starmans</w:t>
      </w:r>
      <w:proofErr w:type="spellEnd"/>
      <w:r>
        <w:t xml:space="preserve"> &amp; Friedman, 2012, 2013; for age differences, see </w:t>
      </w:r>
      <w:proofErr w:type="spellStart"/>
      <w:r>
        <w:t>Colaço</w:t>
      </w:r>
      <w:proofErr w:type="spellEnd"/>
      <w:r>
        <w:t xml:space="preserve"> et al., 2014). However, our results indicated that age and years of education had only very small effects on knowledge attribution that were not robust to changing model specifications. Also, given that our sample of Gettier-type cases from the epistemology literature was limited to cases that use counterfeit objects, inferences made from </w:t>
      </w:r>
      <w:r>
        <w:lastRenderedPageBreak/>
        <w:t xml:space="preserve">our findings should be limited to only intuitions used in Gettier-type cases that rely on the use of counterfeit objects. Other forms of Gettier-type cases (e.g., evidence replacement cases) may produce different epistemic intuitions. For example, prior literature has demonstrated that participants are more likely to deny knowledge to protagonists in Gettier-type cases that present “apparent” evidence (e.g., </w:t>
      </w:r>
      <w:proofErr w:type="spellStart"/>
      <w:r>
        <w:t>Turri</w:t>
      </w:r>
      <w:proofErr w:type="spellEnd"/>
      <w:r>
        <w:t xml:space="preserve">, 2013) and more likely to attribute knowledge in cases that present “authentic” evidence (e.g., </w:t>
      </w:r>
      <w:proofErr w:type="spellStart"/>
      <w:r>
        <w:t>Starmans</w:t>
      </w:r>
      <w:proofErr w:type="spellEnd"/>
      <w:r>
        <w:t xml:space="preserve"> &amp; Friedman, 2013). We have no reason to believe that the results presented in this paper were dependent on other characteristics of the participants, materials, or context (Simons et al., 2017).</w:t>
      </w:r>
    </w:p>
    <w:p w14:paraId="79F3A18E" w14:textId="77777777" w:rsidR="00E03554" w:rsidRDefault="00DF0CFA">
      <w:pPr>
        <w:pStyle w:val="Heading1"/>
      </w:pPr>
      <w:bookmarkStart w:id="50" w:name="_wt20gpvx24lg" w:colFirst="0" w:colLast="0"/>
      <w:bookmarkEnd w:id="50"/>
      <w:r>
        <w:t>Conclusion</w:t>
      </w:r>
    </w:p>
    <w:p w14:paraId="1289AF36" w14:textId="77777777" w:rsidR="00E03554" w:rsidRDefault="00DF0CFA">
      <w:pPr>
        <w:ind w:firstLine="720"/>
      </w:pPr>
      <w:proofErr w:type="spellStart"/>
      <w:r>
        <w:t>Turri</w:t>
      </w:r>
      <w:proofErr w:type="spellEnd"/>
      <w:r>
        <w:t xml:space="preserve"> et al. (2015) interpreted their original findings as supporting the view that a salient but failed threat to the truth of a judgment does not significantly affect whether it is viewed as knowledge. The results from this RRR suggest that this view should be amended. Contrary to </w:t>
      </w:r>
      <w:proofErr w:type="spellStart"/>
      <w:r>
        <w:t>Turri</w:t>
      </w:r>
      <w:proofErr w:type="spellEnd"/>
      <w:r>
        <w:t xml:space="preserve"> et al.'s claim, people attributed knowledge significantly more to protagonists in standard justified true belief cases (knowledge conditions) than in counterfeit object Gettier-type cases. However, we did observe a smaller magnitude of Gettier intuitions in the vignette used in the original study in comparison to the other vignettes we employed. Overall, our results suggest that attributions of knowledge may be affected by contextual characteristics unrelated to the knowledge criteria met by protagonists, such as perceptions about protagonists’ ability and expertise. Future research on epistemic intuitions should focus on identifying and controlling for the moderating role of contextual characteristics to better understand the conditions necessary for people to attribute knowledge to others.</w:t>
      </w:r>
    </w:p>
    <w:p w14:paraId="47137060" w14:textId="77777777" w:rsidR="00E03554" w:rsidRDefault="00E03554">
      <w:pPr>
        <w:spacing w:after="160"/>
      </w:pPr>
    </w:p>
    <w:p w14:paraId="4FCAF0D6" w14:textId="77777777" w:rsidR="00E03554" w:rsidRDefault="00DF0CFA">
      <w:pPr>
        <w:pStyle w:val="Heading2"/>
        <w:rPr>
          <w:color w:val="000000"/>
        </w:rPr>
      </w:pPr>
      <w:bookmarkStart w:id="51" w:name="_esaehrf3v7ig" w:colFirst="0" w:colLast="0"/>
      <w:bookmarkEnd w:id="51"/>
      <w:r>
        <w:br w:type="page"/>
      </w:r>
    </w:p>
    <w:p w14:paraId="3786130A" w14:textId="77777777" w:rsidR="00E03554" w:rsidRDefault="00DF0CFA">
      <w:pPr>
        <w:pStyle w:val="Heading2"/>
        <w:rPr>
          <w:color w:val="000000"/>
        </w:rPr>
      </w:pPr>
      <w:bookmarkStart w:id="52" w:name="_zhdmc6z0vzm7" w:colFirst="0" w:colLast="0"/>
      <w:bookmarkEnd w:id="52"/>
      <w:r>
        <w:rPr>
          <w:color w:val="000000"/>
        </w:rPr>
        <w:lastRenderedPageBreak/>
        <w:t>Author Contributions</w:t>
      </w:r>
    </w:p>
    <w:p w14:paraId="2D95438C" w14:textId="77777777" w:rsidR="00E03554" w:rsidRDefault="00DF0CFA">
      <w:pPr>
        <w:spacing w:before="180" w:after="180" w:line="276" w:lineRule="auto"/>
      </w:pPr>
      <w:r>
        <w:t xml:space="preserve">M. J. Brandt, C. R. Chartier, J. E. </w:t>
      </w:r>
      <w:proofErr w:type="spellStart"/>
      <w:r>
        <w:t>Grahe</w:t>
      </w:r>
      <w:proofErr w:type="spellEnd"/>
      <w:r>
        <w:t xml:space="preserve">, B. Hall, H. </w:t>
      </w:r>
      <w:proofErr w:type="spellStart"/>
      <w:r>
        <w:t>IJzerman</w:t>
      </w:r>
      <w:proofErr w:type="spellEnd"/>
      <w:r>
        <w:t>, K. Larkin, J. Wagge contributed to the conceptualization of the project.</w:t>
      </w:r>
    </w:p>
    <w:p w14:paraId="524D0E53" w14:textId="77777777" w:rsidR="00E03554" w:rsidRDefault="00DF0CFA">
      <w:pPr>
        <w:spacing w:before="180" w:after="180" w:line="276" w:lineRule="auto"/>
      </w:pPr>
      <w:r>
        <w:t xml:space="preserve">B. Hall, H. </w:t>
      </w:r>
      <w:proofErr w:type="spellStart"/>
      <w:r>
        <w:t>Moshontz</w:t>
      </w:r>
      <w:proofErr w:type="spellEnd"/>
      <w:r>
        <w:t>, K. Schmidt, J. Wagge wrote the original draft of this report.</w:t>
      </w:r>
    </w:p>
    <w:p w14:paraId="712B7664" w14:textId="77777777" w:rsidR="00E03554" w:rsidRDefault="00DF0CFA">
      <w:pPr>
        <w:spacing w:before="180" w:after="180" w:line="276" w:lineRule="auto"/>
      </w:pPr>
      <w:r>
        <w:t xml:space="preserve">B. </w:t>
      </w:r>
      <w:proofErr w:type="spellStart"/>
      <w:r>
        <w:t>Aczel</w:t>
      </w:r>
      <w:proofErr w:type="spellEnd"/>
      <w:r>
        <w:t xml:space="preserve">, X. Alexi </w:t>
      </w:r>
      <w:proofErr w:type="spellStart"/>
      <w:r>
        <w:t>Vassiliou</w:t>
      </w:r>
      <w:proofErr w:type="spellEnd"/>
      <w:r>
        <w:t xml:space="preserve">, L. D. </w:t>
      </w:r>
      <w:proofErr w:type="spellStart"/>
      <w:r>
        <w:t>Cramblet</w:t>
      </w:r>
      <w:proofErr w:type="spellEnd"/>
      <w:r>
        <w:t xml:space="preserve"> Alvarez, M. R. </w:t>
      </w:r>
      <w:proofErr w:type="spellStart"/>
      <w:r>
        <w:t>Andreychik</w:t>
      </w:r>
      <w:proofErr w:type="spellEnd"/>
      <w:r>
        <w:t xml:space="preserve">, J. </w:t>
      </w:r>
      <w:proofErr w:type="spellStart"/>
      <w:r>
        <w:t>Arnal</w:t>
      </w:r>
      <w:proofErr w:type="spellEnd"/>
      <w:r>
        <w:t xml:space="preserve">, P. Arriaga, B. J. Baker, K. </w:t>
      </w:r>
      <w:proofErr w:type="spellStart"/>
      <w:r>
        <w:t>Barzykowski</w:t>
      </w:r>
      <w:proofErr w:type="spellEnd"/>
      <w:r>
        <w:t xml:space="preserve">, C. </w:t>
      </w:r>
      <w:proofErr w:type="spellStart"/>
      <w:r>
        <w:t>Batres</w:t>
      </w:r>
      <w:proofErr w:type="spellEnd"/>
      <w:r>
        <w:t xml:space="preserve">, M. J. Brandt, E. M. Buchanan, C. R. Chartier, S. Chen, F. Cova, V. </w:t>
      </w:r>
      <w:proofErr w:type="spellStart"/>
      <w:r>
        <w:t>Dranseika</w:t>
      </w:r>
      <w:proofErr w:type="spellEnd"/>
      <w:r>
        <w:t xml:space="preserve">, D. Dunleavy, S. </w:t>
      </w:r>
      <w:proofErr w:type="spellStart"/>
      <w:r>
        <w:t>Ďurbisová</w:t>
      </w:r>
      <w:proofErr w:type="spellEnd"/>
      <w:r>
        <w:t xml:space="preserve">, T. R. Evans, M. Fallon, S. Ruiz Fernandez, A. P. Field, H. Godbersen, N. </w:t>
      </w:r>
      <w:proofErr w:type="spellStart"/>
      <w:r>
        <w:t>Godkin</w:t>
      </w:r>
      <w:proofErr w:type="spellEnd"/>
      <w:r>
        <w:t xml:space="preserve">, J. E. </w:t>
      </w:r>
      <w:proofErr w:type="spellStart"/>
      <w:r>
        <w:t>Grahe</w:t>
      </w:r>
      <w:proofErr w:type="spellEnd"/>
      <w:r>
        <w:t xml:space="preserve">, A. Graton, G. J. </w:t>
      </w:r>
      <w:proofErr w:type="spellStart"/>
      <w:r>
        <w:t>Haeffel</w:t>
      </w:r>
      <w:proofErr w:type="spellEnd"/>
      <w:r>
        <w:t xml:space="preserve">, B. Hall, A. Hartanto, E. Henderson, H. </w:t>
      </w:r>
      <w:proofErr w:type="spellStart"/>
      <w:r>
        <w:t>IJzerman</w:t>
      </w:r>
      <w:proofErr w:type="spellEnd"/>
      <w:r>
        <w:t xml:space="preserve">, R. </w:t>
      </w:r>
      <w:proofErr w:type="spellStart"/>
      <w:r>
        <w:t>Kabut</w:t>
      </w:r>
      <w:proofErr w:type="spellEnd"/>
      <w:r>
        <w:t xml:space="preserve">, P. </w:t>
      </w:r>
      <w:proofErr w:type="spellStart"/>
      <w:r>
        <w:t>Kačmár</w:t>
      </w:r>
      <w:proofErr w:type="spellEnd"/>
      <w:r>
        <w:t xml:space="preserve">, G. </w:t>
      </w:r>
      <w:proofErr w:type="spellStart"/>
      <w:r>
        <w:t>Kamiski</w:t>
      </w:r>
      <w:proofErr w:type="spellEnd"/>
      <w:r>
        <w:t xml:space="preserve">, M. Kovacs, A. J. </w:t>
      </w:r>
      <w:proofErr w:type="spellStart"/>
      <w:r>
        <w:t>Krafnick</w:t>
      </w:r>
      <w:proofErr w:type="spellEnd"/>
      <w:r>
        <w:t xml:space="preserve">, C. Lamb, S. T. H. Lee, N. Legate, C. A. Levitan, S. C. Lewis, N. Mathis, E. Meijer, H. </w:t>
      </w:r>
      <w:proofErr w:type="spellStart"/>
      <w:r>
        <w:t>Moshontz</w:t>
      </w:r>
      <w:proofErr w:type="spellEnd"/>
      <w:r>
        <w:t xml:space="preserve">, E. D. Musser, E. </w:t>
      </w:r>
      <w:proofErr w:type="spellStart"/>
      <w:r>
        <w:t>Nosáľová</w:t>
      </w:r>
      <w:proofErr w:type="spellEnd"/>
      <w:r>
        <w:t xml:space="preserve">, A. </w:t>
      </w:r>
      <w:proofErr w:type="spellStart"/>
      <w:r>
        <w:t>Nusbam</w:t>
      </w:r>
      <w:proofErr w:type="spellEnd"/>
      <w:r>
        <w:t xml:space="preserve">, A. A. </w:t>
      </w:r>
      <w:proofErr w:type="spellStart"/>
      <w:r>
        <w:t>Özdoğru</w:t>
      </w:r>
      <w:proofErr w:type="spellEnd"/>
      <w:r>
        <w:t xml:space="preserve">, M. </w:t>
      </w:r>
      <w:proofErr w:type="spellStart"/>
      <w:r>
        <w:t>Pantazi</w:t>
      </w:r>
      <w:proofErr w:type="spellEnd"/>
      <w:r>
        <w:t xml:space="preserve">, P. S. </w:t>
      </w:r>
      <w:proofErr w:type="spellStart"/>
      <w:r>
        <w:t>Forscher</w:t>
      </w:r>
      <w:proofErr w:type="spellEnd"/>
      <w:r>
        <w:t xml:space="preserve">, F. </w:t>
      </w:r>
      <w:proofErr w:type="spellStart"/>
      <w:r>
        <w:t>Pernerstofer</w:t>
      </w:r>
      <w:proofErr w:type="spellEnd"/>
      <w:r>
        <w:t xml:space="preserve">, G. </w:t>
      </w:r>
      <w:proofErr w:type="spellStart"/>
      <w:r>
        <w:t>Pfuhl</w:t>
      </w:r>
      <w:proofErr w:type="spellEnd"/>
      <w:r>
        <w:t xml:space="preserve">, E. </w:t>
      </w:r>
      <w:proofErr w:type="spellStart"/>
      <w:r>
        <w:t>Pronizius</w:t>
      </w:r>
      <w:proofErr w:type="spellEnd"/>
      <w:r>
        <w:t xml:space="preserve">, W. M. Sampaio, C. </w:t>
      </w:r>
      <w:proofErr w:type="spellStart"/>
      <w:r>
        <w:t>Schild</w:t>
      </w:r>
      <w:proofErr w:type="spellEnd"/>
      <w:r>
        <w:t>, K. Schmidt, M. Schulte-</w:t>
      </w:r>
      <w:proofErr w:type="spellStart"/>
      <w:r>
        <w:t>Mecklenbeck</w:t>
      </w:r>
      <w:proofErr w:type="spellEnd"/>
      <w:r>
        <w:t xml:space="preserve">, S. Álvarez </w:t>
      </w:r>
      <w:proofErr w:type="spellStart"/>
      <w:r>
        <w:t>Solas</w:t>
      </w:r>
      <w:proofErr w:type="spellEnd"/>
      <w:r>
        <w:t xml:space="preserve">, S. </w:t>
      </w:r>
      <w:proofErr w:type="spellStart"/>
      <w:r>
        <w:t>Stieger</w:t>
      </w:r>
      <w:proofErr w:type="spellEnd"/>
      <w:r>
        <w:t xml:space="preserve">, D. Storage, P. </w:t>
      </w:r>
      <w:proofErr w:type="spellStart"/>
      <w:r>
        <w:t>Szecsi</w:t>
      </w:r>
      <w:proofErr w:type="spellEnd"/>
      <w:r>
        <w:t xml:space="preserve">, A. </w:t>
      </w:r>
      <w:proofErr w:type="spellStart"/>
      <w:r>
        <w:t>Tkalich</w:t>
      </w:r>
      <w:proofErr w:type="spellEnd"/>
      <w:r>
        <w:t xml:space="preserve">, U. S. Tran, E. </w:t>
      </w:r>
      <w:proofErr w:type="spellStart"/>
      <w:r>
        <w:t>Vergauwe</w:t>
      </w:r>
      <w:proofErr w:type="spellEnd"/>
      <w:r>
        <w:t xml:space="preserve">, I. Donga </w:t>
      </w:r>
      <w:proofErr w:type="spellStart"/>
      <w:r>
        <w:t>Vilares</w:t>
      </w:r>
      <w:proofErr w:type="spellEnd"/>
      <w:r>
        <w:t xml:space="preserve">, M. </w:t>
      </w:r>
      <w:proofErr w:type="spellStart"/>
      <w:r>
        <w:t>Voracek</w:t>
      </w:r>
      <w:proofErr w:type="spellEnd"/>
      <w:r>
        <w:t xml:space="preserve">, J. Wagge, R. Warne, Y. J. Weisberg, S. </w:t>
      </w:r>
      <w:proofErr w:type="spellStart"/>
      <w:r>
        <w:t>Weissgerber</w:t>
      </w:r>
      <w:proofErr w:type="spellEnd"/>
      <w:r>
        <w:t xml:space="preserve">, K. M. Werner, B. Wiggins, P. </w:t>
      </w:r>
      <w:proofErr w:type="spellStart"/>
      <w:r>
        <w:t>Sorokowski</w:t>
      </w:r>
      <w:proofErr w:type="spellEnd"/>
      <w:r>
        <w:t xml:space="preserve"> edited, reviewed, and revised the draft of this report.</w:t>
      </w:r>
    </w:p>
    <w:p w14:paraId="2B69DE47" w14:textId="77777777" w:rsidR="00E03554" w:rsidRDefault="00DF0CFA">
      <w:pPr>
        <w:spacing w:before="180" w:after="180" w:line="276" w:lineRule="auto"/>
      </w:pPr>
      <w:r>
        <w:t xml:space="preserve">E. M. Buchanan, B. Hall, C. </w:t>
      </w:r>
      <w:proofErr w:type="spellStart"/>
      <w:r>
        <w:t>Hautekiet</w:t>
      </w:r>
      <w:proofErr w:type="spellEnd"/>
      <w:r>
        <w:t xml:space="preserve">, F. </w:t>
      </w:r>
      <w:proofErr w:type="spellStart"/>
      <w:r>
        <w:t>Kiunke</w:t>
      </w:r>
      <w:proofErr w:type="spellEnd"/>
      <w:r>
        <w:t xml:space="preserve">, A. J. </w:t>
      </w:r>
      <w:proofErr w:type="spellStart"/>
      <w:r>
        <w:t>Krafnick</w:t>
      </w:r>
      <w:proofErr w:type="spellEnd"/>
      <w:r>
        <w:t xml:space="preserve">, S. C. Lewis, H. </w:t>
      </w:r>
      <w:proofErr w:type="spellStart"/>
      <w:r>
        <w:t>Moshontz</w:t>
      </w:r>
      <w:proofErr w:type="spellEnd"/>
      <w:r>
        <w:t xml:space="preserve">, J. Wagge, S. </w:t>
      </w:r>
      <w:proofErr w:type="spellStart"/>
      <w:r>
        <w:t>Weissgerber</w:t>
      </w:r>
      <w:proofErr w:type="spellEnd"/>
      <w:r>
        <w:t xml:space="preserve"> contributed to the data curation.</w:t>
      </w:r>
    </w:p>
    <w:p w14:paraId="17811EB1" w14:textId="77777777" w:rsidR="00E03554" w:rsidRDefault="00DF0CFA">
      <w:pPr>
        <w:spacing w:before="180" w:after="180" w:line="276" w:lineRule="auto"/>
      </w:pPr>
      <w:r>
        <w:t xml:space="preserve">M. J. Brandt, E. M. Buchanan, B. Hall, F. </w:t>
      </w:r>
      <w:proofErr w:type="spellStart"/>
      <w:r>
        <w:t>Kiunke</w:t>
      </w:r>
      <w:proofErr w:type="spellEnd"/>
      <w:r>
        <w:t xml:space="preserve">, H. </w:t>
      </w:r>
      <w:proofErr w:type="spellStart"/>
      <w:r>
        <w:t>Moshontz</w:t>
      </w:r>
      <w:proofErr w:type="spellEnd"/>
      <w:r>
        <w:t xml:space="preserve">, G. </w:t>
      </w:r>
      <w:proofErr w:type="spellStart"/>
      <w:r>
        <w:t>Pfuhl</w:t>
      </w:r>
      <w:proofErr w:type="spellEnd"/>
      <w:r>
        <w:t xml:space="preserve">, K. Schmidt, U. S. Tran, M. </w:t>
      </w:r>
      <w:proofErr w:type="spellStart"/>
      <w:r>
        <w:t>Voracek</w:t>
      </w:r>
      <w:proofErr w:type="spellEnd"/>
      <w:r>
        <w:t xml:space="preserve"> contributed to the analysis of the data.</w:t>
      </w:r>
    </w:p>
    <w:p w14:paraId="4F83180F" w14:textId="77777777" w:rsidR="00E03554" w:rsidRDefault="00DF0CFA">
      <w:pPr>
        <w:spacing w:before="180" w:after="180" w:line="276" w:lineRule="auto"/>
      </w:pPr>
      <w:r>
        <w:t xml:space="preserve">C. L. </w:t>
      </w:r>
      <w:proofErr w:type="spellStart"/>
      <w:r>
        <w:t>Aberson</w:t>
      </w:r>
      <w:proofErr w:type="spellEnd"/>
      <w:r>
        <w:t xml:space="preserve">, B. </w:t>
      </w:r>
      <w:proofErr w:type="spellStart"/>
      <w:r>
        <w:t>Aczel</w:t>
      </w:r>
      <w:proofErr w:type="spellEnd"/>
      <w:r>
        <w:t xml:space="preserve">, L. D. </w:t>
      </w:r>
      <w:proofErr w:type="spellStart"/>
      <w:r>
        <w:t>Cramblet</w:t>
      </w:r>
      <w:proofErr w:type="spellEnd"/>
      <w:r>
        <w:t xml:space="preserve"> Alvarez, M. R. </w:t>
      </w:r>
      <w:proofErr w:type="spellStart"/>
      <w:r>
        <w:t>Andreychik</w:t>
      </w:r>
      <w:proofErr w:type="spellEnd"/>
      <w:r>
        <w:t xml:space="preserve">, P. Arriaga, B. J. Baker, K. </w:t>
      </w:r>
      <w:proofErr w:type="spellStart"/>
      <w:r>
        <w:t>Barzykowski</w:t>
      </w:r>
      <w:proofErr w:type="spellEnd"/>
      <w:r>
        <w:t xml:space="preserve">, C. </w:t>
      </w:r>
      <w:proofErr w:type="spellStart"/>
      <w:r>
        <w:t>Batres</w:t>
      </w:r>
      <w:proofErr w:type="spellEnd"/>
      <w:r>
        <w:t xml:space="preserve">, J. L Beaudry, M. J. Brandt, E. M. Buchanan, C. R. Chartier, S. Chen, T. R. Evans, M. </w:t>
      </w:r>
      <w:proofErr w:type="spellStart"/>
      <w:r>
        <w:t>Fallone</w:t>
      </w:r>
      <w:proofErr w:type="spellEnd"/>
      <w:r>
        <w:t xml:space="preserve">, H. Farmer, G. Feldman, S. Ruiz Fernandez, J. Gottfried, A. </w:t>
      </w:r>
      <w:proofErr w:type="spellStart"/>
      <w:r>
        <w:t>Gourdon</w:t>
      </w:r>
      <w:proofErr w:type="spellEnd"/>
      <w:r>
        <w:t xml:space="preserve">, J. E. </w:t>
      </w:r>
      <w:proofErr w:type="spellStart"/>
      <w:r>
        <w:t>Grahe</w:t>
      </w:r>
      <w:proofErr w:type="spellEnd"/>
      <w:r>
        <w:t xml:space="preserve">, G. J. </w:t>
      </w:r>
      <w:proofErr w:type="spellStart"/>
      <w:r>
        <w:t>Haeffel</w:t>
      </w:r>
      <w:proofErr w:type="spellEnd"/>
      <w:r>
        <w:t xml:space="preserve">, B. Hall, A. Hartanto, E. Henderson, H. </w:t>
      </w:r>
      <w:proofErr w:type="spellStart"/>
      <w:r>
        <w:t>IJzerman</w:t>
      </w:r>
      <w:proofErr w:type="spellEnd"/>
      <w:r>
        <w:t xml:space="preserve">, C. </w:t>
      </w:r>
      <w:proofErr w:type="spellStart"/>
      <w:r>
        <w:t>Isloi</w:t>
      </w:r>
      <w:proofErr w:type="spellEnd"/>
      <w:r>
        <w:t xml:space="preserve">, R. Josiah, P. </w:t>
      </w:r>
      <w:proofErr w:type="spellStart"/>
      <w:r>
        <w:t>Kačmár</w:t>
      </w:r>
      <w:proofErr w:type="spellEnd"/>
      <w:r>
        <w:t xml:space="preserve">, K. </w:t>
      </w:r>
      <w:proofErr w:type="spellStart"/>
      <w:r>
        <w:t>Klevjer</w:t>
      </w:r>
      <w:proofErr w:type="spellEnd"/>
      <w:r>
        <w:t xml:space="preserve">, A. J. </w:t>
      </w:r>
      <w:proofErr w:type="spellStart"/>
      <w:r>
        <w:t>Krafnick</w:t>
      </w:r>
      <w:proofErr w:type="spellEnd"/>
      <w:r>
        <w:t xml:space="preserve">, C. A. Levitan, S. C. Lewis, E. </w:t>
      </w:r>
      <w:proofErr w:type="spellStart"/>
      <w:r>
        <w:t>Magazin</w:t>
      </w:r>
      <w:proofErr w:type="spellEnd"/>
      <w:r>
        <w:t xml:space="preserve">, K. </w:t>
      </w:r>
      <w:proofErr w:type="spellStart"/>
      <w:r>
        <w:t>Massar</w:t>
      </w:r>
      <w:proofErr w:type="spellEnd"/>
      <w:r>
        <w:t xml:space="preserve">, N. Mathis, M. </w:t>
      </w:r>
      <w:proofErr w:type="spellStart"/>
      <w:r>
        <w:t>Milyavskaya</w:t>
      </w:r>
      <w:proofErr w:type="spellEnd"/>
      <w:r>
        <w:t xml:space="preserve">, H. </w:t>
      </w:r>
      <w:proofErr w:type="spellStart"/>
      <w:r>
        <w:t>Moshontz</w:t>
      </w:r>
      <w:proofErr w:type="spellEnd"/>
      <w:r>
        <w:t xml:space="preserve">, D. Moreau, E. D. Musser, A. A. </w:t>
      </w:r>
      <w:proofErr w:type="spellStart"/>
      <w:r>
        <w:t>Özdoğru</w:t>
      </w:r>
      <w:proofErr w:type="spellEnd"/>
      <w:r>
        <w:t xml:space="preserve">, K. </w:t>
      </w:r>
      <w:proofErr w:type="spellStart"/>
      <w:r>
        <w:t>Papaioannou</w:t>
      </w:r>
      <w:proofErr w:type="spellEnd"/>
      <w:r>
        <w:t xml:space="preserve">, G. </w:t>
      </w:r>
      <w:proofErr w:type="spellStart"/>
      <w:r>
        <w:t>Pfuhl</w:t>
      </w:r>
      <w:proofErr w:type="spellEnd"/>
      <w:r>
        <w:t xml:space="preserve">, K. Schmidt, S. </w:t>
      </w:r>
      <w:proofErr w:type="spellStart"/>
      <w:r>
        <w:t>Stieger</w:t>
      </w:r>
      <w:proofErr w:type="spellEnd"/>
      <w:r>
        <w:t xml:space="preserve">, D. Storage, E. </w:t>
      </w:r>
      <w:proofErr w:type="spellStart"/>
      <w:r>
        <w:t>Vergauwe</w:t>
      </w:r>
      <w:proofErr w:type="spellEnd"/>
      <w:r>
        <w:t xml:space="preserve">, K. </w:t>
      </w:r>
      <w:proofErr w:type="spellStart"/>
      <w:r>
        <w:t>Vezirian</w:t>
      </w:r>
      <w:proofErr w:type="spellEnd"/>
      <w:r>
        <w:t xml:space="preserve">, L. Volz, J. Wagge, S. </w:t>
      </w:r>
      <w:proofErr w:type="spellStart"/>
      <w:r>
        <w:t>Weissgerber</w:t>
      </w:r>
      <w:proofErr w:type="spellEnd"/>
      <w:r>
        <w:t xml:space="preserve">, K. M. Werner, P. </w:t>
      </w:r>
      <w:proofErr w:type="spellStart"/>
      <w:r>
        <w:t>Sorokowski</w:t>
      </w:r>
      <w:proofErr w:type="spellEnd"/>
      <w:r>
        <w:t xml:space="preserve"> was </w:t>
      </w:r>
      <w:proofErr w:type="spellStart"/>
      <w:r>
        <w:t>invovled</w:t>
      </w:r>
      <w:proofErr w:type="spellEnd"/>
      <w:r>
        <w:t xml:space="preserve"> in supervision for this project including supervision of student led teams.</w:t>
      </w:r>
    </w:p>
    <w:p w14:paraId="733ED448" w14:textId="77777777" w:rsidR="00E03554" w:rsidRDefault="00DF0CFA">
      <w:pPr>
        <w:spacing w:before="180" w:after="180" w:line="276" w:lineRule="auto"/>
      </w:pPr>
      <w:r>
        <w:t xml:space="preserve">B. </w:t>
      </w:r>
      <w:proofErr w:type="spellStart"/>
      <w:r>
        <w:t>Aczel</w:t>
      </w:r>
      <w:proofErr w:type="spellEnd"/>
      <w:r>
        <w:t xml:space="preserve">, E. </w:t>
      </w:r>
      <w:proofErr w:type="spellStart"/>
      <w:r>
        <w:t>Agadullina</w:t>
      </w:r>
      <w:proofErr w:type="spellEnd"/>
      <w:r>
        <w:t xml:space="preserve">, A. Ahmed, J. Almaraz, L. D. </w:t>
      </w:r>
      <w:proofErr w:type="spellStart"/>
      <w:r>
        <w:t>Cramblet</w:t>
      </w:r>
      <w:proofErr w:type="spellEnd"/>
      <w:r>
        <w:t xml:space="preserve"> Alvarez, M. R. </w:t>
      </w:r>
      <w:proofErr w:type="spellStart"/>
      <w:r>
        <w:t>Andreychik</w:t>
      </w:r>
      <w:proofErr w:type="spellEnd"/>
      <w:r>
        <w:t xml:space="preserve">, V. </w:t>
      </w:r>
      <w:proofErr w:type="spellStart"/>
      <w:r>
        <w:t>Ankushev</w:t>
      </w:r>
      <w:proofErr w:type="spellEnd"/>
      <w:r>
        <w:t xml:space="preserve">, P. Arriaga, D. </w:t>
      </w:r>
      <w:proofErr w:type="spellStart"/>
      <w:r>
        <w:t>Awlia</w:t>
      </w:r>
      <w:proofErr w:type="spellEnd"/>
      <w:r>
        <w:t xml:space="preserve">, J. Baron, K. </w:t>
      </w:r>
      <w:proofErr w:type="spellStart"/>
      <w:r>
        <w:t>Barzykowski</w:t>
      </w:r>
      <w:proofErr w:type="spellEnd"/>
      <w:r>
        <w:t xml:space="preserve">, D. Bastian, C. </w:t>
      </w:r>
      <w:proofErr w:type="spellStart"/>
      <w:r>
        <w:t>Batres</w:t>
      </w:r>
      <w:proofErr w:type="spellEnd"/>
      <w:r>
        <w:t xml:space="preserve">, J. L Beaudry, N. </w:t>
      </w:r>
      <w:proofErr w:type="spellStart"/>
      <w:r>
        <w:t>Bogatyreva</w:t>
      </w:r>
      <w:proofErr w:type="spellEnd"/>
      <w:r>
        <w:t xml:space="preserve">, H. </w:t>
      </w:r>
      <w:proofErr w:type="spellStart"/>
      <w:r>
        <w:t>Branit</w:t>
      </w:r>
      <w:proofErr w:type="spellEnd"/>
      <w:r>
        <w:t xml:space="preserve">, E. M. Buchanan, C. R. Chartier, S. Chen, B. Chiu, S. Crain, W. E. Davis, N. </w:t>
      </w:r>
      <w:proofErr w:type="spellStart"/>
      <w:r>
        <w:t>DeLollo</w:t>
      </w:r>
      <w:proofErr w:type="spellEnd"/>
      <w:r>
        <w:t xml:space="preserve">, J. </w:t>
      </w:r>
      <w:proofErr w:type="spellStart"/>
      <w:r>
        <w:t>Dubis</w:t>
      </w:r>
      <w:proofErr w:type="spellEnd"/>
      <w:r>
        <w:t xml:space="preserve">, A. </w:t>
      </w:r>
      <w:proofErr w:type="spellStart"/>
      <w:r>
        <w:t>Dumbravă</w:t>
      </w:r>
      <w:proofErr w:type="spellEnd"/>
      <w:r>
        <w:t xml:space="preserve">, M. R Dunn, S. </w:t>
      </w:r>
      <w:proofErr w:type="spellStart"/>
      <w:r>
        <w:t>Ďurbisová</w:t>
      </w:r>
      <w:proofErr w:type="spellEnd"/>
      <w:r>
        <w:t xml:space="preserve">, C. </w:t>
      </w:r>
      <w:proofErr w:type="spellStart"/>
      <w:r>
        <w:t>Eckerman</w:t>
      </w:r>
      <w:proofErr w:type="spellEnd"/>
      <w:r>
        <w:t xml:space="preserve">, T. R. Evans, J. </w:t>
      </w:r>
      <w:proofErr w:type="spellStart"/>
      <w:r>
        <w:t>Fahle</w:t>
      </w:r>
      <w:proofErr w:type="spellEnd"/>
      <w:r>
        <w:t xml:space="preserve">, M. </w:t>
      </w:r>
      <w:proofErr w:type="spellStart"/>
      <w:r>
        <w:t>Fallone</w:t>
      </w:r>
      <w:proofErr w:type="spellEnd"/>
      <w:r>
        <w:t xml:space="preserve">, G. Feldman, M. </w:t>
      </w:r>
      <w:proofErr w:type="spellStart"/>
      <w:r>
        <w:t>Fergnani</w:t>
      </w:r>
      <w:proofErr w:type="spellEnd"/>
      <w:r>
        <w:t xml:space="preserve">, S. Ruiz Fernandez, K. Freeney, J. Gottfried, J. E. </w:t>
      </w:r>
      <w:proofErr w:type="spellStart"/>
      <w:r>
        <w:t>Grahe</w:t>
      </w:r>
      <w:proofErr w:type="spellEnd"/>
      <w:r>
        <w:t xml:space="preserve">, A. </w:t>
      </w:r>
      <w:proofErr w:type="spellStart"/>
      <w:r>
        <w:t>Groyecka</w:t>
      </w:r>
      <w:proofErr w:type="spellEnd"/>
      <w:r>
        <w:t xml:space="preserve">-Bernard, G. J. </w:t>
      </w:r>
      <w:proofErr w:type="spellStart"/>
      <w:r>
        <w:t>Haeffel</w:t>
      </w:r>
      <w:proofErr w:type="spellEnd"/>
      <w:r>
        <w:t xml:space="preserve">, N. Hajdu, B. Hall, R. Haneda, A. Hartanto, C. </w:t>
      </w:r>
      <w:proofErr w:type="spellStart"/>
      <w:r>
        <w:t>Hautekiet</w:t>
      </w:r>
      <w:proofErr w:type="spellEnd"/>
      <w:r>
        <w:t xml:space="preserve">, S. Haynie, G. </w:t>
      </w:r>
      <w:proofErr w:type="spellStart"/>
      <w:r>
        <w:t>Heßmann</w:t>
      </w:r>
      <w:proofErr w:type="spellEnd"/>
      <w:r>
        <w:t xml:space="preserve">, S. Howe, P. Howlett, C. </w:t>
      </w:r>
      <w:proofErr w:type="spellStart"/>
      <w:r>
        <w:t>Isloi</w:t>
      </w:r>
      <w:proofErr w:type="spellEnd"/>
      <w:r>
        <w:t xml:space="preserve">, E. Isola, A. Ivanov, C. James, L. Joel, H. Johnson, R. Josiah, P. </w:t>
      </w:r>
      <w:proofErr w:type="spellStart"/>
      <w:r>
        <w:t>Kačmár</w:t>
      </w:r>
      <w:proofErr w:type="spellEnd"/>
      <w:r>
        <w:t xml:space="preserve">, G. </w:t>
      </w:r>
      <w:proofErr w:type="spellStart"/>
      <w:r>
        <w:t>Kalistová</w:t>
      </w:r>
      <w:proofErr w:type="spellEnd"/>
      <w:r>
        <w:t xml:space="preserve">, A. </w:t>
      </w:r>
      <w:proofErr w:type="spellStart"/>
      <w:r>
        <w:t>Keweloh</w:t>
      </w:r>
      <w:proofErr w:type="spellEnd"/>
      <w:r>
        <w:t xml:space="preserve">, F. </w:t>
      </w:r>
      <w:proofErr w:type="spellStart"/>
      <w:r>
        <w:lastRenderedPageBreak/>
        <w:t>Kiunke</w:t>
      </w:r>
      <w:proofErr w:type="spellEnd"/>
      <w:r>
        <w:t xml:space="preserve">, C. </w:t>
      </w:r>
      <w:proofErr w:type="spellStart"/>
      <w:r>
        <w:t>Kolle</w:t>
      </w:r>
      <w:proofErr w:type="spellEnd"/>
      <w:r>
        <w:t xml:space="preserve">, M. Kovacs, M. Kowal, A. J. </w:t>
      </w:r>
      <w:proofErr w:type="spellStart"/>
      <w:r>
        <w:t>Krafnick</w:t>
      </w:r>
      <w:proofErr w:type="spellEnd"/>
      <w:r>
        <w:t xml:space="preserve">, A. </w:t>
      </w:r>
      <w:proofErr w:type="spellStart"/>
      <w:r>
        <w:t>Kulpe</w:t>
      </w:r>
      <w:proofErr w:type="spellEnd"/>
      <w:r>
        <w:t xml:space="preserve">, C. Lamb, F. Larkin, H. Lee, S. T. H. Lee, N. Legate, N. Levy, S. C. Lewis, J. Lomax, E. Lyman, B. </w:t>
      </w:r>
      <w:proofErr w:type="spellStart"/>
      <w:r>
        <w:t>Mackiewicz</w:t>
      </w:r>
      <w:proofErr w:type="spellEnd"/>
      <w:r>
        <w:t xml:space="preserve">, E. </w:t>
      </w:r>
      <w:proofErr w:type="spellStart"/>
      <w:r>
        <w:t>Magazin</w:t>
      </w:r>
      <w:proofErr w:type="spellEnd"/>
      <w:r>
        <w:t xml:space="preserve">, J. </w:t>
      </w:r>
      <w:proofErr w:type="spellStart"/>
      <w:r>
        <w:t>Mandair</w:t>
      </w:r>
      <w:proofErr w:type="spellEnd"/>
      <w:r>
        <w:t xml:space="preserve">, K. </w:t>
      </w:r>
      <w:proofErr w:type="spellStart"/>
      <w:r>
        <w:t>Massar</w:t>
      </w:r>
      <w:proofErr w:type="spellEnd"/>
      <w:r>
        <w:t xml:space="preserve">, N. McShane, J. J. Metz, A. M. Miller, M. </w:t>
      </w:r>
      <w:proofErr w:type="spellStart"/>
      <w:r>
        <w:t>Milyavskaya</w:t>
      </w:r>
      <w:proofErr w:type="spellEnd"/>
      <w:r>
        <w:t xml:space="preserve">, M. </w:t>
      </w:r>
      <w:proofErr w:type="spellStart"/>
      <w:r>
        <w:t>Misiak</w:t>
      </w:r>
      <w:proofErr w:type="spellEnd"/>
      <w:r>
        <w:t xml:space="preserve">, D. Moreau, E. D. Musser, R. </w:t>
      </w:r>
      <w:proofErr w:type="spellStart"/>
      <w:r>
        <w:t>Nashwan</w:t>
      </w:r>
      <w:proofErr w:type="spellEnd"/>
      <w:r>
        <w:t xml:space="preserve">, N. </w:t>
      </w:r>
      <w:proofErr w:type="spellStart"/>
      <w:r>
        <w:t>Ngyuen</w:t>
      </w:r>
      <w:proofErr w:type="spellEnd"/>
      <w:r>
        <w:t xml:space="preserve">, T. </w:t>
      </w:r>
      <w:proofErr w:type="spellStart"/>
      <w:r>
        <w:t>Nitsche</w:t>
      </w:r>
      <w:proofErr w:type="spellEnd"/>
      <w:r>
        <w:t xml:space="preserve">, C. Norwood, E. </w:t>
      </w:r>
      <w:proofErr w:type="spellStart"/>
      <w:r>
        <w:t>Nosáľová</w:t>
      </w:r>
      <w:proofErr w:type="spellEnd"/>
      <w:r>
        <w:t xml:space="preserve">, J. Novak, R. A Ortiz, S. </w:t>
      </w:r>
      <w:proofErr w:type="spellStart"/>
      <w:r>
        <w:t>Özben</w:t>
      </w:r>
      <w:proofErr w:type="spellEnd"/>
      <w:r>
        <w:t xml:space="preserve">, A. A. </w:t>
      </w:r>
      <w:proofErr w:type="spellStart"/>
      <w:r>
        <w:t>Özdoğru</w:t>
      </w:r>
      <w:proofErr w:type="spellEnd"/>
      <w:r>
        <w:t xml:space="preserve">, K. </w:t>
      </w:r>
      <w:proofErr w:type="spellStart"/>
      <w:r>
        <w:t>Papaioannou</w:t>
      </w:r>
      <w:proofErr w:type="spellEnd"/>
      <w:r>
        <w:t xml:space="preserve">, F. </w:t>
      </w:r>
      <w:proofErr w:type="spellStart"/>
      <w:r>
        <w:t>Pernerstofer</w:t>
      </w:r>
      <w:proofErr w:type="spellEnd"/>
      <w:r>
        <w:t xml:space="preserve">, G. </w:t>
      </w:r>
      <w:proofErr w:type="spellStart"/>
      <w:r>
        <w:t>Pfuhl</w:t>
      </w:r>
      <w:proofErr w:type="spellEnd"/>
      <w:r>
        <w:t xml:space="preserve">, H. Phung, L. </w:t>
      </w:r>
      <w:proofErr w:type="spellStart"/>
      <w:r>
        <w:t>Potočár</w:t>
      </w:r>
      <w:proofErr w:type="spellEnd"/>
      <w:r>
        <w:t xml:space="preserve">, D. </w:t>
      </w:r>
      <w:proofErr w:type="spellStart"/>
      <w:r>
        <w:t>Prchalová</w:t>
      </w:r>
      <w:proofErr w:type="spellEnd"/>
      <w:r>
        <w:t xml:space="preserve">, I. </w:t>
      </w:r>
      <w:proofErr w:type="spellStart"/>
      <w:r>
        <w:t>Prusova</w:t>
      </w:r>
      <w:proofErr w:type="spellEnd"/>
      <w:r>
        <w:t xml:space="preserve">, T. Richardson, F. </w:t>
      </w:r>
      <w:proofErr w:type="spellStart"/>
      <w:r>
        <w:t>Rittgarn</w:t>
      </w:r>
      <w:proofErr w:type="spellEnd"/>
      <w:r>
        <w:t xml:space="preserve">, M. Romanova, R. M. Ross, S. Sanchez, K. Schmidt, J. </w:t>
      </w:r>
      <w:proofErr w:type="spellStart"/>
      <w:r>
        <w:t>Schrötter</w:t>
      </w:r>
      <w:proofErr w:type="spellEnd"/>
      <w:r>
        <w:t xml:space="preserve">, B. Sears, S. Shah, A. </w:t>
      </w:r>
      <w:proofErr w:type="spellStart"/>
      <w:r>
        <w:t>Sorokowska</w:t>
      </w:r>
      <w:proofErr w:type="spellEnd"/>
      <w:r>
        <w:t xml:space="preserve">, I. </w:t>
      </w:r>
      <w:proofErr w:type="spellStart"/>
      <w:r>
        <w:t>Srieva</w:t>
      </w:r>
      <w:proofErr w:type="spellEnd"/>
      <w:r>
        <w:t xml:space="preserve">, I. D Stephen, S. </w:t>
      </w:r>
      <w:proofErr w:type="spellStart"/>
      <w:r>
        <w:t>Stieger</w:t>
      </w:r>
      <w:proofErr w:type="spellEnd"/>
      <w:r>
        <w:t xml:space="preserve">, D. Storage, P. </w:t>
      </w:r>
      <w:proofErr w:type="spellStart"/>
      <w:r>
        <w:t>Szecsi</w:t>
      </w:r>
      <w:proofErr w:type="spellEnd"/>
      <w:r>
        <w:t xml:space="preserve">, E. Takacs, J. N. Teeter, M. </w:t>
      </w:r>
      <w:proofErr w:type="spellStart"/>
      <w:r>
        <w:t>Terskova</w:t>
      </w:r>
      <w:proofErr w:type="spellEnd"/>
      <w:r>
        <w:t xml:space="preserve">, S. </w:t>
      </w:r>
      <w:proofErr w:type="spellStart"/>
      <w:r>
        <w:t>Thelen</w:t>
      </w:r>
      <w:proofErr w:type="spellEnd"/>
      <w:r>
        <w:t xml:space="preserve">, A. </w:t>
      </w:r>
      <w:proofErr w:type="spellStart"/>
      <w:r>
        <w:t>Tkalich</w:t>
      </w:r>
      <w:proofErr w:type="spellEnd"/>
      <w:r>
        <w:t xml:space="preserve">, B. Gomez-Torres, U. S. Tran, E. </w:t>
      </w:r>
      <w:proofErr w:type="spellStart"/>
      <w:r>
        <w:t>Vergauwe</w:t>
      </w:r>
      <w:proofErr w:type="spellEnd"/>
      <w:r>
        <w:t xml:space="preserve">, I. Donga </w:t>
      </w:r>
      <w:proofErr w:type="spellStart"/>
      <w:r>
        <w:t>Vilares</w:t>
      </w:r>
      <w:proofErr w:type="spellEnd"/>
      <w:r>
        <w:t xml:space="preserve">, L. </w:t>
      </w:r>
      <w:proofErr w:type="spellStart"/>
      <w:r>
        <w:t>Villafana</w:t>
      </w:r>
      <w:proofErr w:type="spellEnd"/>
      <w:r>
        <w:t xml:space="preserve">, L. Volz, M. </w:t>
      </w:r>
      <w:proofErr w:type="spellStart"/>
      <w:r>
        <w:t>Voracek</w:t>
      </w:r>
      <w:proofErr w:type="spellEnd"/>
      <w:r>
        <w:t xml:space="preserve">, J. Wagge, M. Walsh, V. </w:t>
      </w:r>
      <w:proofErr w:type="spellStart"/>
      <w:r>
        <w:t>Webersberger</w:t>
      </w:r>
      <w:proofErr w:type="spellEnd"/>
      <w:r>
        <w:t xml:space="preserve">, S. </w:t>
      </w:r>
      <w:proofErr w:type="spellStart"/>
      <w:r>
        <w:t>Weissgerber</w:t>
      </w:r>
      <w:proofErr w:type="spellEnd"/>
      <w:r>
        <w:t xml:space="preserve">, H. Welch, K. M. Werner, R. Wu, A. </w:t>
      </w:r>
      <w:proofErr w:type="spellStart"/>
      <w:r>
        <w:t>Ziółkowski</w:t>
      </w:r>
      <w:proofErr w:type="spellEnd"/>
      <w:r>
        <w:t xml:space="preserve">, R. R Ribeiro, P. </w:t>
      </w:r>
      <w:proofErr w:type="spellStart"/>
      <w:r>
        <w:t>Sorokowski</w:t>
      </w:r>
      <w:proofErr w:type="spellEnd"/>
      <w:r>
        <w:t xml:space="preserve">, A. S. </w:t>
      </w:r>
      <w:proofErr w:type="spellStart"/>
      <w:r>
        <w:t>Rathnayake</w:t>
      </w:r>
      <w:proofErr w:type="spellEnd"/>
      <w:r>
        <w:t>, E. Hugh Thiele-Evans contributed to the data collection and investigation.</w:t>
      </w:r>
    </w:p>
    <w:p w14:paraId="4C62D062" w14:textId="77777777" w:rsidR="00E03554" w:rsidRDefault="00DF0CFA">
      <w:pPr>
        <w:spacing w:before="180" w:after="180" w:line="276" w:lineRule="auto"/>
      </w:pPr>
      <w:r>
        <w:t xml:space="preserve">M. R. </w:t>
      </w:r>
      <w:proofErr w:type="spellStart"/>
      <w:r>
        <w:t>Andreychik</w:t>
      </w:r>
      <w:proofErr w:type="spellEnd"/>
      <w:r>
        <w:t xml:space="preserve">, M. J. Brandt, E. M. Buchanan, C. R. Chartier, S. Chen, F. Cova, J. E. </w:t>
      </w:r>
      <w:proofErr w:type="spellStart"/>
      <w:r>
        <w:t>Grahe</w:t>
      </w:r>
      <w:proofErr w:type="spellEnd"/>
      <w:r>
        <w:t xml:space="preserve">, B. Hall, H. </w:t>
      </w:r>
      <w:proofErr w:type="spellStart"/>
      <w:r>
        <w:t>IJzerman</w:t>
      </w:r>
      <w:proofErr w:type="spellEnd"/>
      <w:r>
        <w:t xml:space="preserve">, K. Larkin, H. </w:t>
      </w:r>
      <w:proofErr w:type="spellStart"/>
      <w:r>
        <w:t>Moshontz</w:t>
      </w:r>
      <w:proofErr w:type="spellEnd"/>
      <w:r>
        <w:t xml:space="preserve">, E. D. Musser, A. A. </w:t>
      </w:r>
      <w:proofErr w:type="spellStart"/>
      <w:r>
        <w:t>Özdoğru</w:t>
      </w:r>
      <w:proofErr w:type="spellEnd"/>
      <w:r>
        <w:t xml:space="preserve">, G. </w:t>
      </w:r>
      <w:proofErr w:type="spellStart"/>
      <w:r>
        <w:t>Pfuhl</w:t>
      </w:r>
      <w:proofErr w:type="spellEnd"/>
      <w:r>
        <w:t xml:space="preserve">, S. </w:t>
      </w:r>
      <w:proofErr w:type="spellStart"/>
      <w:r>
        <w:t>Stieger</w:t>
      </w:r>
      <w:proofErr w:type="spellEnd"/>
      <w:r>
        <w:t xml:space="preserve">, U. S. Tran, E. </w:t>
      </w:r>
      <w:proofErr w:type="spellStart"/>
      <w:r>
        <w:t>Vergauwe</w:t>
      </w:r>
      <w:proofErr w:type="spellEnd"/>
      <w:r>
        <w:t xml:space="preserve">, J. Wagge, S. </w:t>
      </w:r>
      <w:proofErr w:type="spellStart"/>
      <w:r>
        <w:t>Weissgerber</w:t>
      </w:r>
      <w:proofErr w:type="spellEnd"/>
      <w:r>
        <w:t>, K. M. Werner contributed to methodology for the project.</w:t>
      </w:r>
    </w:p>
    <w:p w14:paraId="05E10DC1" w14:textId="77777777" w:rsidR="00E03554" w:rsidRDefault="00DF0CFA">
      <w:pPr>
        <w:spacing w:before="180" w:after="180" w:line="276" w:lineRule="auto"/>
      </w:pPr>
      <w:r>
        <w:t xml:space="preserve">E. M. Buchanan, C. R. Chartier, H. </w:t>
      </w:r>
      <w:proofErr w:type="spellStart"/>
      <w:r>
        <w:t>Moshontz</w:t>
      </w:r>
      <w:proofErr w:type="spellEnd"/>
      <w:r>
        <w:t xml:space="preserve">, G. </w:t>
      </w:r>
      <w:proofErr w:type="spellStart"/>
      <w:r>
        <w:t>Pfuhl</w:t>
      </w:r>
      <w:proofErr w:type="spellEnd"/>
      <w:r>
        <w:t xml:space="preserve">, S. Sanchez, J. Wagge, S. </w:t>
      </w:r>
      <w:proofErr w:type="spellStart"/>
      <w:r>
        <w:t>Weissgerber</w:t>
      </w:r>
      <w:proofErr w:type="spellEnd"/>
      <w:r>
        <w:t xml:space="preserve">, J. Philipp </w:t>
      </w:r>
      <w:proofErr w:type="spellStart"/>
      <w:r>
        <w:t>Röer</w:t>
      </w:r>
      <w:proofErr w:type="spellEnd"/>
      <w:r>
        <w:t xml:space="preserve"> contributed to resources for this project.</w:t>
      </w:r>
    </w:p>
    <w:p w14:paraId="25D969E6" w14:textId="77777777" w:rsidR="00E03554" w:rsidRDefault="00DF0CFA">
      <w:pPr>
        <w:spacing w:before="180" w:after="180" w:line="276" w:lineRule="auto"/>
      </w:pPr>
      <w:r>
        <w:t xml:space="preserve">S. </w:t>
      </w:r>
      <w:proofErr w:type="spellStart"/>
      <w:r>
        <w:t>Adamus</w:t>
      </w:r>
      <w:proofErr w:type="spellEnd"/>
      <w:r>
        <w:t xml:space="preserve">, X. Alexi </w:t>
      </w:r>
      <w:proofErr w:type="spellStart"/>
      <w:r>
        <w:t>Vassiliou</w:t>
      </w:r>
      <w:proofErr w:type="spellEnd"/>
      <w:r>
        <w:t xml:space="preserve">, P. Arriaga, K. </w:t>
      </w:r>
      <w:proofErr w:type="spellStart"/>
      <w:r>
        <w:t>Barzykowski</w:t>
      </w:r>
      <w:proofErr w:type="spellEnd"/>
      <w:r>
        <w:t xml:space="preserve">, N. </w:t>
      </w:r>
      <w:proofErr w:type="spellStart"/>
      <w:r>
        <w:t>Bogatyreva</w:t>
      </w:r>
      <w:proofErr w:type="spellEnd"/>
      <w:r>
        <w:t xml:space="preserve">, M. </w:t>
      </w:r>
      <w:proofErr w:type="spellStart"/>
      <w:r>
        <w:t>Bognar</w:t>
      </w:r>
      <w:proofErr w:type="spellEnd"/>
      <w:r>
        <w:t xml:space="preserve">, L. </w:t>
      </w:r>
      <w:proofErr w:type="spellStart"/>
      <w:r>
        <w:t>Brouder</w:t>
      </w:r>
      <w:proofErr w:type="spellEnd"/>
      <w:r>
        <w:t xml:space="preserve">, C. Cong, F. Cova, A. </w:t>
      </w:r>
      <w:proofErr w:type="spellStart"/>
      <w:r>
        <w:t>Dumbravă</w:t>
      </w:r>
      <w:proofErr w:type="spellEnd"/>
      <w:r>
        <w:t xml:space="preserve">, S. </w:t>
      </w:r>
      <w:proofErr w:type="spellStart"/>
      <w:r>
        <w:t>Ďurbisová</w:t>
      </w:r>
      <w:proofErr w:type="spellEnd"/>
      <w:r>
        <w:t xml:space="preserve">, T. R. Evans, M. </w:t>
      </w:r>
      <w:proofErr w:type="spellStart"/>
      <w:r>
        <w:t>Fergnani</w:t>
      </w:r>
      <w:proofErr w:type="spellEnd"/>
      <w:r>
        <w:t xml:space="preserve">, S. Ruiz Fernandez, H. Godbersen, K. </w:t>
      </w:r>
      <w:proofErr w:type="spellStart"/>
      <w:r>
        <w:t>Golik</w:t>
      </w:r>
      <w:proofErr w:type="spellEnd"/>
      <w:r>
        <w:t xml:space="preserve">, A. Graton, C. </w:t>
      </w:r>
      <w:proofErr w:type="spellStart"/>
      <w:r>
        <w:t>Hautekiet</w:t>
      </w:r>
      <w:proofErr w:type="spellEnd"/>
      <w:r>
        <w:t xml:space="preserve">, C. </w:t>
      </w:r>
      <w:proofErr w:type="spellStart"/>
      <w:r>
        <w:t>Isloi</w:t>
      </w:r>
      <w:proofErr w:type="spellEnd"/>
      <w:r>
        <w:t xml:space="preserve">, R. </w:t>
      </w:r>
      <w:proofErr w:type="spellStart"/>
      <w:r>
        <w:t>Kabut</w:t>
      </w:r>
      <w:proofErr w:type="spellEnd"/>
      <w:r>
        <w:t xml:space="preserve">, P. </w:t>
      </w:r>
      <w:proofErr w:type="spellStart"/>
      <w:r>
        <w:t>Kačmár</w:t>
      </w:r>
      <w:proofErr w:type="spellEnd"/>
      <w:r>
        <w:t xml:space="preserve">, J. </w:t>
      </w:r>
      <w:proofErr w:type="spellStart"/>
      <w:r>
        <w:t>Kielinska</w:t>
      </w:r>
      <w:proofErr w:type="spellEnd"/>
      <w:r>
        <w:t xml:space="preserve">, K. </w:t>
      </w:r>
      <w:proofErr w:type="spellStart"/>
      <w:r>
        <w:t>Klevjer</w:t>
      </w:r>
      <w:proofErr w:type="spellEnd"/>
      <w:r>
        <w:t xml:space="preserve">, M. Kovacs, M. Kowal, A. J. </w:t>
      </w:r>
      <w:proofErr w:type="spellStart"/>
      <w:r>
        <w:t>Krafnick</w:t>
      </w:r>
      <w:proofErr w:type="spellEnd"/>
      <w:r>
        <w:t xml:space="preserve">, E. M. Larsen, S. C. Lewis, J. G. Lu, P. </w:t>
      </w:r>
      <w:proofErr w:type="spellStart"/>
      <w:r>
        <w:t>Lubomski</w:t>
      </w:r>
      <w:proofErr w:type="spellEnd"/>
      <w:r>
        <w:t xml:space="preserve">, M. </w:t>
      </w:r>
      <w:proofErr w:type="spellStart"/>
      <w:r>
        <w:t>Mækelæ</w:t>
      </w:r>
      <w:proofErr w:type="spellEnd"/>
      <w:r>
        <w:t xml:space="preserve">, J. J. Metz, R. Elana Morariu, R. </w:t>
      </w:r>
      <w:proofErr w:type="spellStart"/>
      <w:r>
        <w:t>Nashwan</w:t>
      </w:r>
      <w:proofErr w:type="spellEnd"/>
      <w:r>
        <w:t xml:space="preserve">, E. </w:t>
      </w:r>
      <w:proofErr w:type="spellStart"/>
      <w:r>
        <w:t>Nosáľová</w:t>
      </w:r>
      <w:proofErr w:type="spellEnd"/>
      <w:r>
        <w:t xml:space="preserve">, S. </w:t>
      </w:r>
      <w:proofErr w:type="spellStart"/>
      <w:r>
        <w:t>Özben</w:t>
      </w:r>
      <w:proofErr w:type="spellEnd"/>
      <w:r>
        <w:t xml:space="preserve">, A. A. </w:t>
      </w:r>
      <w:proofErr w:type="spellStart"/>
      <w:r>
        <w:t>Özdoğru</w:t>
      </w:r>
      <w:proofErr w:type="spellEnd"/>
      <w:r>
        <w:t xml:space="preserve">, M. </w:t>
      </w:r>
      <w:proofErr w:type="spellStart"/>
      <w:r>
        <w:t>Pantazi</w:t>
      </w:r>
      <w:proofErr w:type="spellEnd"/>
      <w:r>
        <w:t xml:space="preserve">, K. </w:t>
      </w:r>
      <w:proofErr w:type="spellStart"/>
      <w:r>
        <w:t>Papaioannou</w:t>
      </w:r>
      <w:proofErr w:type="spellEnd"/>
      <w:r>
        <w:t xml:space="preserve">, S. Parks Story, F. </w:t>
      </w:r>
      <w:proofErr w:type="spellStart"/>
      <w:r>
        <w:t>Pernerstofer</w:t>
      </w:r>
      <w:proofErr w:type="spellEnd"/>
      <w:r>
        <w:t xml:space="preserve">, G. </w:t>
      </w:r>
      <w:proofErr w:type="spellStart"/>
      <w:r>
        <w:t>Pfuhl</w:t>
      </w:r>
      <w:proofErr w:type="spellEnd"/>
      <w:r>
        <w:t xml:space="preserve">, A. Popa, E. </w:t>
      </w:r>
      <w:proofErr w:type="spellStart"/>
      <w:r>
        <w:t>Pronizius</w:t>
      </w:r>
      <w:proofErr w:type="spellEnd"/>
      <w:r>
        <w:t xml:space="preserve">, W. M. Sampaio, K. Schmidt, J. </w:t>
      </w:r>
      <w:proofErr w:type="spellStart"/>
      <w:r>
        <w:t>Schrötter</w:t>
      </w:r>
      <w:proofErr w:type="spellEnd"/>
      <w:r>
        <w:t>, M. Schulte-</w:t>
      </w:r>
      <w:proofErr w:type="spellStart"/>
      <w:r>
        <w:t>Mecklenbeck</w:t>
      </w:r>
      <w:proofErr w:type="spellEnd"/>
      <w:r>
        <w:t xml:space="preserve">, Z. </w:t>
      </w:r>
      <w:proofErr w:type="spellStart"/>
      <w:r>
        <w:t>Szekely</w:t>
      </w:r>
      <w:proofErr w:type="spellEnd"/>
      <w:r>
        <w:t xml:space="preserve">, M. </w:t>
      </w:r>
      <w:proofErr w:type="spellStart"/>
      <w:r>
        <w:t>Terskova</w:t>
      </w:r>
      <w:proofErr w:type="spellEnd"/>
      <w:r>
        <w:t xml:space="preserve">, J. </w:t>
      </w:r>
      <w:proofErr w:type="spellStart"/>
      <w:r>
        <w:t>Valeiro-Paterlini</w:t>
      </w:r>
      <w:proofErr w:type="spellEnd"/>
      <w:r>
        <w:t xml:space="preserve">, K. </w:t>
      </w:r>
      <w:proofErr w:type="spellStart"/>
      <w:r>
        <w:t>Vezirian</w:t>
      </w:r>
      <w:proofErr w:type="spellEnd"/>
      <w:r>
        <w:t xml:space="preserve">, K. Wang, S. </w:t>
      </w:r>
      <w:proofErr w:type="spellStart"/>
      <w:r>
        <w:t>Weissgerber</w:t>
      </w:r>
      <w:proofErr w:type="spellEnd"/>
      <w:r>
        <w:t xml:space="preserve">, G. Zeynep </w:t>
      </w:r>
      <w:proofErr w:type="spellStart"/>
      <w:r>
        <w:t>Tarman</w:t>
      </w:r>
      <w:proofErr w:type="spellEnd"/>
      <w:r>
        <w:t xml:space="preserve">, A. </w:t>
      </w:r>
      <w:proofErr w:type="spellStart"/>
      <w:r>
        <w:t>Ziółkowski</w:t>
      </w:r>
      <w:proofErr w:type="spellEnd"/>
      <w:r>
        <w:t xml:space="preserve">, M. Doyle, J. Philipp </w:t>
      </w:r>
      <w:proofErr w:type="spellStart"/>
      <w:r>
        <w:t>Röer</w:t>
      </w:r>
      <w:proofErr w:type="spellEnd"/>
      <w:r>
        <w:t>, Q. Xiao contributed to the translation for materials for this project.</w:t>
      </w:r>
    </w:p>
    <w:p w14:paraId="20C06CA8" w14:textId="77777777" w:rsidR="00E03554" w:rsidRDefault="00DF0CFA">
      <w:pPr>
        <w:spacing w:before="180" w:after="180" w:line="276" w:lineRule="auto"/>
      </w:pPr>
      <w:r>
        <w:t xml:space="preserve">E. M. Buchanan, A. Croft, A. Danvers, F. </w:t>
      </w:r>
      <w:proofErr w:type="spellStart"/>
      <w:r>
        <w:t>Kiunke</w:t>
      </w:r>
      <w:proofErr w:type="spellEnd"/>
      <w:r>
        <w:t xml:space="preserve">, S. Sanchez, S. </w:t>
      </w:r>
      <w:proofErr w:type="spellStart"/>
      <w:r>
        <w:t>Weissgerber</w:t>
      </w:r>
      <w:proofErr w:type="spellEnd"/>
      <w:r>
        <w:t xml:space="preserve"> contributed survey software and coding for this project.</w:t>
      </w:r>
    </w:p>
    <w:p w14:paraId="1115232E" w14:textId="77777777" w:rsidR="00E03554" w:rsidRDefault="00DF0CFA">
      <w:pPr>
        <w:spacing w:before="180" w:after="180" w:line="276" w:lineRule="auto"/>
      </w:pPr>
      <w:r>
        <w:t>E. M. Buchanan contributed validation of the analyses.</w:t>
      </w:r>
    </w:p>
    <w:p w14:paraId="72F34D63" w14:textId="77777777" w:rsidR="00E03554" w:rsidRDefault="00DF0CFA">
      <w:pPr>
        <w:spacing w:line="276" w:lineRule="auto"/>
      </w:pPr>
      <w:r>
        <w:t xml:space="preserve">E. M. Buchanan, G. </w:t>
      </w:r>
      <w:proofErr w:type="spellStart"/>
      <w:r>
        <w:t>Pfuhl</w:t>
      </w:r>
      <w:proofErr w:type="spellEnd"/>
      <w:r>
        <w:t xml:space="preserve">, Q. Xiao contributed to the visualization of data and analyses. </w:t>
      </w:r>
    </w:p>
    <w:p w14:paraId="7AECB936" w14:textId="77777777" w:rsidR="00E03554" w:rsidRDefault="00E03554">
      <w:pPr>
        <w:spacing w:line="276" w:lineRule="auto"/>
        <w:rPr>
          <w:rFonts w:ascii="Arial" w:eastAsia="Arial" w:hAnsi="Arial" w:cs="Arial"/>
          <w:sz w:val="22"/>
          <w:szCs w:val="22"/>
        </w:rPr>
      </w:pPr>
    </w:p>
    <w:p w14:paraId="668A3C55" w14:textId="77777777" w:rsidR="00E03554" w:rsidRDefault="00DF0CFA">
      <w:pPr>
        <w:pStyle w:val="Heading2"/>
        <w:rPr>
          <w:color w:val="000000"/>
        </w:rPr>
      </w:pPr>
      <w:bookmarkStart w:id="53" w:name="_l5ujeqgu0z1e" w:colFirst="0" w:colLast="0"/>
      <w:bookmarkEnd w:id="53"/>
      <w:r>
        <w:rPr>
          <w:color w:val="000000"/>
        </w:rPr>
        <w:lastRenderedPageBreak/>
        <w:t>Conflicts of Interest</w:t>
      </w:r>
    </w:p>
    <w:p w14:paraId="6039827C" w14:textId="77777777" w:rsidR="00E03554" w:rsidRDefault="00DF0CFA">
      <w:pPr>
        <w:spacing w:after="160"/>
      </w:pPr>
      <w:r>
        <w:t>The author(s) declare that there were no conflicts of interest with respect to the authorship or the publication of this article.</w:t>
      </w:r>
    </w:p>
    <w:p w14:paraId="194FC7AF" w14:textId="77777777" w:rsidR="00E03554" w:rsidRDefault="00DF0CFA">
      <w:pPr>
        <w:pStyle w:val="Heading2"/>
        <w:rPr>
          <w:color w:val="000000"/>
        </w:rPr>
      </w:pPr>
      <w:bookmarkStart w:id="54" w:name="_9bsw9ve90fcf" w:colFirst="0" w:colLast="0"/>
      <w:bookmarkEnd w:id="54"/>
      <w:r>
        <w:rPr>
          <w:color w:val="000000"/>
        </w:rPr>
        <w:t>Funding</w:t>
      </w:r>
    </w:p>
    <w:p w14:paraId="24AC48FC" w14:textId="77777777" w:rsidR="00E03554" w:rsidRDefault="00DF0CFA">
      <w:pPr>
        <w:spacing w:before="180" w:after="180" w:line="276" w:lineRule="auto"/>
      </w:pPr>
      <w:r>
        <w:t>P. Arriaga was supported by UID/PSI/03125/2019 from the Portuguese National Foundation for Science and Technology (FCT)</w:t>
      </w:r>
    </w:p>
    <w:p w14:paraId="0078BF2C" w14:textId="77777777" w:rsidR="00E03554" w:rsidRDefault="00DF0CFA">
      <w:pPr>
        <w:spacing w:before="180" w:after="180" w:line="276" w:lineRule="auto"/>
      </w:pPr>
      <w:r>
        <w:t xml:space="preserve">K. </w:t>
      </w:r>
      <w:proofErr w:type="spellStart"/>
      <w:r>
        <w:t>Barzykowski</w:t>
      </w:r>
      <w:proofErr w:type="spellEnd"/>
      <w:r>
        <w:t xml:space="preserve"> was supported by the National Science Centre, Poland [No.: 2015/19/D/HS6/00641; 2019/35/B/HS6/00528]. </w:t>
      </w:r>
    </w:p>
    <w:p w14:paraId="334AA35F" w14:textId="77777777" w:rsidR="00E03554" w:rsidRDefault="00DF0CFA">
      <w:pPr>
        <w:spacing w:before="180" w:after="180" w:line="276" w:lineRule="auto"/>
      </w:pPr>
      <w:r>
        <w:t>N. Levy was supported by Australian Research Council DP180102384</w:t>
      </w:r>
    </w:p>
    <w:p w14:paraId="516A49AE" w14:textId="77777777" w:rsidR="00E03554" w:rsidRDefault="00DF0CFA">
      <w:pPr>
        <w:spacing w:before="180" w:after="180" w:line="276" w:lineRule="auto"/>
      </w:pPr>
      <w:r>
        <w:t xml:space="preserve">M. </w:t>
      </w:r>
      <w:proofErr w:type="spellStart"/>
      <w:r>
        <w:t>Misiak</w:t>
      </w:r>
      <w:proofErr w:type="spellEnd"/>
      <w:r>
        <w:t xml:space="preserve"> was supported by the scholarship of the National Science Centre (2020/36/T/HS6/00256) and by the Scientific Excellence Incubator of the University of Wroclaw – Being Human.</w:t>
      </w:r>
    </w:p>
    <w:p w14:paraId="75997934" w14:textId="77777777" w:rsidR="00E03554" w:rsidRDefault="00DF0CFA">
      <w:pPr>
        <w:spacing w:before="180" w:after="180" w:line="276" w:lineRule="auto"/>
      </w:pPr>
      <w:r>
        <w:t>E. D. Musser was supported by K23MH117280 from the National Institute of Mental Health.</w:t>
      </w:r>
    </w:p>
    <w:p w14:paraId="1BCBB215" w14:textId="77777777" w:rsidR="00E03554" w:rsidRDefault="00DF0CFA">
      <w:pPr>
        <w:spacing w:before="180" w:after="180" w:line="276" w:lineRule="auto"/>
      </w:pPr>
      <w:r>
        <w:t xml:space="preserve">A. </w:t>
      </w:r>
      <w:proofErr w:type="spellStart"/>
      <w:r>
        <w:t>Sorokowska</w:t>
      </w:r>
      <w:proofErr w:type="spellEnd"/>
      <w:r>
        <w:t xml:space="preserve"> was supported by the Scientific Excellence Incubator of the University of Wroclaw – Being Human.</w:t>
      </w:r>
    </w:p>
    <w:p w14:paraId="707BA292" w14:textId="77777777" w:rsidR="00E03554" w:rsidRDefault="00DF0CFA">
      <w:pPr>
        <w:spacing w:before="180" w:after="180" w:line="276" w:lineRule="auto"/>
      </w:pPr>
      <w:r>
        <w:t>K. M. Werner was supported by a Banting Postdoctoral Research Fellowship awarded by the Social Sciences and Humanities Research Council of Canada (SSHRC).</w:t>
      </w:r>
    </w:p>
    <w:p w14:paraId="5218BE2A" w14:textId="77777777" w:rsidR="00E03554" w:rsidRDefault="00DF0CFA">
      <w:pPr>
        <w:spacing w:before="180" w:after="180" w:line="276" w:lineRule="auto"/>
      </w:pPr>
      <w:r>
        <w:t>R. R. Ribeiro was supported by UID/PSI/03125/2019 from the Portuguese National Foundation for Science and Technology (FCT).</w:t>
      </w:r>
    </w:p>
    <w:p w14:paraId="1A44264E" w14:textId="77777777" w:rsidR="00E03554" w:rsidRDefault="00DF0CFA">
      <w:pPr>
        <w:spacing w:before="180" w:after="180" w:line="276" w:lineRule="auto"/>
      </w:pPr>
      <w:r>
        <w:t xml:space="preserve">P. </w:t>
      </w:r>
      <w:proofErr w:type="spellStart"/>
      <w:r>
        <w:t>Sorokowski</w:t>
      </w:r>
      <w:proofErr w:type="spellEnd"/>
      <w:r>
        <w:t xml:space="preserve"> was supported by IDN Being Human Lab (University of </w:t>
      </w:r>
      <w:proofErr w:type="spellStart"/>
      <w:r>
        <w:t>Wrocław</w:t>
      </w:r>
      <w:proofErr w:type="spellEnd"/>
      <w:r>
        <w:t>).</w:t>
      </w:r>
    </w:p>
    <w:p w14:paraId="437E3808" w14:textId="77777777" w:rsidR="00E03554" w:rsidRDefault="00E03554">
      <w:pPr>
        <w:spacing w:after="160"/>
      </w:pPr>
    </w:p>
    <w:p w14:paraId="5C385F80" w14:textId="77777777" w:rsidR="00E03554" w:rsidRDefault="00DF0CFA">
      <w:pPr>
        <w:pStyle w:val="Heading2"/>
        <w:rPr>
          <w:color w:val="000000"/>
        </w:rPr>
      </w:pPr>
      <w:bookmarkStart w:id="55" w:name="_dsek0815c91u" w:colFirst="0" w:colLast="0"/>
      <w:bookmarkEnd w:id="55"/>
      <w:r>
        <w:rPr>
          <w:color w:val="000000"/>
        </w:rPr>
        <w:t>Supplemental Material</w:t>
      </w:r>
    </w:p>
    <w:p w14:paraId="79B48E1C" w14:textId="77777777" w:rsidR="00E03554" w:rsidRDefault="00DF0CFA">
      <w:pPr>
        <w:spacing w:after="160"/>
      </w:pPr>
      <w:r>
        <w:t xml:space="preserve">Supplemental materials include the provisionally accepted version of the manuscript (Appendix A), and study materials: vignettes and dependent variable questions (Appendix B); covariate, demographic, and exclusion questions (Appendix C); open response coding instructions and details (Appendix D); and the vignette used in the expertise extension (Appendix E). </w:t>
      </w:r>
    </w:p>
    <w:p w14:paraId="1EBCB57F" w14:textId="77777777" w:rsidR="00E03554" w:rsidRDefault="00DF0CFA">
      <w:pPr>
        <w:pStyle w:val="Heading2"/>
        <w:rPr>
          <w:color w:val="000000"/>
        </w:rPr>
      </w:pPr>
      <w:bookmarkStart w:id="56" w:name="_qhquagdrqjcp" w:colFirst="0" w:colLast="0"/>
      <w:bookmarkEnd w:id="56"/>
      <w:r>
        <w:rPr>
          <w:color w:val="000000"/>
        </w:rPr>
        <w:lastRenderedPageBreak/>
        <w:t>Prior Versions</w:t>
      </w:r>
    </w:p>
    <w:p w14:paraId="488B7D36" w14:textId="54C3E20C" w:rsidR="00455E2B" w:rsidRDefault="00DF0CFA">
      <w:pPr>
        <w:spacing w:after="160"/>
      </w:pPr>
      <w:r>
        <w:t xml:space="preserve">The provisionally accepted Stage 1 version of this manuscript was posted as a preprint at </w:t>
      </w:r>
      <w:hyperlink r:id="rId26">
        <w:r>
          <w:rPr>
            <w:color w:val="1155CC"/>
            <w:u w:val="single"/>
          </w:rPr>
          <w:t>https://psyarxiv.com/zeux9/</w:t>
        </w:r>
      </w:hyperlink>
      <w:r>
        <w:t xml:space="preserve"> and can also be found in Appendix A</w:t>
      </w:r>
      <w:r>
        <w:rPr>
          <w:color w:val="000000"/>
        </w:rPr>
        <w:t>. The introduction</w:t>
      </w:r>
      <w:r>
        <w:t xml:space="preserve"> was restructured and edited for clarity. The methods section was rewritten to increase accuracy and conformity to reporting norms. The analysis plan was revised to correct errors and correspond to features of the data.</w:t>
      </w:r>
    </w:p>
    <w:p w14:paraId="79C3C212" w14:textId="77777777" w:rsidR="00455E2B" w:rsidRDefault="00455E2B">
      <w:r>
        <w:br w:type="page"/>
      </w:r>
    </w:p>
    <w:p w14:paraId="0ACB5864" w14:textId="499529D4" w:rsidR="00455E2B" w:rsidRDefault="00455E2B" w:rsidP="00455E2B">
      <w:pPr>
        <w:shd w:val="clear" w:color="auto" w:fill="auto"/>
        <w:ind w:left="720" w:hanging="720"/>
        <w:jc w:val="center"/>
        <w:rPr>
          <w:color w:val="333333"/>
          <w:shd w:val="clear" w:color="auto" w:fill="FFFFFF"/>
          <w:lang w:val="en-US"/>
        </w:rPr>
      </w:pPr>
      <w:r>
        <w:rPr>
          <w:color w:val="333333"/>
          <w:shd w:val="clear" w:color="auto" w:fill="FFFFFF"/>
          <w:lang w:val="en-US"/>
        </w:rPr>
        <w:lastRenderedPageBreak/>
        <w:t>References</w:t>
      </w:r>
    </w:p>
    <w:p w14:paraId="1FD7219C" w14:textId="6C72CA64" w:rsidR="00455E2B" w:rsidRPr="00455E2B" w:rsidRDefault="00455E2B" w:rsidP="00455E2B">
      <w:pPr>
        <w:shd w:val="clear" w:color="auto" w:fill="auto"/>
        <w:ind w:left="720" w:hanging="720"/>
        <w:rPr>
          <w:color w:val="000000"/>
          <w:lang w:val="en-US"/>
        </w:rPr>
      </w:pPr>
      <w:proofErr w:type="spellStart"/>
      <w:r w:rsidRPr="00455E2B">
        <w:rPr>
          <w:color w:val="333333"/>
          <w:shd w:val="clear" w:color="auto" w:fill="FFFFFF"/>
          <w:lang w:val="en-US"/>
        </w:rPr>
        <w:t>Bartoń</w:t>
      </w:r>
      <w:proofErr w:type="spellEnd"/>
      <w:r w:rsidRPr="00455E2B">
        <w:rPr>
          <w:color w:val="333333"/>
          <w:shd w:val="clear" w:color="auto" w:fill="FFFFFF"/>
          <w:lang w:val="en-US"/>
        </w:rPr>
        <w:t xml:space="preserve">, K. (2020). </w:t>
      </w:r>
      <w:proofErr w:type="spellStart"/>
      <w:r w:rsidRPr="00455E2B">
        <w:rPr>
          <w:color w:val="333333"/>
          <w:shd w:val="clear" w:color="auto" w:fill="FFFFFF"/>
          <w:lang w:val="en-US"/>
        </w:rPr>
        <w:t>MuMIn</w:t>
      </w:r>
      <w:proofErr w:type="spellEnd"/>
      <w:r w:rsidRPr="00455E2B">
        <w:rPr>
          <w:color w:val="333333"/>
          <w:shd w:val="clear" w:color="auto" w:fill="FFFFFF"/>
          <w:lang w:val="en-US"/>
        </w:rPr>
        <w:t xml:space="preserve">: Multi-Model Inference (1.43.17) [Computer software]. </w:t>
      </w:r>
      <w:hyperlink r:id="rId27" w:history="1">
        <w:r w:rsidRPr="00455E2B">
          <w:rPr>
            <w:color w:val="333333"/>
            <w:u w:val="single"/>
            <w:shd w:val="clear" w:color="auto" w:fill="FFFFFF"/>
            <w:lang w:val="en-US"/>
          </w:rPr>
          <w:t>https://CRAN.R-project.org/package=MuMIn</w:t>
        </w:r>
      </w:hyperlink>
    </w:p>
    <w:p w14:paraId="1B312A07" w14:textId="0D57DE27"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t>Behling, O.</w:t>
      </w:r>
      <w:r w:rsidR="00A544A7">
        <w:rPr>
          <w:color w:val="333333"/>
          <w:shd w:val="clear" w:color="auto" w:fill="FFFFFF"/>
          <w:lang w:val="en-US"/>
        </w:rPr>
        <w:t>,</w:t>
      </w:r>
      <w:r w:rsidRPr="00455E2B">
        <w:rPr>
          <w:color w:val="333333"/>
          <w:shd w:val="clear" w:color="auto" w:fill="FFFFFF"/>
          <w:lang w:val="en-US"/>
        </w:rPr>
        <w:t xml:space="preserve"> </w:t>
      </w:r>
      <w:r w:rsidR="00A544A7">
        <w:rPr>
          <w:color w:val="333333"/>
          <w:shd w:val="clear" w:color="auto" w:fill="FFFFFF"/>
          <w:lang w:val="en-US"/>
        </w:rPr>
        <w:t>&amp;</w:t>
      </w:r>
      <w:r w:rsidRPr="00455E2B">
        <w:rPr>
          <w:color w:val="333333"/>
          <w:shd w:val="clear" w:color="auto" w:fill="FFFFFF"/>
          <w:lang w:val="en-US"/>
        </w:rPr>
        <w:t xml:space="preserve"> Law, K.</w:t>
      </w:r>
      <w:r w:rsidR="000A41CF">
        <w:rPr>
          <w:color w:val="333333"/>
          <w:shd w:val="clear" w:color="auto" w:fill="FFFFFF"/>
          <w:lang w:val="en-US"/>
        </w:rPr>
        <w:t xml:space="preserve"> </w:t>
      </w:r>
      <w:r w:rsidRPr="00455E2B">
        <w:rPr>
          <w:color w:val="333333"/>
          <w:shd w:val="clear" w:color="auto" w:fill="FFFFFF"/>
          <w:lang w:val="en-US"/>
        </w:rPr>
        <w:t xml:space="preserve">S. (2000) </w:t>
      </w:r>
      <w:r w:rsidRPr="00455E2B">
        <w:rPr>
          <w:i/>
          <w:iCs/>
          <w:color w:val="333333"/>
          <w:shd w:val="clear" w:color="auto" w:fill="FFFFFF"/>
          <w:lang w:val="en-US"/>
        </w:rPr>
        <w:t>Translating Questionnaires and Other Research Instruments: Problems and solutions</w:t>
      </w:r>
      <w:r w:rsidRPr="00455E2B">
        <w:rPr>
          <w:color w:val="333333"/>
          <w:shd w:val="clear" w:color="auto" w:fill="FFFFFF"/>
          <w:lang w:val="en-US"/>
        </w:rPr>
        <w:t>. SAGE Publications, Inc., Thousand Oaks.</w:t>
      </w:r>
    </w:p>
    <w:p w14:paraId="4826058A" w14:textId="77777777" w:rsidR="00455E2B" w:rsidRPr="00455E2B" w:rsidRDefault="00455E2B" w:rsidP="00455E2B">
      <w:pPr>
        <w:shd w:val="clear" w:color="auto" w:fill="auto"/>
        <w:ind w:left="720" w:hanging="720"/>
        <w:rPr>
          <w:color w:val="000000"/>
          <w:lang w:val="en-US"/>
        </w:rPr>
      </w:pPr>
      <w:proofErr w:type="spellStart"/>
      <w:r w:rsidRPr="00455E2B">
        <w:rPr>
          <w:color w:val="333333"/>
          <w:shd w:val="clear" w:color="auto" w:fill="FFFFFF"/>
          <w:lang w:val="en-US"/>
        </w:rPr>
        <w:t>Belleri</w:t>
      </w:r>
      <w:proofErr w:type="spellEnd"/>
      <w:r w:rsidRPr="00455E2B">
        <w:rPr>
          <w:color w:val="333333"/>
          <w:shd w:val="clear" w:color="auto" w:fill="FFFFFF"/>
          <w:lang w:val="en-US"/>
        </w:rPr>
        <w:t xml:space="preserve">, D., &amp; </w:t>
      </w:r>
      <w:proofErr w:type="spellStart"/>
      <w:r w:rsidRPr="00455E2B">
        <w:rPr>
          <w:color w:val="333333"/>
          <w:shd w:val="clear" w:color="auto" w:fill="FFFFFF"/>
          <w:lang w:val="en-US"/>
        </w:rPr>
        <w:t>Coliva</w:t>
      </w:r>
      <w:proofErr w:type="spellEnd"/>
      <w:r w:rsidRPr="00455E2B">
        <w:rPr>
          <w:color w:val="333333"/>
          <w:shd w:val="clear" w:color="auto" w:fill="FFFFFF"/>
          <w:lang w:val="en-US"/>
        </w:rPr>
        <w:t xml:space="preserve">, A. (2018). The Gettier Problem and Context. In S. Hetherington (Ed.), </w:t>
      </w:r>
      <w:r w:rsidRPr="00455E2B">
        <w:rPr>
          <w:i/>
          <w:iCs/>
          <w:color w:val="333333"/>
          <w:shd w:val="clear" w:color="auto" w:fill="FFFFFF"/>
          <w:lang w:val="en-US"/>
        </w:rPr>
        <w:t>The Gettier Problem</w:t>
      </w:r>
      <w:r w:rsidRPr="00455E2B">
        <w:rPr>
          <w:color w:val="333333"/>
          <w:shd w:val="clear" w:color="auto" w:fill="FFFFFF"/>
          <w:lang w:val="en-US"/>
        </w:rPr>
        <w:t xml:space="preserve"> (1st ed., pp. 78–95). Cambridge University Press. </w:t>
      </w:r>
      <w:hyperlink r:id="rId28" w:history="1">
        <w:r w:rsidRPr="00455E2B">
          <w:rPr>
            <w:color w:val="333333"/>
            <w:u w:val="single"/>
            <w:shd w:val="clear" w:color="auto" w:fill="FFFFFF"/>
            <w:lang w:val="en-US"/>
          </w:rPr>
          <w:t>https://doi.org/10.1017/9781316827413.007</w:t>
        </w:r>
      </w:hyperlink>
    </w:p>
    <w:p w14:paraId="75AF6568" w14:textId="77777777"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t xml:space="preserve">Birch, S. A. J. (2005). When Knowledge Is a Curse: Children’s and Adults’ Reasoning About Mental States. </w:t>
      </w:r>
      <w:r w:rsidRPr="00455E2B">
        <w:rPr>
          <w:i/>
          <w:iCs/>
          <w:color w:val="333333"/>
          <w:shd w:val="clear" w:color="auto" w:fill="FFFFFF"/>
          <w:lang w:val="en-US"/>
        </w:rPr>
        <w:t>Current Directions in Psychological Science</w:t>
      </w:r>
      <w:r w:rsidRPr="00455E2B">
        <w:rPr>
          <w:color w:val="333333"/>
          <w:shd w:val="clear" w:color="auto" w:fill="FFFFFF"/>
          <w:lang w:val="en-US"/>
        </w:rPr>
        <w:t xml:space="preserve">, </w:t>
      </w:r>
      <w:r w:rsidRPr="00455E2B">
        <w:rPr>
          <w:i/>
          <w:iCs/>
          <w:color w:val="333333"/>
          <w:shd w:val="clear" w:color="auto" w:fill="FFFFFF"/>
          <w:lang w:val="en-US"/>
        </w:rPr>
        <w:t>14</w:t>
      </w:r>
      <w:r w:rsidRPr="00455E2B">
        <w:rPr>
          <w:color w:val="333333"/>
          <w:shd w:val="clear" w:color="auto" w:fill="FFFFFF"/>
          <w:lang w:val="en-US"/>
        </w:rPr>
        <w:t xml:space="preserve">(1), 25–29. </w:t>
      </w:r>
      <w:hyperlink r:id="rId29" w:history="1">
        <w:r w:rsidRPr="00455E2B">
          <w:rPr>
            <w:color w:val="333333"/>
            <w:u w:val="single"/>
            <w:shd w:val="clear" w:color="auto" w:fill="FFFFFF"/>
            <w:lang w:val="en-US"/>
          </w:rPr>
          <w:t>https://doi.org/10.1111/j.0963-7214.2005.00328.x</w:t>
        </w:r>
      </w:hyperlink>
    </w:p>
    <w:p w14:paraId="64D244A9" w14:textId="77777777"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t xml:space="preserve">Birch, S. A. J., &amp; Bloom, P. (2007). The Curse of Knowledge in Reasoning About False Beliefs. </w:t>
      </w:r>
      <w:r w:rsidRPr="00455E2B">
        <w:rPr>
          <w:i/>
          <w:iCs/>
          <w:color w:val="333333"/>
          <w:shd w:val="clear" w:color="auto" w:fill="FFFFFF"/>
          <w:lang w:val="en-US"/>
        </w:rPr>
        <w:t>Psychological Science</w:t>
      </w:r>
      <w:r w:rsidRPr="00455E2B">
        <w:rPr>
          <w:color w:val="333333"/>
          <w:shd w:val="clear" w:color="auto" w:fill="FFFFFF"/>
          <w:lang w:val="en-US"/>
        </w:rPr>
        <w:t xml:space="preserve">, </w:t>
      </w:r>
      <w:r w:rsidRPr="00455E2B">
        <w:rPr>
          <w:i/>
          <w:iCs/>
          <w:color w:val="333333"/>
          <w:shd w:val="clear" w:color="auto" w:fill="FFFFFF"/>
          <w:lang w:val="en-US"/>
        </w:rPr>
        <w:t>18</w:t>
      </w:r>
      <w:r w:rsidRPr="00455E2B">
        <w:rPr>
          <w:color w:val="333333"/>
          <w:shd w:val="clear" w:color="auto" w:fill="FFFFFF"/>
          <w:lang w:val="en-US"/>
        </w:rPr>
        <w:t xml:space="preserve">(5), 382–386. </w:t>
      </w:r>
      <w:hyperlink r:id="rId30" w:history="1">
        <w:r w:rsidRPr="00455E2B">
          <w:rPr>
            <w:color w:val="333333"/>
            <w:u w:val="single"/>
            <w:shd w:val="clear" w:color="auto" w:fill="FFFFFF"/>
            <w:lang w:val="en-US"/>
          </w:rPr>
          <w:t>https://doi.org/10.1111/j.1467-9280.2007.01909.x</w:t>
        </w:r>
      </w:hyperlink>
    </w:p>
    <w:p w14:paraId="1E06E3C1" w14:textId="252C8555" w:rsidR="00CA24D3" w:rsidRPr="00CA24D3" w:rsidRDefault="00CA24D3" w:rsidP="00CA24D3">
      <w:pPr>
        <w:shd w:val="clear" w:color="auto" w:fill="auto"/>
        <w:ind w:left="720" w:hanging="720"/>
        <w:rPr>
          <w:lang w:val="en-US"/>
        </w:rPr>
      </w:pPr>
      <w:r w:rsidRPr="00CA24D3">
        <w:rPr>
          <w:lang w:val="en-US"/>
        </w:rPr>
        <w:t xml:space="preserve">Bishop, P. A., &amp; Herron, R. L. (2015). Use and misuse of the </w:t>
      </w:r>
      <w:proofErr w:type="spellStart"/>
      <w:r w:rsidRPr="00CA24D3">
        <w:rPr>
          <w:lang w:val="en-US"/>
        </w:rPr>
        <w:t>likert</w:t>
      </w:r>
      <w:proofErr w:type="spellEnd"/>
      <w:r w:rsidRPr="00CA24D3">
        <w:rPr>
          <w:lang w:val="en-US"/>
        </w:rPr>
        <w:t xml:space="preserve"> item responses and other ordinal measures. </w:t>
      </w:r>
      <w:r w:rsidRPr="00CA24D3">
        <w:rPr>
          <w:i/>
          <w:iCs/>
          <w:lang w:val="en-US"/>
        </w:rPr>
        <w:t>International Journal of Exercise Science</w:t>
      </w:r>
      <w:r w:rsidRPr="00CA24D3">
        <w:rPr>
          <w:lang w:val="en-US"/>
        </w:rPr>
        <w:t xml:space="preserve">, </w:t>
      </w:r>
      <w:r w:rsidRPr="00CA24D3">
        <w:rPr>
          <w:i/>
          <w:iCs/>
          <w:lang w:val="en-US"/>
        </w:rPr>
        <w:t>8</w:t>
      </w:r>
      <w:r w:rsidRPr="00CA24D3">
        <w:rPr>
          <w:lang w:val="en-US"/>
        </w:rPr>
        <w:t>(3), 297–302.</w:t>
      </w:r>
    </w:p>
    <w:p w14:paraId="71A0E73A" w14:textId="77777777"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t xml:space="preserve">Brandt, M. J., </w:t>
      </w:r>
      <w:proofErr w:type="spellStart"/>
      <w:r w:rsidRPr="00455E2B">
        <w:rPr>
          <w:color w:val="333333"/>
          <w:shd w:val="clear" w:color="auto" w:fill="FFFFFF"/>
          <w:lang w:val="en-US"/>
        </w:rPr>
        <w:t>IJzerman</w:t>
      </w:r>
      <w:proofErr w:type="spellEnd"/>
      <w:r w:rsidRPr="00455E2B">
        <w:rPr>
          <w:color w:val="333333"/>
          <w:shd w:val="clear" w:color="auto" w:fill="FFFFFF"/>
          <w:lang w:val="en-US"/>
        </w:rPr>
        <w:t xml:space="preserve">, H., </w:t>
      </w:r>
      <w:proofErr w:type="spellStart"/>
      <w:r w:rsidRPr="00455E2B">
        <w:rPr>
          <w:color w:val="333333"/>
          <w:shd w:val="clear" w:color="auto" w:fill="FFFFFF"/>
          <w:lang w:val="en-US"/>
        </w:rPr>
        <w:t>Dijksterhuis</w:t>
      </w:r>
      <w:proofErr w:type="spellEnd"/>
      <w:r w:rsidRPr="00455E2B">
        <w:rPr>
          <w:color w:val="333333"/>
          <w:shd w:val="clear" w:color="auto" w:fill="FFFFFF"/>
          <w:lang w:val="en-US"/>
        </w:rPr>
        <w:t xml:space="preserve">, A., </w:t>
      </w:r>
      <w:proofErr w:type="spellStart"/>
      <w:r w:rsidRPr="00455E2B">
        <w:rPr>
          <w:color w:val="333333"/>
          <w:shd w:val="clear" w:color="auto" w:fill="FFFFFF"/>
          <w:lang w:val="en-US"/>
        </w:rPr>
        <w:t>Farach</w:t>
      </w:r>
      <w:proofErr w:type="spellEnd"/>
      <w:r w:rsidRPr="00455E2B">
        <w:rPr>
          <w:color w:val="333333"/>
          <w:shd w:val="clear" w:color="auto" w:fill="FFFFFF"/>
          <w:lang w:val="en-US"/>
        </w:rPr>
        <w:t xml:space="preserve">, F. J., Geller, J., </w:t>
      </w:r>
      <w:proofErr w:type="spellStart"/>
      <w:r w:rsidRPr="00455E2B">
        <w:rPr>
          <w:color w:val="333333"/>
          <w:shd w:val="clear" w:color="auto" w:fill="FFFFFF"/>
          <w:lang w:val="en-US"/>
        </w:rPr>
        <w:t>Giner-Sorolla</w:t>
      </w:r>
      <w:proofErr w:type="spellEnd"/>
      <w:r w:rsidRPr="00455E2B">
        <w:rPr>
          <w:color w:val="333333"/>
          <w:shd w:val="clear" w:color="auto" w:fill="FFFFFF"/>
          <w:lang w:val="en-US"/>
        </w:rPr>
        <w:t xml:space="preserve">, R., Grange, J. A., </w:t>
      </w:r>
      <w:proofErr w:type="spellStart"/>
      <w:r w:rsidRPr="00455E2B">
        <w:rPr>
          <w:color w:val="333333"/>
          <w:shd w:val="clear" w:color="auto" w:fill="FFFFFF"/>
          <w:lang w:val="en-US"/>
        </w:rPr>
        <w:t>Perugini</w:t>
      </w:r>
      <w:proofErr w:type="spellEnd"/>
      <w:r w:rsidRPr="00455E2B">
        <w:rPr>
          <w:color w:val="333333"/>
          <w:shd w:val="clear" w:color="auto" w:fill="FFFFFF"/>
          <w:lang w:val="en-US"/>
        </w:rPr>
        <w:t xml:space="preserve">, M., Spies, J. R., &amp; van ’t Veer, A. (2014). The Replication Recipe: What makes for a convincing replication? </w:t>
      </w:r>
      <w:r w:rsidRPr="00455E2B">
        <w:rPr>
          <w:i/>
          <w:iCs/>
          <w:color w:val="333333"/>
          <w:shd w:val="clear" w:color="auto" w:fill="FFFFFF"/>
          <w:lang w:val="en-US"/>
        </w:rPr>
        <w:t>Journal of Experimental Social Psychology</w:t>
      </w:r>
      <w:r w:rsidRPr="00455E2B">
        <w:rPr>
          <w:color w:val="333333"/>
          <w:shd w:val="clear" w:color="auto" w:fill="FFFFFF"/>
          <w:lang w:val="en-US"/>
        </w:rPr>
        <w:t xml:space="preserve">, </w:t>
      </w:r>
      <w:r w:rsidRPr="00455E2B">
        <w:rPr>
          <w:i/>
          <w:iCs/>
          <w:color w:val="333333"/>
          <w:shd w:val="clear" w:color="auto" w:fill="FFFFFF"/>
          <w:lang w:val="en-US"/>
        </w:rPr>
        <w:t>50</w:t>
      </w:r>
      <w:r w:rsidRPr="00455E2B">
        <w:rPr>
          <w:color w:val="333333"/>
          <w:shd w:val="clear" w:color="auto" w:fill="FFFFFF"/>
          <w:lang w:val="en-US"/>
        </w:rPr>
        <w:t xml:space="preserve">, 217–224. </w:t>
      </w:r>
      <w:hyperlink r:id="rId31" w:history="1">
        <w:r w:rsidRPr="00455E2B">
          <w:rPr>
            <w:color w:val="333333"/>
            <w:u w:val="single"/>
            <w:shd w:val="clear" w:color="auto" w:fill="FFFFFF"/>
            <w:lang w:val="en-US"/>
          </w:rPr>
          <w:t>https://doi.org/10.1016/j.jesp.2013.10.005</w:t>
        </w:r>
      </w:hyperlink>
    </w:p>
    <w:p w14:paraId="44D3821F" w14:textId="77777777"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t>Buckwalter, W., &amp; Stich, S. (2010). Gender and philosophical intuition. SSRN.</w:t>
      </w:r>
    </w:p>
    <w:p w14:paraId="0133C864" w14:textId="77777777"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lastRenderedPageBreak/>
        <w:t xml:space="preserve">Camerer, C., Loewenstein, G., &amp; Weber, M. (1989). The Curse of Knowledge in Economic Settings: An Experimental Analysis. </w:t>
      </w:r>
      <w:r w:rsidRPr="00455E2B">
        <w:rPr>
          <w:i/>
          <w:iCs/>
          <w:color w:val="333333"/>
          <w:shd w:val="clear" w:color="auto" w:fill="FFFFFF"/>
          <w:lang w:val="en-US"/>
        </w:rPr>
        <w:t>Journal of Political Economy</w:t>
      </w:r>
      <w:r w:rsidRPr="00455E2B">
        <w:rPr>
          <w:color w:val="333333"/>
          <w:shd w:val="clear" w:color="auto" w:fill="FFFFFF"/>
          <w:lang w:val="en-US"/>
        </w:rPr>
        <w:t xml:space="preserve">, </w:t>
      </w:r>
      <w:r w:rsidRPr="00455E2B">
        <w:rPr>
          <w:i/>
          <w:iCs/>
          <w:color w:val="333333"/>
          <w:shd w:val="clear" w:color="auto" w:fill="FFFFFF"/>
          <w:lang w:val="en-US"/>
        </w:rPr>
        <w:t>97</w:t>
      </w:r>
      <w:r w:rsidRPr="00455E2B">
        <w:rPr>
          <w:color w:val="333333"/>
          <w:shd w:val="clear" w:color="auto" w:fill="FFFFFF"/>
          <w:lang w:val="en-US"/>
        </w:rPr>
        <w:t xml:space="preserve">(5), 1232–1254. </w:t>
      </w:r>
      <w:hyperlink r:id="rId32" w:history="1">
        <w:r w:rsidRPr="00455E2B">
          <w:rPr>
            <w:color w:val="333333"/>
            <w:u w:val="single"/>
            <w:shd w:val="clear" w:color="auto" w:fill="FFFFFF"/>
            <w:lang w:val="en-US"/>
          </w:rPr>
          <w:t>https://doi.org/10.1086/261651</w:t>
        </w:r>
      </w:hyperlink>
    </w:p>
    <w:p w14:paraId="3A9B51BC" w14:textId="77777777"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t xml:space="preserve">Chartier, C. R., &amp; McCarthy, R. J. (2018). </w:t>
      </w:r>
      <w:proofErr w:type="spellStart"/>
      <w:r w:rsidRPr="00455E2B">
        <w:rPr>
          <w:i/>
          <w:iCs/>
          <w:color w:val="333333"/>
          <w:shd w:val="clear" w:color="auto" w:fill="FFFFFF"/>
          <w:lang w:val="en-US"/>
        </w:rPr>
        <w:t>StudySwap</w:t>
      </w:r>
      <w:proofErr w:type="spellEnd"/>
      <w:r w:rsidRPr="00455E2B">
        <w:rPr>
          <w:i/>
          <w:iCs/>
          <w:color w:val="333333"/>
          <w:shd w:val="clear" w:color="auto" w:fill="FFFFFF"/>
          <w:lang w:val="en-US"/>
        </w:rPr>
        <w:t xml:space="preserve"> Tutorial</w:t>
      </w:r>
      <w:r w:rsidRPr="00455E2B">
        <w:rPr>
          <w:color w:val="333333"/>
          <w:shd w:val="clear" w:color="auto" w:fill="FFFFFF"/>
          <w:lang w:val="en-US"/>
        </w:rPr>
        <w:t xml:space="preserve"> [Preprint]. </w:t>
      </w:r>
      <w:proofErr w:type="spellStart"/>
      <w:r w:rsidRPr="00455E2B">
        <w:rPr>
          <w:color w:val="333333"/>
          <w:shd w:val="clear" w:color="auto" w:fill="FFFFFF"/>
          <w:lang w:val="en-US"/>
        </w:rPr>
        <w:t>PsyArXiv</w:t>
      </w:r>
      <w:proofErr w:type="spellEnd"/>
      <w:r w:rsidRPr="00455E2B">
        <w:rPr>
          <w:color w:val="333333"/>
          <w:shd w:val="clear" w:color="auto" w:fill="FFFFFF"/>
          <w:lang w:val="en-US"/>
        </w:rPr>
        <w:t xml:space="preserve">. </w:t>
      </w:r>
      <w:hyperlink r:id="rId33" w:history="1">
        <w:r w:rsidRPr="00455E2B">
          <w:rPr>
            <w:color w:val="333333"/>
            <w:u w:val="single"/>
            <w:shd w:val="clear" w:color="auto" w:fill="FFFFFF"/>
            <w:lang w:val="en-US"/>
          </w:rPr>
          <w:t>https://doi.org/10.31234/osf.io/wqhbj</w:t>
        </w:r>
      </w:hyperlink>
    </w:p>
    <w:p w14:paraId="739B75FB" w14:textId="77777777" w:rsidR="00455E2B" w:rsidRPr="00455E2B" w:rsidRDefault="00455E2B" w:rsidP="00455E2B">
      <w:pPr>
        <w:shd w:val="clear" w:color="auto" w:fill="auto"/>
        <w:ind w:left="720" w:hanging="720"/>
        <w:rPr>
          <w:color w:val="000000"/>
          <w:lang w:val="en-US"/>
        </w:rPr>
      </w:pPr>
      <w:proofErr w:type="spellStart"/>
      <w:r w:rsidRPr="00455E2B">
        <w:rPr>
          <w:color w:val="333333"/>
          <w:shd w:val="clear" w:color="auto" w:fill="FFFFFF"/>
          <w:lang w:val="en-US"/>
        </w:rPr>
        <w:t>Colaço</w:t>
      </w:r>
      <w:proofErr w:type="spellEnd"/>
      <w:r w:rsidRPr="00455E2B">
        <w:rPr>
          <w:color w:val="333333"/>
          <w:shd w:val="clear" w:color="auto" w:fill="FFFFFF"/>
          <w:lang w:val="en-US"/>
        </w:rPr>
        <w:t xml:space="preserve">, D., Buckwalter, W., Stich, S., &amp; </w:t>
      </w:r>
      <w:proofErr w:type="spellStart"/>
      <w:r w:rsidRPr="00455E2B">
        <w:rPr>
          <w:color w:val="333333"/>
          <w:shd w:val="clear" w:color="auto" w:fill="FFFFFF"/>
          <w:lang w:val="en-US"/>
        </w:rPr>
        <w:t>Machery</w:t>
      </w:r>
      <w:proofErr w:type="spellEnd"/>
      <w:r w:rsidRPr="00455E2B">
        <w:rPr>
          <w:color w:val="333333"/>
          <w:shd w:val="clear" w:color="auto" w:fill="FFFFFF"/>
          <w:lang w:val="en-US"/>
        </w:rPr>
        <w:t xml:space="preserve">, E. (2014). EPISTEMIC INTUITIONS IN FAKE-BARN THOUGHT EXPERIMENTS. </w:t>
      </w:r>
      <w:r w:rsidRPr="00455E2B">
        <w:rPr>
          <w:i/>
          <w:iCs/>
          <w:color w:val="333333"/>
          <w:shd w:val="clear" w:color="auto" w:fill="FFFFFF"/>
          <w:lang w:val="en-US"/>
        </w:rPr>
        <w:t>Episteme</w:t>
      </w:r>
      <w:r w:rsidRPr="00455E2B">
        <w:rPr>
          <w:color w:val="333333"/>
          <w:shd w:val="clear" w:color="auto" w:fill="FFFFFF"/>
          <w:lang w:val="en-US"/>
        </w:rPr>
        <w:t xml:space="preserve">, </w:t>
      </w:r>
      <w:r w:rsidRPr="00455E2B">
        <w:rPr>
          <w:i/>
          <w:iCs/>
          <w:color w:val="333333"/>
          <w:shd w:val="clear" w:color="auto" w:fill="FFFFFF"/>
          <w:lang w:val="en-US"/>
        </w:rPr>
        <w:t>11</w:t>
      </w:r>
      <w:r w:rsidRPr="00455E2B">
        <w:rPr>
          <w:color w:val="333333"/>
          <w:shd w:val="clear" w:color="auto" w:fill="FFFFFF"/>
          <w:lang w:val="en-US"/>
        </w:rPr>
        <w:t xml:space="preserve">(2), 199–212. </w:t>
      </w:r>
      <w:hyperlink r:id="rId34" w:history="1">
        <w:r w:rsidRPr="00455E2B">
          <w:rPr>
            <w:color w:val="333333"/>
            <w:u w:val="single"/>
            <w:shd w:val="clear" w:color="auto" w:fill="FFFFFF"/>
            <w:lang w:val="en-US"/>
          </w:rPr>
          <w:t>https://doi.org/10.1017/epi.2014.7</w:t>
        </w:r>
      </w:hyperlink>
    </w:p>
    <w:p w14:paraId="26D19955" w14:textId="77777777" w:rsidR="0025357A" w:rsidRPr="0025357A" w:rsidRDefault="0025357A" w:rsidP="0025357A">
      <w:pPr>
        <w:shd w:val="clear" w:color="auto" w:fill="auto"/>
        <w:ind w:left="720" w:hanging="720"/>
        <w:rPr>
          <w:lang w:val="en-US"/>
        </w:rPr>
      </w:pPr>
      <w:r w:rsidRPr="0025357A">
        <w:rPr>
          <w:lang w:val="en-US"/>
        </w:rPr>
        <w:t xml:space="preserve">DePaul, M. R., &amp; Ramsey, W. M. (Eds.). (1998). </w:t>
      </w:r>
      <w:r w:rsidRPr="0025357A">
        <w:rPr>
          <w:i/>
          <w:iCs/>
          <w:lang w:val="en-US"/>
        </w:rPr>
        <w:t>Rethinking intuition: The psychology of intuition and its role in philosophical inquiry</w:t>
      </w:r>
      <w:r w:rsidRPr="0025357A">
        <w:rPr>
          <w:lang w:val="en-US"/>
        </w:rPr>
        <w:t>. Rowman &amp; Littlefield.</w:t>
      </w:r>
    </w:p>
    <w:p w14:paraId="552B4E7D" w14:textId="77777777" w:rsidR="00455E2B" w:rsidRPr="00455E2B" w:rsidRDefault="00455E2B" w:rsidP="00455E2B">
      <w:pPr>
        <w:shd w:val="clear" w:color="auto" w:fill="auto"/>
        <w:ind w:left="720" w:hanging="720"/>
        <w:rPr>
          <w:color w:val="000000"/>
          <w:lang w:val="en-US"/>
        </w:rPr>
      </w:pPr>
      <w:proofErr w:type="spellStart"/>
      <w:r w:rsidRPr="00455E2B">
        <w:rPr>
          <w:color w:val="333333"/>
          <w:shd w:val="clear" w:color="auto" w:fill="FFFFFF"/>
          <w:lang w:val="en-US"/>
        </w:rPr>
        <w:t>Disher</w:t>
      </w:r>
      <w:proofErr w:type="spellEnd"/>
      <w:r w:rsidRPr="00455E2B">
        <w:rPr>
          <w:color w:val="333333"/>
          <w:shd w:val="clear" w:color="auto" w:fill="FFFFFF"/>
          <w:lang w:val="en-US"/>
        </w:rPr>
        <w:t xml:space="preserve">, N. G., Guerra, A. L., &amp; </w:t>
      </w:r>
      <w:proofErr w:type="spellStart"/>
      <w:r w:rsidRPr="00455E2B">
        <w:rPr>
          <w:color w:val="333333"/>
          <w:shd w:val="clear" w:color="auto" w:fill="FFFFFF"/>
          <w:lang w:val="en-US"/>
        </w:rPr>
        <w:t>Haeffel</w:t>
      </w:r>
      <w:proofErr w:type="spellEnd"/>
      <w:r w:rsidRPr="00455E2B">
        <w:rPr>
          <w:color w:val="333333"/>
          <w:shd w:val="clear" w:color="auto" w:fill="FFFFFF"/>
          <w:lang w:val="en-US"/>
        </w:rPr>
        <w:t xml:space="preserve">, G. J. (2021). Men have ability, women are lucky: A pre‐registered experiment examining gender bias in knowledge attribution. </w:t>
      </w:r>
      <w:r w:rsidRPr="00455E2B">
        <w:rPr>
          <w:i/>
          <w:iCs/>
          <w:color w:val="333333"/>
          <w:shd w:val="clear" w:color="auto" w:fill="FFFFFF"/>
          <w:lang w:val="en-US"/>
        </w:rPr>
        <w:t>British Journal of Social Psychology</w:t>
      </w:r>
      <w:r w:rsidRPr="00455E2B">
        <w:rPr>
          <w:color w:val="333333"/>
          <w:shd w:val="clear" w:color="auto" w:fill="FFFFFF"/>
          <w:lang w:val="en-US"/>
        </w:rPr>
        <w:t xml:space="preserve">, </w:t>
      </w:r>
      <w:r w:rsidRPr="00455E2B">
        <w:rPr>
          <w:i/>
          <w:iCs/>
          <w:color w:val="333333"/>
          <w:shd w:val="clear" w:color="auto" w:fill="FFFFFF"/>
          <w:lang w:val="en-US"/>
        </w:rPr>
        <w:t>60</w:t>
      </w:r>
      <w:r w:rsidRPr="00455E2B">
        <w:rPr>
          <w:color w:val="333333"/>
          <w:shd w:val="clear" w:color="auto" w:fill="FFFFFF"/>
          <w:lang w:val="en-US"/>
        </w:rPr>
        <w:t xml:space="preserve">(3), 808–825. </w:t>
      </w:r>
      <w:hyperlink r:id="rId35" w:history="1">
        <w:r w:rsidRPr="00455E2B">
          <w:rPr>
            <w:color w:val="333333"/>
            <w:u w:val="single"/>
            <w:shd w:val="clear" w:color="auto" w:fill="FFFFFF"/>
            <w:lang w:val="en-US"/>
          </w:rPr>
          <w:t>https://doi.org/10.1111/bjso.12443</w:t>
        </w:r>
      </w:hyperlink>
    </w:p>
    <w:p w14:paraId="35D5CBB4" w14:textId="1193D20A" w:rsidR="00CA24D3" w:rsidRPr="00CA24D3" w:rsidRDefault="00CA24D3" w:rsidP="00CA24D3">
      <w:pPr>
        <w:shd w:val="clear" w:color="auto" w:fill="auto"/>
        <w:ind w:left="720" w:hanging="720"/>
        <w:rPr>
          <w:lang w:val="en-US"/>
        </w:rPr>
      </w:pPr>
      <w:proofErr w:type="spellStart"/>
      <w:r w:rsidRPr="00CA24D3">
        <w:rPr>
          <w:lang w:val="en-US"/>
        </w:rPr>
        <w:t>Dutant</w:t>
      </w:r>
      <w:proofErr w:type="spellEnd"/>
      <w:r w:rsidRPr="00CA24D3">
        <w:rPr>
          <w:lang w:val="en-US"/>
        </w:rPr>
        <w:t xml:space="preserve">, J. (2015). The legend of the justified true belief analysis: </w:t>
      </w:r>
      <w:r>
        <w:rPr>
          <w:lang w:val="en-US"/>
        </w:rPr>
        <w:t>T</w:t>
      </w:r>
      <w:r w:rsidRPr="00CA24D3">
        <w:rPr>
          <w:lang w:val="en-US"/>
        </w:rPr>
        <w:t xml:space="preserve">he legend of the justified true belief analysis. </w:t>
      </w:r>
      <w:r w:rsidRPr="00CA24D3">
        <w:rPr>
          <w:i/>
          <w:iCs/>
          <w:lang w:val="en-US"/>
        </w:rPr>
        <w:t>Philosophical Perspectives</w:t>
      </w:r>
      <w:r w:rsidRPr="00CA24D3">
        <w:rPr>
          <w:lang w:val="en-US"/>
        </w:rPr>
        <w:t xml:space="preserve">, </w:t>
      </w:r>
      <w:r w:rsidRPr="00CA24D3">
        <w:rPr>
          <w:i/>
          <w:iCs/>
          <w:lang w:val="en-US"/>
        </w:rPr>
        <w:t>29</w:t>
      </w:r>
      <w:r w:rsidRPr="00CA24D3">
        <w:rPr>
          <w:lang w:val="en-US"/>
        </w:rPr>
        <w:t xml:space="preserve">(1), 95–145. </w:t>
      </w:r>
      <w:hyperlink r:id="rId36" w:history="1">
        <w:r w:rsidRPr="00CA24D3">
          <w:rPr>
            <w:color w:val="0000FF"/>
            <w:u w:val="single"/>
            <w:lang w:val="en-US"/>
          </w:rPr>
          <w:t>https://doi.org/10.1111/phpe.12061</w:t>
        </w:r>
      </w:hyperlink>
    </w:p>
    <w:p w14:paraId="3AA76D8B" w14:textId="292F4A33" w:rsidR="0025357A" w:rsidRPr="0025357A" w:rsidRDefault="0025357A" w:rsidP="0025357A">
      <w:pPr>
        <w:shd w:val="clear" w:color="auto" w:fill="auto"/>
        <w:ind w:left="720" w:hanging="720"/>
        <w:rPr>
          <w:lang w:val="en-US"/>
        </w:rPr>
      </w:pPr>
      <w:r w:rsidRPr="0025357A">
        <w:rPr>
          <w:lang w:val="en-US"/>
        </w:rPr>
        <w:t xml:space="preserve">Gettier, E. L. (1963). Is justified true belief knowledge? </w:t>
      </w:r>
      <w:r w:rsidRPr="0025357A">
        <w:rPr>
          <w:i/>
          <w:iCs/>
          <w:lang w:val="en-US"/>
        </w:rPr>
        <w:t>Analysis</w:t>
      </w:r>
      <w:r w:rsidRPr="0025357A">
        <w:rPr>
          <w:lang w:val="en-US"/>
        </w:rPr>
        <w:t xml:space="preserve">, </w:t>
      </w:r>
      <w:r w:rsidRPr="0025357A">
        <w:rPr>
          <w:i/>
          <w:iCs/>
          <w:lang w:val="en-US"/>
        </w:rPr>
        <w:t>23</w:t>
      </w:r>
      <w:r w:rsidRPr="0025357A">
        <w:rPr>
          <w:lang w:val="en-US"/>
        </w:rPr>
        <w:t xml:space="preserve">(6), 121–123. </w:t>
      </w:r>
      <w:hyperlink r:id="rId37" w:history="1">
        <w:r w:rsidRPr="0025357A">
          <w:rPr>
            <w:color w:val="0000FF"/>
            <w:u w:val="single"/>
            <w:lang w:val="en-US"/>
          </w:rPr>
          <w:t>https://doi.org/10.1093/analys/23.6.121</w:t>
        </w:r>
      </w:hyperlink>
    </w:p>
    <w:p w14:paraId="796EE421" w14:textId="3B4CB287" w:rsidR="00455E2B" w:rsidRPr="00455E2B" w:rsidRDefault="00455E2B" w:rsidP="00455E2B">
      <w:pPr>
        <w:shd w:val="clear" w:color="auto" w:fill="auto"/>
        <w:ind w:left="720" w:hanging="720"/>
        <w:rPr>
          <w:color w:val="000000"/>
          <w:lang w:val="en-US"/>
        </w:rPr>
      </w:pPr>
      <w:proofErr w:type="spellStart"/>
      <w:r w:rsidRPr="00455E2B">
        <w:rPr>
          <w:color w:val="333333"/>
          <w:shd w:val="clear" w:color="auto" w:fill="FFFFFF"/>
          <w:lang w:val="en-US"/>
        </w:rPr>
        <w:t>Grahe</w:t>
      </w:r>
      <w:proofErr w:type="spellEnd"/>
      <w:r w:rsidRPr="00455E2B">
        <w:rPr>
          <w:color w:val="333333"/>
          <w:shd w:val="clear" w:color="auto" w:fill="FFFFFF"/>
          <w:lang w:val="en-US"/>
        </w:rPr>
        <w:t xml:space="preserve">, J. (2022). </w:t>
      </w:r>
      <w:r w:rsidRPr="00455E2B">
        <w:rPr>
          <w:i/>
          <w:iCs/>
          <w:color w:val="333333"/>
          <w:shd w:val="clear" w:color="auto" w:fill="FFFFFF"/>
          <w:lang w:val="en-US"/>
        </w:rPr>
        <w:t xml:space="preserve">Accelerated CREP -- </w:t>
      </w:r>
      <w:proofErr w:type="spellStart"/>
      <w:r w:rsidRPr="00455E2B">
        <w:rPr>
          <w:i/>
          <w:iCs/>
          <w:color w:val="333333"/>
          <w:shd w:val="clear" w:color="auto" w:fill="FFFFFF"/>
          <w:lang w:val="en-US"/>
        </w:rPr>
        <w:t>Turri</w:t>
      </w:r>
      <w:proofErr w:type="spellEnd"/>
      <w:r w:rsidRPr="00455E2B">
        <w:rPr>
          <w:i/>
          <w:iCs/>
          <w:color w:val="333333"/>
          <w:shd w:val="clear" w:color="auto" w:fill="FFFFFF"/>
          <w:lang w:val="en-US"/>
        </w:rPr>
        <w:t>,</w:t>
      </w:r>
      <w:r w:rsidR="004A7BAA">
        <w:rPr>
          <w:i/>
          <w:iCs/>
          <w:color w:val="333333"/>
          <w:shd w:val="clear" w:color="auto" w:fill="FFFFFF"/>
          <w:lang w:val="en-US"/>
        </w:rPr>
        <w:t xml:space="preserve"> </w:t>
      </w:r>
      <w:r w:rsidRPr="00455E2B">
        <w:rPr>
          <w:i/>
          <w:iCs/>
          <w:color w:val="333333"/>
          <w:shd w:val="clear" w:color="auto" w:fill="FFFFFF"/>
          <w:lang w:val="en-US"/>
        </w:rPr>
        <w:t>Buckwalter,</w:t>
      </w:r>
      <w:r w:rsidR="004A7BAA">
        <w:rPr>
          <w:i/>
          <w:iCs/>
          <w:color w:val="333333"/>
          <w:shd w:val="clear" w:color="auto" w:fill="FFFFFF"/>
          <w:lang w:val="en-US"/>
        </w:rPr>
        <w:t xml:space="preserve"> </w:t>
      </w:r>
      <w:proofErr w:type="spellStart"/>
      <w:r w:rsidRPr="00455E2B">
        <w:rPr>
          <w:i/>
          <w:iCs/>
          <w:color w:val="333333"/>
          <w:shd w:val="clear" w:color="auto" w:fill="FFFFFF"/>
          <w:lang w:val="en-US"/>
        </w:rPr>
        <w:t>Blouw</w:t>
      </w:r>
      <w:proofErr w:type="spellEnd"/>
      <w:r w:rsidRPr="00455E2B">
        <w:rPr>
          <w:i/>
          <w:iCs/>
          <w:color w:val="333333"/>
          <w:shd w:val="clear" w:color="auto" w:fill="FFFFFF"/>
          <w:lang w:val="en-US"/>
        </w:rPr>
        <w:t xml:space="preserve"> (2015)</w:t>
      </w:r>
      <w:r w:rsidRPr="00455E2B">
        <w:rPr>
          <w:color w:val="333333"/>
          <w:shd w:val="clear" w:color="auto" w:fill="FFFFFF"/>
          <w:lang w:val="en-US"/>
        </w:rPr>
        <w:t xml:space="preserve">. </w:t>
      </w:r>
      <w:hyperlink r:id="rId38" w:history="1">
        <w:r w:rsidRPr="00455E2B">
          <w:rPr>
            <w:color w:val="333333"/>
            <w:u w:val="single"/>
            <w:shd w:val="clear" w:color="auto" w:fill="FFFFFF"/>
            <w:lang w:val="en-US"/>
          </w:rPr>
          <w:t>https://doi.org/10.17605/OSF.IO/N5B3W</w:t>
        </w:r>
      </w:hyperlink>
    </w:p>
    <w:p w14:paraId="2E32B436" w14:textId="77777777" w:rsidR="00455E2B" w:rsidRPr="00455E2B" w:rsidRDefault="00455E2B" w:rsidP="00455E2B">
      <w:pPr>
        <w:shd w:val="clear" w:color="auto" w:fill="auto"/>
        <w:ind w:left="720" w:hanging="720"/>
        <w:rPr>
          <w:color w:val="000000"/>
          <w:lang w:val="en-US"/>
        </w:rPr>
      </w:pPr>
      <w:proofErr w:type="spellStart"/>
      <w:r w:rsidRPr="00455E2B">
        <w:rPr>
          <w:color w:val="333333"/>
          <w:shd w:val="clear" w:color="auto" w:fill="FFFFFF"/>
          <w:lang w:val="en-US"/>
        </w:rPr>
        <w:t>Grahe</w:t>
      </w:r>
      <w:proofErr w:type="spellEnd"/>
      <w:r w:rsidRPr="00455E2B">
        <w:rPr>
          <w:color w:val="333333"/>
          <w:shd w:val="clear" w:color="auto" w:fill="FFFFFF"/>
          <w:lang w:val="en-US"/>
        </w:rPr>
        <w:t xml:space="preserve">, J., Brandt, M., </w:t>
      </w:r>
      <w:proofErr w:type="spellStart"/>
      <w:r w:rsidRPr="00455E2B">
        <w:rPr>
          <w:color w:val="333333"/>
          <w:shd w:val="clear" w:color="auto" w:fill="FFFFFF"/>
          <w:lang w:val="en-US"/>
        </w:rPr>
        <w:t>IJzerman</w:t>
      </w:r>
      <w:proofErr w:type="spellEnd"/>
      <w:r w:rsidRPr="00455E2B">
        <w:rPr>
          <w:color w:val="333333"/>
          <w:shd w:val="clear" w:color="auto" w:fill="FFFFFF"/>
          <w:lang w:val="en-US"/>
        </w:rPr>
        <w:t xml:space="preserve">, H., &amp; </w:t>
      </w:r>
      <w:proofErr w:type="spellStart"/>
      <w:r w:rsidRPr="00455E2B">
        <w:rPr>
          <w:color w:val="333333"/>
          <w:shd w:val="clear" w:color="auto" w:fill="FFFFFF"/>
          <w:lang w:val="en-US"/>
        </w:rPr>
        <w:t>Cohoon</w:t>
      </w:r>
      <w:proofErr w:type="spellEnd"/>
      <w:r w:rsidRPr="00455E2B">
        <w:rPr>
          <w:color w:val="333333"/>
          <w:shd w:val="clear" w:color="auto" w:fill="FFFFFF"/>
          <w:lang w:val="en-US"/>
        </w:rPr>
        <w:t xml:space="preserve">, J. (2014). Replication education. </w:t>
      </w:r>
      <w:r w:rsidRPr="00455E2B">
        <w:rPr>
          <w:i/>
          <w:iCs/>
          <w:color w:val="333333"/>
          <w:shd w:val="clear" w:color="auto" w:fill="FFFFFF"/>
          <w:lang w:val="en-US"/>
        </w:rPr>
        <w:t>APS Observer</w:t>
      </w:r>
      <w:r w:rsidRPr="00455E2B">
        <w:rPr>
          <w:color w:val="333333"/>
          <w:shd w:val="clear" w:color="auto" w:fill="FFFFFF"/>
          <w:lang w:val="en-US"/>
        </w:rPr>
        <w:t>, 27.</w:t>
      </w:r>
    </w:p>
    <w:p w14:paraId="6A383695" w14:textId="4430F33A"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lastRenderedPageBreak/>
        <w:t xml:space="preserve">Green, P., &amp; MacLeod, C. J. (2016). SIMR: An R package for power analysis of generalized linear mixed models by simulation. </w:t>
      </w:r>
      <w:r w:rsidRPr="00455E2B">
        <w:rPr>
          <w:i/>
          <w:iCs/>
          <w:color w:val="333333"/>
          <w:shd w:val="clear" w:color="auto" w:fill="FFFFFF"/>
          <w:lang w:val="en-US"/>
        </w:rPr>
        <w:t>Methods in Ecology and Evolution</w:t>
      </w:r>
      <w:r w:rsidRPr="00455E2B">
        <w:rPr>
          <w:color w:val="333333"/>
          <w:shd w:val="clear" w:color="auto" w:fill="FFFFFF"/>
          <w:lang w:val="en-US"/>
        </w:rPr>
        <w:t xml:space="preserve">, </w:t>
      </w:r>
      <w:r w:rsidRPr="00455E2B">
        <w:rPr>
          <w:i/>
          <w:iCs/>
          <w:color w:val="333333"/>
          <w:shd w:val="clear" w:color="auto" w:fill="FFFFFF"/>
          <w:lang w:val="en-US"/>
        </w:rPr>
        <w:t>7</w:t>
      </w:r>
      <w:r w:rsidRPr="00455E2B">
        <w:rPr>
          <w:color w:val="333333"/>
          <w:shd w:val="clear" w:color="auto" w:fill="FFFFFF"/>
          <w:lang w:val="en-US"/>
        </w:rPr>
        <w:t xml:space="preserve">(4), 493–498. </w:t>
      </w:r>
      <w:hyperlink r:id="rId39" w:history="1">
        <w:r w:rsidRPr="00455E2B">
          <w:rPr>
            <w:color w:val="333333"/>
            <w:u w:val="single"/>
            <w:shd w:val="clear" w:color="auto" w:fill="FFFFFF"/>
            <w:lang w:val="en-US"/>
          </w:rPr>
          <w:t>https://doi.org/10.1111/2041-210X.12504</w:t>
        </w:r>
      </w:hyperlink>
    </w:p>
    <w:p w14:paraId="651F9BC8" w14:textId="77777777"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t xml:space="preserve">Greenwald, A. G. (1975). Consequences of prejudice against the null hypothesis. </w:t>
      </w:r>
      <w:r w:rsidRPr="00455E2B">
        <w:rPr>
          <w:i/>
          <w:iCs/>
          <w:color w:val="333333"/>
          <w:shd w:val="clear" w:color="auto" w:fill="FFFFFF"/>
          <w:lang w:val="en-US"/>
        </w:rPr>
        <w:t>Psychological Bulletin</w:t>
      </w:r>
      <w:r w:rsidRPr="00455E2B">
        <w:rPr>
          <w:color w:val="333333"/>
          <w:shd w:val="clear" w:color="auto" w:fill="FFFFFF"/>
          <w:lang w:val="en-US"/>
        </w:rPr>
        <w:t xml:space="preserve">, </w:t>
      </w:r>
      <w:r w:rsidRPr="00455E2B">
        <w:rPr>
          <w:i/>
          <w:iCs/>
          <w:color w:val="333333"/>
          <w:shd w:val="clear" w:color="auto" w:fill="FFFFFF"/>
          <w:lang w:val="en-US"/>
        </w:rPr>
        <w:t>82</w:t>
      </w:r>
      <w:r w:rsidRPr="00455E2B">
        <w:rPr>
          <w:color w:val="333333"/>
          <w:shd w:val="clear" w:color="auto" w:fill="FFFFFF"/>
          <w:lang w:val="en-US"/>
        </w:rPr>
        <w:t xml:space="preserve">(1), 1–20. </w:t>
      </w:r>
      <w:hyperlink r:id="rId40" w:history="1">
        <w:r w:rsidRPr="00455E2B">
          <w:rPr>
            <w:color w:val="333333"/>
            <w:u w:val="single"/>
            <w:shd w:val="clear" w:color="auto" w:fill="FFFFFF"/>
            <w:lang w:val="en-US"/>
          </w:rPr>
          <w:t>https://doi.org/10.1037/h0076157</w:t>
        </w:r>
      </w:hyperlink>
    </w:p>
    <w:p w14:paraId="08A83B59" w14:textId="77777777" w:rsidR="00455E2B" w:rsidRPr="00455E2B" w:rsidRDefault="00455E2B" w:rsidP="00455E2B">
      <w:pPr>
        <w:shd w:val="clear" w:color="auto" w:fill="auto"/>
        <w:ind w:left="720" w:hanging="720"/>
        <w:rPr>
          <w:color w:val="000000"/>
          <w:lang w:val="en-US"/>
        </w:rPr>
      </w:pPr>
      <w:proofErr w:type="spellStart"/>
      <w:r w:rsidRPr="00455E2B">
        <w:rPr>
          <w:color w:val="333333"/>
          <w:shd w:val="clear" w:color="auto" w:fill="FFFFFF"/>
          <w:lang w:val="en-US"/>
        </w:rPr>
        <w:t>Jacquette</w:t>
      </w:r>
      <w:proofErr w:type="spellEnd"/>
      <w:r w:rsidRPr="00455E2B">
        <w:rPr>
          <w:color w:val="333333"/>
          <w:shd w:val="clear" w:color="auto" w:fill="FFFFFF"/>
          <w:lang w:val="en-US"/>
        </w:rPr>
        <w:t xml:space="preserve">, D. (1996). Is </w:t>
      </w:r>
      <w:proofErr w:type="spellStart"/>
      <w:r w:rsidRPr="00455E2B">
        <w:rPr>
          <w:color w:val="333333"/>
          <w:shd w:val="clear" w:color="auto" w:fill="FFFFFF"/>
          <w:lang w:val="en-US"/>
        </w:rPr>
        <w:t>nondefectively</w:t>
      </w:r>
      <w:proofErr w:type="spellEnd"/>
      <w:r w:rsidRPr="00455E2B">
        <w:rPr>
          <w:color w:val="333333"/>
          <w:shd w:val="clear" w:color="auto" w:fill="FFFFFF"/>
          <w:lang w:val="en-US"/>
        </w:rPr>
        <w:t xml:space="preserve"> justified true belief </w:t>
      </w:r>
      <w:proofErr w:type="gramStart"/>
      <w:r w:rsidRPr="00455E2B">
        <w:rPr>
          <w:color w:val="333333"/>
          <w:shd w:val="clear" w:color="auto" w:fill="FFFFFF"/>
          <w:lang w:val="en-US"/>
        </w:rPr>
        <w:t>knowledge?.</w:t>
      </w:r>
      <w:proofErr w:type="gramEnd"/>
      <w:r w:rsidRPr="00455E2B">
        <w:rPr>
          <w:color w:val="333333"/>
          <w:shd w:val="clear" w:color="auto" w:fill="FFFFFF"/>
          <w:lang w:val="en-US"/>
        </w:rPr>
        <w:t xml:space="preserve"> </w:t>
      </w:r>
      <w:r w:rsidRPr="00455E2B">
        <w:rPr>
          <w:i/>
          <w:iCs/>
          <w:color w:val="333333"/>
          <w:shd w:val="clear" w:color="auto" w:fill="FFFFFF"/>
          <w:lang w:val="en-US"/>
        </w:rPr>
        <w:t>Ratio, 9</w:t>
      </w:r>
      <w:r w:rsidRPr="00455E2B">
        <w:rPr>
          <w:color w:val="333333"/>
          <w:shd w:val="clear" w:color="auto" w:fill="FFFFFF"/>
          <w:lang w:val="en-US"/>
        </w:rPr>
        <w:t>(2), 115-127.</w:t>
      </w:r>
    </w:p>
    <w:p w14:paraId="38F98A31" w14:textId="77777777"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t xml:space="preserve">Judd, C. M., Westfall, J., &amp; Kenny, D. A. (2012). Treating stimuli as a random factor in social psychology: a new and comprehensive solution to a pervasive but largely ignored problem. </w:t>
      </w:r>
      <w:r w:rsidRPr="00455E2B">
        <w:rPr>
          <w:i/>
          <w:iCs/>
          <w:color w:val="333333"/>
          <w:shd w:val="clear" w:color="auto" w:fill="FFFFFF"/>
          <w:lang w:val="en-US"/>
        </w:rPr>
        <w:t>Journal of Personality and Social Psychology, 103,</w:t>
      </w:r>
      <w:r w:rsidRPr="00455E2B">
        <w:rPr>
          <w:color w:val="333333"/>
          <w:shd w:val="clear" w:color="auto" w:fill="FFFFFF"/>
          <w:lang w:val="en-US"/>
        </w:rPr>
        <w:t xml:space="preserve"> 54.</w:t>
      </w:r>
    </w:p>
    <w:p w14:paraId="583750DE" w14:textId="77777777"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t xml:space="preserve">Kenny, D. A., &amp; Judd, C. M. (2019). The unappreciated heterogeneity of effect sizes: Implications for power, precision, planning of research, and replication. </w:t>
      </w:r>
      <w:r w:rsidRPr="00455E2B">
        <w:rPr>
          <w:i/>
          <w:iCs/>
          <w:color w:val="333333"/>
          <w:shd w:val="clear" w:color="auto" w:fill="FFFFFF"/>
          <w:lang w:val="en-US"/>
        </w:rPr>
        <w:t>Psychological Methods</w:t>
      </w:r>
      <w:r w:rsidRPr="00455E2B">
        <w:rPr>
          <w:color w:val="333333"/>
          <w:shd w:val="clear" w:color="auto" w:fill="FFFFFF"/>
          <w:lang w:val="en-US"/>
        </w:rPr>
        <w:t xml:space="preserve">, </w:t>
      </w:r>
      <w:r w:rsidRPr="00455E2B">
        <w:rPr>
          <w:i/>
          <w:iCs/>
          <w:color w:val="333333"/>
          <w:shd w:val="clear" w:color="auto" w:fill="FFFFFF"/>
          <w:lang w:val="en-US"/>
        </w:rPr>
        <w:t>24</w:t>
      </w:r>
      <w:r w:rsidRPr="00455E2B">
        <w:rPr>
          <w:color w:val="333333"/>
          <w:shd w:val="clear" w:color="auto" w:fill="FFFFFF"/>
          <w:lang w:val="en-US"/>
        </w:rPr>
        <w:t xml:space="preserve">(5), 578–589. </w:t>
      </w:r>
      <w:hyperlink r:id="rId41" w:history="1">
        <w:r w:rsidRPr="00455E2B">
          <w:rPr>
            <w:color w:val="333333"/>
            <w:u w:val="single"/>
            <w:shd w:val="clear" w:color="auto" w:fill="FFFFFF"/>
            <w:lang w:val="en-US"/>
          </w:rPr>
          <w:t>https://doi.org/10.1037/met0000209</w:t>
        </w:r>
      </w:hyperlink>
    </w:p>
    <w:p w14:paraId="5D263109" w14:textId="77777777"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t xml:space="preserve">Kim, M., &amp; Yuan, Y. (2015). No cross-cultural differences in the Gettier car case intuition: A replication study of Weinberg et al. 2001. </w:t>
      </w:r>
      <w:r w:rsidRPr="00455E2B">
        <w:rPr>
          <w:i/>
          <w:iCs/>
          <w:color w:val="333333"/>
          <w:shd w:val="clear" w:color="auto" w:fill="FFFFFF"/>
          <w:lang w:val="en-US"/>
        </w:rPr>
        <w:t>Episteme, 12,</w:t>
      </w:r>
      <w:r w:rsidRPr="00455E2B">
        <w:rPr>
          <w:color w:val="333333"/>
          <w:shd w:val="clear" w:color="auto" w:fill="FFFFFF"/>
          <w:lang w:val="en-US"/>
        </w:rPr>
        <w:t xml:space="preserve"> 355-361.</w:t>
      </w:r>
    </w:p>
    <w:p w14:paraId="698209A2" w14:textId="77777777" w:rsidR="004A7BAA" w:rsidRDefault="004A7BAA" w:rsidP="004A7BAA">
      <w:pPr>
        <w:ind w:left="720" w:hanging="720"/>
      </w:pPr>
      <w:r>
        <w:t xml:space="preserve">Landy, J. F., Jia, M. (Liam), Ding, I. L., </w:t>
      </w:r>
      <w:proofErr w:type="spellStart"/>
      <w:r>
        <w:t>Viganola</w:t>
      </w:r>
      <w:proofErr w:type="spellEnd"/>
      <w:r>
        <w:t xml:space="preserve">, D., Tierney, W., </w:t>
      </w:r>
      <w:proofErr w:type="spellStart"/>
      <w:r>
        <w:t>Dreber</w:t>
      </w:r>
      <w:proofErr w:type="spellEnd"/>
      <w:r>
        <w:t xml:space="preserve">, A., </w:t>
      </w:r>
      <w:proofErr w:type="spellStart"/>
      <w:r>
        <w:t>Johannesson</w:t>
      </w:r>
      <w:proofErr w:type="spellEnd"/>
      <w:r>
        <w:t xml:space="preserve">, M., Pfeiffer, T., Ebersole, C. R., </w:t>
      </w:r>
      <w:proofErr w:type="spellStart"/>
      <w:r>
        <w:t>Gronau</w:t>
      </w:r>
      <w:proofErr w:type="spellEnd"/>
      <w:r>
        <w:t xml:space="preserve">, Q. F., Ly, A., van den Bergh, D., </w:t>
      </w:r>
      <w:proofErr w:type="spellStart"/>
      <w:r>
        <w:t>Marsman</w:t>
      </w:r>
      <w:proofErr w:type="spellEnd"/>
      <w:r>
        <w:t xml:space="preserve">, M., Derks, K., </w:t>
      </w:r>
      <w:proofErr w:type="spellStart"/>
      <w:r>
        <w:t>Wagenmakers</w:t>
      </w:r>
      <w:proofErr w:type="spellEnd"/>
      <w:r>
        <w:t xml:space="preserve">, E.-J., Proctor, A., Bartels, D. M., Bauman, C. W., Brady, W. J., … Uhlmann, E. L. (2020). Crowdsourcing hypothesis tests: Making transparent how design choices shape research results. </w:t>
      </w:r>
      <w:r>
        <w:rPr>
          <w:i/>
          <w:iCs/>
        </w:rPr>
        <w:t>Psychological Bulletin</w:t>
      </w:r>
      <w:r>
        <w:t xml:space="preserve">, </w:t>
      </w:r>
      <w:r>
        <w:rPr>
          <w:i/>
          <w:iCs/>
        </w:rPr>
        <w:t>146</w:t>
      </w:r>
      <w:r>
        <w:t xml:space="preserve">(5), 451–479. </w:t>
      </w:r>
      <w:hyperlink r:id="rId42" w:history="1">
        <w:r>
          <w:rPr>
            <w:rStyle w:val="Hyperlink"/>
          </w:rPr>
          <w:t>https://doi.org/10.1037/bul0000220</w:t>
        </w:r>
      </w:hyperlink>
    </w:p>
    <w:p w14:paraId="6EBE664C" w14:textId="77777777"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t xml:space="preserve">Larkin, K., &amp; </w:t>
      </w:r>
      <w:proofErr w:type="spellStart"/>
      <w:r w:rsidRPr="00455E2B">
        <w:rPr>
          <w:color w:val="333333"/>
          <w:shd w:val="clear" w:color="auto" w:fill="FFFFFF"/>
          <w:lang w:val="en-US"/>
        </w:rPr>
        <w:t>Andreychik</w:t>
      </w:r>
      <w:proofErr w:type="spellEnd"/>
      <w:r w:rsidRPr="00455E2B">
        <w:rPr>
          <w:color w:val="333333"/>
          <w:shd w:val="clear" w:color="auto" w:fill="FFFFFF"/>
          <w:lang w:val="en-US"/>
        </w:rPr>
        <w:t xml:space="preserve">, M. (2019). Materials. Retrieved from </w:t>
      </w:r>
      <w:hyperlink r:id="rId43" w:history="1">
        <w:r w:rsidRPr="00455E2B">
          <w:rPr>
            <w:color w:val="333333"/>
            <w:u w:val="single"/>
            <w:shd w:val="clear" w:color="auto" w:fill="FFFFFF"/>
            <w:lang w:val="en-US"/>
          </w:rPr>
          <w:t>https://osf.io/fh52n/</w:t>
        </w:r>
      </w:hyperlink>
    </w:p>
    <w:p w14:paraId="30B12872" w14:textId="77777777"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t xml:space="preserve">MacCallum, R. C., Zhang, S., Preacher, K. J., &amp; Rucker, D. D. (2002). On the practice of dichotomization of quantitative variables. </w:t>
      </w:r>
      <w:r w:rsidRPr="00455E2B">
        <w:rPr>
          <w:i/>
          <w:iCs/>
          <w:color w:val="333333"/>
          <w:shd w:val="clear" w:color="auto" w:fill="FFFFFF"/>
          <w:lang w:val="en-US"/>
        </w:rPr>
        <w:t>Psychological methods, 7</w:t>
      </w:r>
      <w:r w:rsidRPr="00455E2B">
        <w:rPr>
          <w:color w:val="333333"/>
          <w:shd w:val="clear" w:color="auto" w:fill="FFFFFF"/>
          <w:lang w:val="en-US"/>
        </w:rPr>
        <w:t>(1), 19.</w:t>
      </w:r>
    </w:p>
    <w:p w14:paraId="17696D4A" w14:textId="1D106009" w:rsidR="00455E2B" w:rsidRPr="00455E2B" w:rsidRDefault="00455E2B" w:rsidP="00455E2B">
      <w:pPr>
        <w:shd w:val="clear" w:color="auto" w:fill="auto"/>
        <w:ind w:left="720" w:hanging="720"/>
        <w:rPr>
          <w:color w:val="000000"/>
          <w:lang w:val="en-US"/>
        </w:rPr>
      </w:pPr>
      <w:proofErr w:type="spellStart"/>
      <w:r w:rsidRPr="00455E2B">
        <w:rPr>
          <w:color w:val="333333"/>
          <w:shd w:val="clear" w:color="auto" w:fill="FFFFFF"/>
          <w:lang w:val="en-US"/>
        </w:rPr>
        <w:lastRenderedPageBreak/>
        <w:t>Machery</w:t>
      </w:r>
      <w:proofErr w:type="spellEnd"/>
      <w:r w:rsidRPr="00455E2B">
        <w:rPr>
          <w:color w:val="333333"/>
          <w:shd w:val="clear" w:color="auto" w:fill="FFFFFF"/>
          <w:lang w:val="en-US"/>
        </w:rPr>
        <w:t xml:space="preserve">, E., Stich, S., Rose, D., Alai, M., </w:t>
      </w:r>
      <w:proofErr w:type="spellStart"/>
      <w:r w:rsidRPr="00455E2B">
        <w:rPr>
          <w:color w:val="333333"/>
          <w:shd w:val="clear" w:color="auto" w:fill="FFFFFF"/>
          <w:lang w:val="en-US"/>
        </w:rPr>
        <w:t>Angelucci</w:t>
      </w:r>
      <w:proofErr w:type="spellEnd"/>
      <w:r w:rsidRPr="00455E2B">
        <w:rPr>
          <w:color w:val="333333"/>
          <w:shd w:val="clear" w:color="auto" w:fill="FFFFFF"/>
          <w:lang w:val="en-US"/>
        </w:rPr>
        <w:t xml:space="preserve">, A., </w:t>
      </w:r>
      <w:proofErr w:type="spellStart"/>
      <w:r w:rsidRPr="00455E2B">
        <w:rPr>
          <w:color w:val="333333"/>
          <w:shd w:val="clear" w:color="auto" w:fill="FFFFFF"/>
          <w:lang w:val="en-US"/>
        </w:rPr>
        <w:t>Berniūnas</w:t>
      </w:r>
      <w:proofErr w:type="spellEnd"/>
      <w:r w:rsidRPr="00455E2B">
        <w:rPr>
          <w:color w:val="333333"/>
          <w:shd w:val="clear" w:color="auto" w:fill="FFFFFF"/>
          <w:lang w:val="en-US"/>
        </w:rPr>
        <w:t xml:space="preserve">, R., </w:t>
      </w:r>
      <w:proofErr w:type="spellStart"/>
      <w:r w:rsidRPr="00455E2B">
        <w:rPr>
          <w:color w:val="333333"/>
          <w:shd w:val="clear" w:color="auto" w:fill="FFFFFF"/>
          <w:lang w:val="en-US"/>
        </w:rPr>
        <w:t>Buchtel</w:t>
      </w:r>
      <w:proofErr w:type="spellEnd"/>
      <w:r w:rsidRPr="00455E2B">
        <w:rPr>
          <w:color w:val="333333"/>
          <w:shd w:val="clear" w:color="auto" w:fill="FFFFFF"/>
          <w:lang w:val="en-US"/>
        </w:rPr>
        <w:t xml:space="preserve">, E. E., Chatterjee, A., </w:t>
      </w:r>
      <w:proofErr w:type="spellStart"/>
      <w:r w:rsidRPr="00455E2B">
        <w:rPr>
          <w:color w:val="333333"/>
          <w:shd w:val="clear" w:color="auto" w:fill="FFFFFF"/>
          <w:lang w:val="en-US"/>
        </w:rPr>
        <w:t>Cheon</w:t>
      </w:r>
      <w:proofErr w:type="spellEnd"/>
      <w:r w:rsidRPr="00455E2B">
        <w:rPr>
          <w:color w:val="333333"/>
          <w:shd w:val="clear" w:color="auto" w:fill="FFFFFF"/>
          <w:lang w:val="en-US"/>
        </w:rPr>
        <w:t xml:space="preserve">, H., Cho, I.-R., </w:t>
      </w:r>
      <w:proofErr w:type="spellStart"/>
      <w:r w:rsidRPr="00455E2B">
        <w:rPr>
          <w:color w:val="333333"/>
          <w:shd w:val="clear" w:color="auto" w:fill="FFFFFF"/>
          <w:lang w:val="en-US"/>
        </w:rPr>
        <w:t>Cohnitz</w:t>
      </w:r>
      <w:proofErr w:type="spellEnd"/>
      <w:r w:rsidRPr="00455E2B">
        <w:rPr>
          <w:color w:val="333333"/>
          <w:shd w:val="clear" w:color="auto" w:fill="FFFFFF"/>
          <w:lang w:val="en-US"/>
        </w:rPr>
        <w:t xml:space="preserve">, D., Cova, F., </w:t>
      </w:r>
      <w:proofErr w:type="spellStart"/>
      <w:r w:rsidRPr="00455E2B">
        <w:rPr>
          <w:color w:val="333333"/>
          <w:shd w:val="clear" w:color="auto" w:fill="FFFFFF"/>
          <w:lang w:val="en-US"/>
        </w:rPr>
        <w:t>Dranseika</w:t>
      </w:r>
      <w:proofErr w:type="spellEnd"/>
      <w:r w:rsidRPr="00455E2B">
        <w:rPr>
          <w:color w:val="333333"/>
          <w:shd w:val="clear" w:color="auto" w:fill="FFFFFF"/>
          <w:lang w:val="en-US"/>
        </w:rPr>
        <w:t xml:space="preserve">, V., Lagos, Á. E., </w:t>
      </w:r>
      <w:proofErr w:type="spellStart"/>
      <w:r w:rsidRPr="00455E2B">
        <w:rPr>
          <w:color w:val="333333"/>
          <w:shd w:val="clear" w:color="auto" w:fill="FFFFFF"/>
          <w:lang w:val="en-US"/>
        </w:rPr>
        <w:t>Ghadakpour</w:t>
      </w:r>
      <w:proofErr w:type="spellEnd"/>
      <w:r w:rsidRPr="00455E2B">
        <w:rPr>
          <w:color w:val="333333"/>
          <w:shd w:val="clear" w:color="auto" w:fill="FFFFFF"/>
          <w:lang w:val="en-US"/>
        </w:rPr>
        <w:t xml:space="preserve">, L., Grinberg, M., </w:t>
      </w:r>
      <w:proofErr w:type="spellStart"/>
      <w:r w:rsidRPr="00455E2B">
        <w:rPr>
          <w:color w:val="333333"/>
          <w:shd w:val="clear" w:color="auto" w:fill="FFFFFF"/>
          <w:lang w:val="en-US"/>
        </w:rPr>
        <w:t>Hannikainen</w:t>
      </w:r>
      <w:proofErr w:type="spellEnd"/>
      <w:r w:rsidRPr="00455E2B">
        <w:rPr>
          <w:color w:val="333333"/>
          <w:shd w:val="clear" w:color="auto" w:fill="FFFFFF"/>
          <w:lang w:val="en-US"/>
        </w:rPr>
        <w:t>, I., Hashimoto, T., Horowitz, A., … Zhu, J. (2017</w:t>
      </w:r>
      <w:r w:rsidR="008D41E2">
        <w:rPr>
          <w:color w:val="333333"/>
          <w:shd w:val="clear" w:color="auto" w:fill="FFFFFF"/>
          <w:lang w:val="en-US"/>
        </w:rPr>
        <w:t>a</w:t>
      </w:r>
      <w:r w:rsidRPr="00455E2B">
        <w:rPr>
          <w:color w:val="333333"/>
          <w:shd w:val="clear" w:color="auto" w:fill="FFFFFF"/>
          <w:lang w:val="en-US"/>
        </w:rPr>
        <w:t xml:space="preserve">). The Gettier Intuition from South America to Asia. </w:t>
      </w:r>
      <w:r w:rsidRPr="00455E2B">
        <w:rPr>
          <w:i/>
          <w:iCs/>
          <w:color w:val="333333"/>
          <w:shd w:val="clear" w:color="auto" w:fill="FFFFFF"/>
          <w:lang w:val="en-US"/>
        </w:rPr>
        <w:t>Journal of Indian Council of Philosophical Research</w:t>
      </w:r>
      <w:r w:rsidRPr="00455E2B">
        <w:rPr>
          <w:color w:val="333333"/>
          <w:shd w:val="clear" w:color="auto" w:fill="FFFFFF"/>
          <w:lang w:val="en-US"/>
        </w:rPr>
        <w:t xml:space="preserve">, </w:t>
      </w:r>
      <w:r w:rsidRPr="00455E2B">
        <w:rPr>
          <w:i/>
          <w:iCs/>
          <w:color w:val="333333"/>
          <w:shd w:val="clear" w:color="auto" w:fill="FFFFFF"/>
          <w:lang w:val="en-US"/>
        </w:rPr>
        <w:t>34</w:t>
      </w:r>
      <w:r w:rsidRPr="00455E2B">
        <w:rPr>
          <w:color w:val="333333"/>
          <w:shd w:val="clear" w:color="auto" w:fill="FFFFFF"/>
          <w:lang w:val="en-US"/>
        </w:rPr>
        <w:t xml:space="preserve">(3), 517–541. </w:t>
      </w:r>
      <w:hyperlink r:id="rId44" w:history="1">
        <w:r w:rsidRPr="00455E2B">
          <w:rPr>
            <w:color w:val="333333"/>
            <w:u w:val="single"/>
            <w:shd w:val="clear" w:color="auto" w:fill="FFFFFF"/>
            <w:lang w:val="en-US"/>
          </w:rPr>
          <w:t>https://doi.org/10.1007/s40961-017-0113-y</w:t>
        </w:r>
      </w:hyperlink>
    </w:p>
    <w:p w14:paraId="42927B7C" w14:textId="1840F537" w:rsidR="00455E2B" w:rsidRPr="00455E2B" w:rsidRDefault="00455E2B" w:rsidP="00455E2B">
      <w:pPr>
        <w:shd w:val="clear" w:color="auto" w:fill="auto"/>
        <w:ind w:left="720" w:hanging="720"/>
        <w:rPr>
          <w:color w:val="000000"/>
          <w:lang w:val="en-US"/>
        </w:rPr>
      </w:pPr>
      <w:proofErr w:type="spellStart"/>
      <w:r w:rsidRPr="00455E2B">
        <w:rPr>
          <w:color w:val="333333"/>
          <w:shd w:val="clear" w:color="auto" w:fill="FFFFFF"/>
          <w:lang w:val="en-US"/>
        </w:rPr>
        <w:t>Machery</w:t>
      </w:r>
      <w:proofErr w:type="spellEnd"/>
      <w:r w:rsidRPr="00455E2B">
        <w:rPr>
          <w:color w:val="333333"/>
          <w:shd w:val="clear" w:color="auto" w:fill="FFFFFF"/>
          <w:lang w:val="en-US"/>
        </w:rPr>
        <w:t xml:space="preserve">, E., Stich, S., Rose, D., Chatterjee, A., </w:t>
      </w:r>
      <w:proofErr w:type="spellStart"/>
      <w:r w:rsidRPr="00455E2B">
        <w:rPr>
          <w:color w:val="333333"/>
          <w:shd w:val="clear" w:color="auto" w:fill="FFFFFF"/>
          <w:lang w:val="en-US"/>
        </w:rPr>
        <w:t>Karasawa</w:t>
      </w:r>
      <w:proofErr w:type="spellEnd"/>
      <w:r w:rsidRPr="00455E2B">
        <w:rPr>
          <w:color w:val="333333"/>
          <w:shd w:val="clear" w:color="auto" w:fill="FFFFFF"/>
          <w:lang w:val="en-US"/>
        </w:rPr>
        <w:t xml:space="preserve">, K., </w:t>
      </w:r>
      <w:proofErr w:type="spellStart"/>
      <w:r w:rsidRPr="00455E2B">
        <w:rPr>
          <w:color w:val="333333"/>
          <w:shd w:val="clear" w:color="auto" w:fill="FFFFFF"/>
          <w:lang w:val="en-US"/>
        </w:rPr>
        <w:t>Struchiner</w:t>
      </w:r>
      <w:proofErr w:type="spellEnd"/>
      <w:r w:rsidRPr="00455E2B">
        <w:rPr>
          <w:color w:val="333333"/>
          <w:shd w:val="clear" w:color="auto" w:fill="FFFFFF"/>
          <w:lang w:val="en-US"/>
        </w:rPr>
        <w:t xml:space="preserve">, N., </w:t>
      </w:r>
      <w:proofErr w:type="spellStart"/>
      <w:r w:rsidRPr="00455E2B">
        <w:rPr>
          <w:color w:val="333333"/>
          <w:shd w:val="clear" w:color="auto" w:fill="FFFFFF"/>
          <w:lang w:val="en-US"/>
        </w:rPr>
        <w:t>Sirker</w:t>
      </w:r>
      <w:proofErr w:type="spellEnd"/>
      <w:r w:rsidRPr="00455E2B">
        <w:rPr>
          <w:color w:val="333333"/>
          <w:shd w:val="clear" w:color="auto" w:fill="FFFFFF"/>
          <w:lang w:val="en-US"/>
        </w:rPr>
        <w:t>, S., Usui, N., &amp; Hashimoto, T. (2017</w:t>
      </w:r>
      <w:r w:rsidR="008D41E2">
        <w:rPr>
          <w:color w:val="333333"/>
          <w:shd w:val="clear" w:color="auto" w:fill="FFFFFF"/>
          <w:lang w:val="en-US"/>
        </w:rPr>
        <w:t>b</w:t>
      </w:r>
      <w:r w:rsidRPr="00455E2B">
        <w:rPr>
          <w:color w:val="333333"/>
          <w:shd w:val="clear" w:color="auto" w:fill="FFFFFF"/>
          <w:lang w:val="en-US"/>
        </w:rPr>
        <w:t xml:space="preserve">). Gettier </w:t>
      </w:r>
      <w:r w:rsidR="008D41E2">
        <w:rPr>
          <w:color w:val="333333"/>
          <w:shd w:val="clear" w:color="auto" w:fill="FFFFFF"/>
          <w:lang w:val="en-US"/>
        </w:rPr>
        <w:t>a</w:t>
      </w:r>
      <w:r w:rsidRPr="00455E2B">
        <w:rPr>
          <w:color w:val="333333"/>
          <w:shd w:val="clear" w:color="auto" w:fill="FFFFFF"/>
          <w:lang w:val="en-US"/>
        </w:rPr>
        <w:t xml:space="preserve">cross </w:t>
      </w:r>
      <w:r w:rsidR="008D41E2">
        <w:rPr>
          <w:color w:val="333333"/>
          <w:shd w:val="clear" w:color="auto" w:fill="FFFFFF"/>
          <w:lang w:val="en-US"/>
        </w:rPr>
        <w:t>c</w:t>
      </w:r>
      <w:r w:rsidRPr="00455E2B">
        <w:rPr>
          <w:color w:val="333333"/>
          <w:shd w:val="clear" w:color="auto" w:fill="FFFFFF"/>
          <w:lang w:val="en-US"/>
        </w:rPr>
        <w:t xml:space="preserve">ultures. </w:t>
      </w:r>
      <w:proofErr w:type="spellStart"/>
      <w:r w:rsidRPr="00455E2B">
        <w:rPr>
          <w:i/>
          <w:iCs/>
          <w:color w:val="333333"/>
          <w:shd w:val="clear" w:color="auto" w:fill="FFFFFF"/>
          <w:lang w:val="en-US"/>
        </w:rPr>
        <w:t>Noûs</w:t>
      </w:r>
      <w:proofErr w:type="spellEnd"/>
      <w:r w:rsidRPr="00455E2B">
        <w:rPr>
          <w:color w:val="333333"/>
          <w:shd w:val="clear" w:color="auto" w:fill="FFFFFF"/>
          <w:lang w:val="en-US"/>
        </w:rPr>
        <w:t xml:space="preserve">, </w:t>
      </w:r>
      <w:r w:rsidRPr="00455E2B">
        <w:rPr>
          <w:i/>
          <w:iCs/>
          <w:color w:val="333333"/>
          <w:shd w:val="clear" w:color="auto" w:fill="FFFFFF"/>
          <w:lang w:val="en-US"/>
        </w:rPr>
        <w:t>51</w:t>
      </w:r>
      <w:r w:rsidRPr="00455E2B">
        <w:rPr>
          <w:color w:val="333333"/>
          <w:shd w:val="clear" w:color="auto" w:fill="FFFFFF"/>
          <w:lang w:val="en-US"/>
        </w:rPr>
        <w:t xml:space="preserve">(3), 645–664. </w:t>
      </w:r>
      <w:hyperlink r:id="rId45" w:history="1">
        <w:r w:rsidRPr="00455E2B">
          <w:rPr>
            <w:color w:val="333333"/>
            <w:u w:val="single"/>
            <w:shd w:val="clear" w:color="auto" w:fill="FFFFFF"/>
            <w:lang w:val="en-US"/>
          </w:rPr>
          <w:t>https://doi.org/10.1111/nous.12110</w:t>
        </w:r>
      </w:hyperlink>
    </w:p>
    <w:p w14:paraId="08982874" w14:textId="77777777"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t xml:space="preserve">Maxwell, S. E., &amp; Delaney, H. D. (1993). Bivariate median splits and spurious statistical significance. </w:t>
      </w:r>
      <w:r w:rsidRPr="00455E2B">
        <w:rPr>
          <w:i/>
          <w:iCs/>
          <w:color w:val="333333"/>
          <w:shd w:val="clear" w:color="auto" w:fill="FFFFFF"/>
          <w:lang w:val="en-US"/>
        </w:rPr>
        <w:t>Psychological Bulletin, 113</w:t>
      </w:r>
      <w:r w:rsidRPr="00455E2B">
        <w:rPr>
          <w:color w:val="333333"/>
          <w:shd w:val="clear" w:color="auto" w:fill="FFFFFF"/>
          <w:lang w:val="en-US"/>
        </w:rPr>
        <w:t>(1), 181.</w:t>
      </w:r>
    </w:p>
    <w:p w14:paraId="2246E300" w14:textId="4E88255C" w:rsidR="004A7BAA" w:rsidRPr="004A7BAA" w:rsidRDefault="004A7BAA" w:rsidP="004A7BAA">
      <w:pPr>
        <w:shd w:val="clear" w:color="auto" w:fill="auto"/>
        <w:rPr>
          <w:lang w:val="en-US"/>
        </w:rPr>
      </w:pPr>
      <w:r w:rsidRPr="004A7BAA">
        <w:rPr>
          <w:lang w:val="en-US"/>
        </w:rPr>
        <w:t>Moser, P. K. (</w:t>
      </w:r>
      <w:r>
        <w:rPr>
          <w:lang w:val="en-US"/>
        </w:rPr>
        <w:t>2002</w:t>
      </w:r>
      <w:r w:rsidRPr="004A7BAA">
        <w:rPr>
          <w:lang w:val="en-US"/>
        </w:rPr>
        <w:t xml:space="preserve">). </w:t>
      </w:r>
      <w:r w:rsidRPr="004A7BAA">
        <w:rPr>
          <w:i/>
          <w:iCs/>
          <w:lang w:val="en-US"/>
        </w:rPr>
        <w:t>The Oxford handbook of epistemology</w:t>
      </w:r>
      <w:r w:rsidRPr="004A7BAA">
        <w:rPr>
          <w:lang w:val="en-US"/>
        </w:rPr>
        <w:t>. Oxford University Press.</w:t>
      </w:r>
    </w:p>
    <w:p w14:paraId="5B79EDB0" w14:textId="77777777" w:rsidR="00455E2B" w:rsidRPr="00455E2B" w:rsidRDefault="00455E2B" w:rsidP="00455E2B">
      <w:pPr>
        <w:shd w:val="clear" w:color="auto" w:fill="auto"/>
        <w:ind w:left="720" w:hanging="720"/>
        <w:rPr>
          <w:color w:val="000000"/>
          <w:lang w:val="en-US"/>
        </w:rPr>
      </w:pPr>
      <w:proofErr w:type="spellStart"/>
      <w:r w:rsidRPr="00455E2B">
        <w:rPr>
          <w:color w:val="333333"/>
          <w:shd w:val="clear" w:color="auto" w:fill="FFFFFF"/>
          <w:lang w:val="en-US"/>
        </w:rPr>
        <w:t>Moshontz</w:t>
      </w:r>
      <w:proofErr w:type="spellEnd"/>
      <w:r w:rsidRPr="00455E2B">
        <w:rPr>
          <w:color w:val="333333"/>
          <w:shd w:val="clear" w:color="auto" w:fill="FFFFFF"/>
          <w:lang w:val="en-US"/>
        </w:rPr>
        <w:t xml:space="preserve">, H., Campbell, L., Ebersole, C. R., </w:t>
      </w:r>
      <w:proofErr w:type="spellStart"/>
      <w:r w:rsidRPr="00455E2B">
        <w:rPr>
          <w:color w:val="333333"/>
          <w:shd w:val="clear" w:color="auto" w:fill="FFFFFF"/>
          <w:lang w:val="en-US"/>
        </w:rPr>
        <w:t>IJzerman</w:t>
      </w:r>
      <w:proofErr w:type="spellEnd"/>
      <w:r w:rsidRPr="00455E2B">
        <w:rPr>
          <w:color w:val="333333"/>
          <w:shd w:val="clear" w:color="auto" w:fill="FFFFFF"/>
          <w:lang w:val="en-US"/>
        </w:rPr>
        <w:t xml:space="preserve">, H., </w:t>
      </w:r>
      <w:proofErr w:type="spellStart"/>
      <w:r w:rsidRPr="00455E2B">
        <w:rPr>
          <w:color w:val="333333"/>
          <w:shd w:val="clear" w:color="auto" w:fill="FFFFFF"/>
          <w:lang w:val="en-US"/>
        </w:rPr>
        <w:t>Urry</w:t>
      </w:r>
      <w:proofErr w:type="spellEnd"/>
      <w:r w:rsidRPr="00455E2B">
        <w:rPr>
          <w:color w:val="333333"/>
          <w:shd w:val="clear" w:color="auto" w:fill="FFFFFF"/>
          <w:lang w:val="en-US"/>
        </w:rPr>
        <w:t xml:space="preserve">, H. L., </w:t>
      </w:r>
      <w:proofErr w:type="spellStart"/>
      <w:r w:rsidRPr="00455E2B">
        <w:rPr>
          <w:color w:val="333333"/>
          <w:shd w:val="clear" w:color="auto" w:fill="FFFFFF"/>
          <w:lang w:val="en-US"/>
        </w:rPr>
        <w:t>Forscher</w:t>
      </w:r>
      <w:proofErr w:type="spellEnd"/>
      <w:r w:rsidRPr="00455E2B">
        <w:rPr>
          <w:color w:val="333333"/>
          <w:shd w:val="clear" w:color="auto" w:fill="FFFFFF"/>
          <w:lang w:val="en-US"/>
        </w:rPr>
        <w:t xml:space="preserve">, P. S., </w:t>
      </w:r>
      <w:proofErr w:type="spellStart"/>
      <w:r w:rsidRPr="00455E2B">
        <w:rPr>
          <w:color w:val="333333"/>
          <w:shd w:val="clear" w:color="auto" w:fill="FFFFFF"/>
          <w:lang w:val="en-US"/>
        </w:rPr>
        <w:t>Grahe</w:t>
      </w:r>
      <w:proofErr w:type="spellEnd"/>
      <w:r w:rsidRPr="00455E2B">
        <w:rPr>
          <w:color w:val="333333"/>
          <w:shd w:val="clear" w:color="auto" w:fill="FFFFFF"/>
          <w:lang w:val="en-US"/>
        </w:rPr>
        <w:t xml:space="preserve">, J. E., McCarthy, R. J., Musser, E. D., </w:t>
      </w:r>
      <w:proofErr w:type="spellStart"/>
      <w:r w:rsidRPr="00455E2B">
        <w:rPr>
          <w:color w:val="333333"/>
          <w:shd w:val="clear" w:color="auto" w:fill="FFFFFF"/>
          <w:lang w:val="en-US"/>
        </w:rPr>
        <w:t>Antfolk</w:t>
      </w:r>
      <w:proofErr w:type="spellEnd"/>
      <w:r w:rsidRPr="00455E2B">
        <w:rPr>
          <w:color w:val="333333"/>
          <w:shd w:val="clear" w:color="auto" w:fill="FFFFFF"/>
          <w:lang w:val="en-US"/>
        </w:rPr>
        <w:t xml:space="preserve">, J., Castille, C. M., Evans, T. R., Fiedler, S., Flake, J. K., </w:t>
      </w:r>
      <w:proofErr w:type="spellStart"/>
      <w:r w:rsidRPr="00455E2B">
        <w:rPr>
          <w:color w:val="333333"/>
          <w:shd w:val="clear" w:color="auto" w:fill="FFFFFF"/>
          <w:lang w:val="en-US"/>
        </w:rPr>
        <w:t>Forero</w:t>
      </w:r>
      <w:proofErr w:type="spellEnd"/>
      <w:r w:rsidRPr="00455E2B">
        <w:rPr>
          <w:color w:val="333333"/>
          <w:shd w:val="clear" w:color="auto" w:fill="FFFFFF"/>
          <w:lang w:val="en-US"/>
        </w:rPr>
        <w:t xml:space="preserve">, D. A., Janssen, S. M. J., Keene, J. R., </w:t>
      </w:r>
      <w:proofErr w:type="spellStart"/>
      <w:r w:rsidRPr="00455E2B">
        <w:rPr>
          <w:color w:val="333333"/>
          <w:shd w:val="clear" w:color="auto" w:fill="FFFFFF"/>
          <w:lang w:val="en-US"/>
        </w:rPr>
        <w:t>Protzko</w:t>
      </w:r>
      <w:proofErr w:type="spellEnd"/>
      <w:r w:rsidRPr="00455E2B">
        <w:rPr>
          <w:color w:val="333333"/>
          <w:shd w:val="clear" w:color="auto" w:fill="FFFFFF"/>
          <w:lang w:val="en-US"/>
        </w:rPr>
        <w:t xml:space="preserve">, J., </w:t>
      </w:r>
      <w:proofErr w:type="spellStart"/>
      <w:r w:rsidRPr="00455E2B">
        <w:rPr>
          <w:color w:val="333333"/>
          <w:shd w:val="clear" w:color="auto" w:fill="FFFFFF"/>
          <w:lang w:val="en-US"/>
        </w:rPr>
        <w:t>Aczel</w:t>
      </w:r>
      <w:proofErr w:type="spellEnd"/>
      <w:r w:rsidRPr="00455E2B">
        <w:rPr>
          <w:color w:val="333333"/>
          <w:shd w:val="clear" w:color="auto" w:fill="FFFFFF"/>
          <w:lang w:val="en-US"/>
        </w:rPr>
        <w:t xml:space="preserve">, B., … Chartier, C. R. (2018). The Psychological Science Accelerator: Advancing Psychology Through a Distributed Collaborative Network. </w:t>
      </w:r>
      <w:r w:rsidRPr="00455E2B">
        <w:rPr>
          <w:i/>
          <w:iCs/>
          <w:color w:val="333333"/>
          <w:shd w:val="clear" w:color="auto" w:fill="FFFFFF"/>
          <w:lang w:val="en-US"/>
        </w:rPr>
        <w:t>Advances in Methods and Practices in Psychological Science</w:t>
      </w:r>
      <w:r w:rsidRPr="00455E2B">
        <w:rPr>
          <w:color w:val="333333"/>
          <w:shd w:val="clear" w:color="auto" w:fill="FFFFFF"/>
          <w:lang w:val="en-US"/>
        </w:rPr>
        <w:t xml:space="preserve">, </w:t>
      </w:r>
      <w:r w:rsidRPr="00455E2B">
        <w:rPr>
          <w:i/>
          <w:iCs/>
          <w:color w:val="333333"/>
          <w:shd w:val="clear" w:color="auto" w:fill="FFFFFF"/>
          <w:lang w:val="en-US"/>
        </w:rPr>
        <w:t>1</w:t>
      </w:r>
      <w:r w:rsidRPr="00455E2B">
        <w:rPr>
          <w:color w:val="333333"/>
          <w:shd w:val="clear" w:color="auto" w:fill="FFFFFF"/>
          <w:lang w:val="en-US"/>
        </w:rPr>
        <w:t xml:space="preserve">(4), 501–515. </w:t>
      </w:r>
      <w:hyperlink r:id="rId46" w:history="1">
        <w:r w:rsidRPr="00455E2B">
          <w:rPr>
            <w:color w:val="333333"/>
            <w:u w:val="single"/>
            <w:shd w:val="clear" w:color="auto" w:fill="FFFFFF"/>
            <w:lang w:val="en-US"/>
          </w:rPr>
          <w:t>https://doi.org/10.1177/2515245918797607</w:t>
        </w:r>
      </w:hyperlink>
    </w:p>
    <w:p w14:paraId="6FA0559F" w14:textId="77777777"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t xml:space="preserve">Nagel, J., Juan, V. S., &amp; Mar, R. A. (2013). Lay denial of knowledge for justified true beliefs. </w:t>
      </w:r>
      <w:r w:rsidRPr="00455E2B">
        <w:rPr>
          <w:i/>
          <w:iCs/>
          <w:color w:val="333333"/>
          <w:shd w:val="clear" w:color="auto" w:fill="FFFFFF"/>
          <w:lang w:val="en-US"/>
        </w:rPr>
        <w:t>Cognition</w:t>
      </w:r>
      <w:r w:rsidRPr="00455E2B">
        <w:rPr>
          <w:color w:val="333333"/>
          <w:shd w:val="clear" w:color="auto" w:fill="FFFFFF"/>
          <w:lang w:val="en-US"/>
        </w:rPr>
        <w:t xml:space="preserve">, </w:t>
      </w:r>
      <w:r w:rsidRPr="00455E2B">
        <w:rPr>
          <w:i/>
          <w:iCs/>
          <w:color w:val="333333"/>
          <w:shd w:val="clear" w:color="auto" w:fill="FFFFFF"/>
          <w:lang w:val="en-US"/>
        </w:rPr>
        <w:t>129</w:t>
      </w:r>
      <w:r w:rsidRPr="00455E2B">
        <w:rPr>
          <w:color w:val="333333"/>
          <w:shd w:val="clear" w:color="auto" w:fill="FFFFFF"/>
          <w:lang w:val="en-US"/>
        </w:rPr>
        <w:t xml:space="preserve">(3), 652–661. </w:t>
      </w:r>
      <w:hyperlink r:id="rId47" w:history="1">
        <w:r w:rsidRPr="00455E2B">
          <w:rPr>
            <w:color w:val="333333"/>
            <w:u w:val="single"/>
            <w:shd w:val="clear" w:color="auto" w:fill="FFFFFF"/>
            <w:lang w:val="en-US"/>
          </w:rPr>
          <w:t>https://doi.org/10.1016/j.cognition.2013.02.008</w:t>
        </w:r>
      </w:hyperlink>
    </w:p>
    <w:p w14:paraId="7501A90C" w14:textId="77777777"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t xml:space="preserve">Nagel, J., Mar, R., &amp; San Juan, V. (2013). Authentic Gettier cases: A reply to </w:t>
      </w:r>
      <w:proofErr w:type="spellStart"/>
      <w:r w:rsidRPr="00455E2B">
        <w:rPr>
          <w:color w:val="333333"/>
          <w:shd w:val="clear" w:color="auto" w:fill="FFFFFF"/>
          <w:lang w:val="en-US"/>
        </w:rPr>
        <w:t>Starmans</w:t>
      </w:r>
      <w:proofErr w:type="spellEnd"/>
      <w:r w:rsidRPr="00455E2B">
        <w:rPr>
          <w:color w:val="333333"/>
          <w:shd w:val="clear" w:color="auto" w:fill="FFFFFF"/>
          <w:lang w:val="en-US"/>
        </w:rPr>
        <w:t xml:space="preserve"> and Friedman. </w:t>
      </w:r>
      <w:r w:rsidRPr="00455E2B">
        <w:rPr>
          <w:i/>
          <w:iCs/>
          <w:color w:val="333333"/>
          <w:shd w:val="clear" w:color="auto" w:fill="FFFFFF"/>
          <w:lang w:val="en-US"/>
        </w:rPr>
        <w:t>Cognition</w:t>
      </w:r>
      <w:r w:rsidRPr="00455E2B">
        <w:rPr>
          <w:color w:val="333333"/>
          <w:shd w:val="clear" w:color="auto" w:fill="FFFFFF"/>
          <w:lang w:val="en-US"/>
        </w:rPr>
        <w:t xml:space="preserve">, </w:t>
      </w:r>
      <w:r w:rsidRPr="00455E2B">
        <w:rPr>
          <w:i/>
          <w:iCs/>
          <w:color w:val="333333"/>
          <w:shd w:val="clear" w:color="auto" w:fill="FFFFFF"/>
          <w:lang w:val="en-US"/>
        </w:rPr>
        <w:t>129</w:t>
      </w:r>
      <w:r w:rsidRPr="00455E2B">
        <w:rPr>
          <w:color w:val="333333"/>
          <w:shd w:val="clear" w:color="auto" w:fill="FFFFFF"/>
          <w:lang w:val="en-US"/>
        </w:rPr>
        <w:t xml:space="preserve">(3), 666–669. </w:t>
      </w:r>
      <w:hyperlink r:id="rId48" w:history="1">
        <w:r w:rsidRPr="00455E2B">
          <w:rPr>
            <w:color w:val="333333"/>
            <w:u w:val="single"/>
            <w:shd w:val="clear" w:color="auto" w:fill="FFFFFF"/>
            <w:lang w:val="en-US"/>
          </w:rPr>
          <w:t>https://doi.org/10.1016/j.cognition.2013.08.016</w:t>
        </w:r>
      </w:hyperlink>
    </w:p>
    <w:p w14:paraId="5BBF2DF7" w14:textId="77777777"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t xml:space="preserve">Nakagawa, S., Johnson, P. C. D., &amp; </w:t>
      </w:r>
      <w:proofErr w:type="spellStart"/>
      <w:r w:rsidRPr="00455E2B">
        <w:rPr>
          <w:color w:val="333333"/>
          <w:shd w:val="clear" w:color="auto" w:fill="FFFFFF"/>
          <w:lang w:val="en-US"/>
        </w:rPr>
        <w:t>Schielzeth</w:t>
      </w:r>
      <w:proofErr w:type="spellEnd"/>
      <w:r w:rsidRPr="00455E2B">
        <w:rPr>
          <w:color w:val="333333"/>
          <w:shd w:val="clear" w:color="auto" w:fill="FFFFFF"/>
          <w:lang w:val="en-US"/>
        </w:rPr>
        <w:t xml:space="preserve">, H. (2017). The coefficient of determination R2 and intra-class correlation coefficient from generalized linear mixed-effects models </w:t>
      </w:r>
      <w:r w:rsidRPr="00455E2B">
        <w:rPr>
          <w:color w:val="333333"/>
          <w:shd w:val="clear" w:color="auto" w:fill="FFFFFF"/>
          <w:lang w:val="en-US"/>
        </w:rPr>
        <w:lastRenderedPageBreak/>
        <w:t xml:space="preserve">revisited and expanded. Journal of The Royal Society Interface, 14(134), 20170213. </w:t>
      </w:r>
      <w:hyperlink r:id="rId49" w:history="1">
        <w:r w:rsidRPr="00455E2B">
          <w:rPr>
            <w:color w:val="333333"/>
            <w:u w:val="single"/>
            <w:shd w:val="clear" w:color="auto" w:fill="FFFFFF"/>
            <w:lang w:val="en-US"/>
          </w:rPr>
          <w:t>https://doi.org/10.1098/rsif.2017.0213</w:t>
        </w:r>
      </w:hyperlink>
    </w:p>
    <w:p w14:paraId="4B8F53F3" w14:textId="54945E27" w:rsidR="002E6378" w:rsidRPr="002E6378" w:rsidRDefault="002E6378" w:rsidP="002E6378">
      <w:pPr>
        <w:shd w:val="clear" w:color="auto" w:fill="auto"/>
        <w:ind w:left="720" w:hanging="720"/>
        <w:rPr>
          <w:color w:val="222222"/>
          <w:shd w:val="clear" w:color="auto" w:fill="FFFFFF"/>
          <w:lang w:val="en-US"/>
        </w:rPr>
      </w:pPr>
      <w:r w:rsidRPr="002E6378">
        <w:rPr>
          <w:color w:val="222222"/>
          <w:shd w:val="clear" w:color="auto" w:fill="FFFFFF"/>
          <w:lang w:val="en-US"/>
        </w:rPr>
        <w:t xml:space="preserve">Nichols, S., Stich, S., &amp; Weinberg, J. (2003). </w:t>
      </w:r>
      <w:proofErr w:type="spellStart"/>
      <w:r w:rsidRPr="002E6378">
        <w:rPr>
          <w:color w:val="222222"/>
          <w:shd w:val="clear" w:color="auto" w:fill="FFFFFF"/>
          <w:lang w:val="en-US"/>
        </w:rPr>
        <w:t>Metaskepticism</w:t>
      </w:r>
      <w:proofErr w:type="spellEnd"/>
      <w:r w:rsidRPr="002E6378">
        <w:rPr>
          <w:color w:val="222222"/>
          <w:shd w:val="clear" w:color="auto" w:fill="FFFFFF"/>
          <w:lang w:val="en-US"/>
        </w:rPr>
        <w:t>: Meditations in ethno-epistemology. </w:t>
      </w:r>
      <w:r w:rsidRPr="002E6378">
        <w:rPr>
          <w:i/>
          <w:iCs/>
          <w:color w:val="222222"/>
          <w:lang w:val="en-US"/>
        </w:rPr>
        <w:t>The skeptics</w:t>
      </w:r>
      <w:r w:rsidRPr="002E6378">
        <w:rPr>
          <w:color w:val="222222"/>
          <w:shd w:val="clear" w:color="auto" w:fill="FFFFFF"/>
          <w:lang w:val="en-US"/>
        </w:rPr>
        <w:t>, 227-247.</w:t>
      </w:r>
    </w:p>
    <w:p w14:paraId="23C8CC0F" w14:textId="77777777" w:rsidR="00455E2B" w:rsidRPr="00455E2B" w:rsidRDefault="00455E2B" w:rsidP="002E6378">
      <w:pPr>
        <w:shd w:val="clear" w:color="auto" w:fill="auto"/>
        <w:ind w:left="720" w:hanging="720"/>
        <w:rPr>
          <w:color w:val="000000"/>
          <w:lang w:val="en-US"/>
        </w:rPr>
      </w:pPr>
      <w:r w:rsidRPr="00455E2B">
        <w:rPr>
          <w:color w:val="333333"/>
          <w:shd w:val="clear" w:color="auto" w:fill="FFFFFF"/>
          <w:lang w:val="en-US"/>
        </w:rPr>
        <w:t xml:space="preserve">Nickerson, R. S. (1999). How we know—and sometimes misjudge—what others know: Imputing one’s own knowledge to others. </w:t>
      </w:r>
      <w:r w:rsidRPr="00455E2B">
        <w:rPr>
          <w:i/>
          <w:iCs/>
          <w:color w:val="333333"/>
          <w:shd w:val="clear" w:color="auto" w:fill="FFFFFF"/>
          <w:lang w:val="en-US"/>
        </w:rPr>
        <w:t>Psychological Bulletin</w:t>
      </w:r>
      <w:r w:rsidRPr="00455E2B">
        <w:rPr>
          <w:color w:val="333333"/>
          <w:shd w:val="clear" w:color="auto" w:fill="FFFFFF"/>
          <w:lang w:val="en-US"/>
        </w:rPr>
        <w:t xml:space="preserve">, </w:t>
      </w:r>
      <w:r w:rsidRPr="00455E2B">
        <w:rPr>
          <w:i/>
          <w:iCs/>
          <w:color w:val="333333"/>
          <w:shd w:val="clear" w:color="auto" w:fill="FFFFFF"/>
          <w:lang w:val="en-US"/>
        </w:rPr>
        <w:t>125</w:t>
      </w:r>
      <w:r w:rsidRPr="00455E2B">
        <w:rPr>
          <w:color w:val="333333"/>
          <w:shd w:val="clear" w:color="auto" w:fill="FFFFFF"/>
          <w:lang w:val="en-US"/>
        </w:rPr>
        <w:t xml:space="preserve">(6), 737–759. </w:t>
      </w:r>
      <w:hyperlink r:id="rId50" w:history="1">
        <w:r w:rsidRPr="00455E2B">
          <w:rPr>
            <w:color w:val="333333"/>
            <w:u w:val="single"/>
            <w:shd w:val="clear" w:color="auto" w:fill="FFFFFF"/>
            <w:lang w:val="en-US"/>
          </w:rPr>
          <w:t>https://doi.org/10.1037/0033-2909.125.6.737</w:t>
        </w:r>
      </w:hyperlink>
    </w:p>
    <w:p w14:paraId="69491391" w14:textId="10D233E8"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t xml:space="preserve">Open Science Collaboration (2015). Estimating the reproducibility of psychological science. </w:t>
      </w:r>
      <w:r w:rsidRPr="00455E2B">
        <w:rPr>
          <w:i/>
          <w:iCs/>
          <w:color w:val="333333"/>
          <w:shd w:val="clear" w:color="auto" w:fill="FFFFFF"/>
          <w:lang w:val="en-US"/>
        </w:rPr>
        <w:t>Science</w:t>
      </w:r>
      <w:r w:rsidRPr="00455E2B">
        <w:rPr>
          <w:color w:val="333333"/>
          <w:shd w:val="clear" w:color="auto" w:fill="FFFFFF"/>
          <w:lang w:val="en-US"/>
        </w:rPr>
        <w:t xml:space="preserve">, </w:t>
      </w:r>
      <w:r w:rsidRPr="00455E2B">
        <w:rPr>
          <w:i/>
          <w:iCs/>
          <w:color w:val="333333"/>
          <w:shd w:val="clear" w:color="auto" w:fill="FFFFFF"/>
          <w:lang w:val="en-US"/>
        </w:rPr>
        <w:t>349</w:t>
      </w:r>
      <w:r w:rsidRPr="00455E2B">
        <w:rPr>
          <w:color w:val="333333"/>
          <w:shd w:val="clear" w:color="auto" w:fill="FFFFFF"/>
          <w:lang w:val="en-US"/>
        </w:rPr>
        <w:t xml:space="preserve">(6251), aac4716. </w:t>
      </w:r>
      <w:hyperlink r:id="rId51" w:history="1">
        <w:r w:rsidRPr="00455E2B">
          <w:rPr>
            <w:color w:val="333333"/>
            <w:u w:val="single"/>
            <w:shd w:val="clear" w:color="auto" w:fill="FFFFFF"/>
            <w:lang w:val="en-US"/>
          </w:rPr>
          <w:t>https://doi.org/10.1126/science.aac4716</w:t>
        </w:r>
      </w:hyperlink>
    </w:p>
    <w:p w14:paraId="3380A3C1" w14:textId="77777777" w:rsidR="00455E2B" w:rsidRPr="00455E2B" w:rsidRDefault="00455E2B" w:rsidP="00455E2B">
      <w:pPr>
        <w:shd w:val="clear" w:color="auto" w:fill="auto"/>
        <w:ind w:left="720" w:hanging="720"/>
        <w:rPr>
          <w:color w:val="000000"/>
          <w:lang w:val="en-US"/>
        </w:rPr>
      </w:pPr>
      <w:proofErr w:type="spellStart"/>
      <w:r w:rsidRPr="00455E2B">
        <w:rPr>
          <w:color w:val="333333"/>
          <w:shd w:val="clear" w:color="auto" w:fill="FFFFFF"/>
          <w:lang w:val="en-US"/>
        </w:rPr>
        <w:t>Popiel</w:t>
      </w:r>
      <w:proofErr w:type="spellEnd"/>
      <w:r w:rsidRPr="00455E2B">
        <w:rPr>
          <w:color w:val="333333"/>
          <w:shd w:val="clear" w:color="auto" w:fill="FFFFFF"/>
          <w:lang w:val="en-US"/>
        </w:rPr>
        <w:t xml:space="preserve">, M. (2016). </w:t>
      </w:r>
      <w:r w:rsidRPr="00455E2B">
        <w:rPr>
          <w:i/>
          <w:iCs/>
          <w:color w:val="333333"/>
          <w:shd w:val="clear" w:color="auto" w:fill="FFFFFF"/>
          <w:lang w:val="en-US"/>
        </w:rPr>
        <w:t xml:space="preserve">A systematic review of studies using Gettier-type thought experiments. </w:t>
      </w:r>
      <w:r w:rsidRPr="00455E2B">
        <w:rPr>
          <w:color w:val="333333"/>
          <w:shd w:val="clear" w:color="auto" w:fill="FFFFFF"/>
          <w:lang w:val="en-US"/>
        </w:rPr>
        <w:t>(Doctoral dissertation, University of Denver).</w:t>
      </w:r>
    </w:p>
    <w:p w14:paraId="6916E32D" w14:textId="77777777"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t xml:space="preserve">Powell, D., Horne, Z., </w:t>
      </w:r>
      <w:proofErr w:type="spellStart"/>
      <w:r w:rsidRPr="00455E2B">
        <w:rPr>
          <w:color w:val="333333"/>
          <w:shd w:val="clear" w:color="auto" w:fill="FFFFFF"/>
          <w:lang w:val="en-US"/>
        </w:rPr>
        <w:t>Pinillos</w:t>
      </w:r>
      <w:proofErr w:type="spellEnd"/>
      <w:r w:rsidRPr="00455E2B">
        <w:rPr>
          <w:color w:val="333333"/>
          <w:shd w:val="clear" w:color="auto" w:fill="FFFFFF"/>
          <w:lang w:val="en-US"/>
        </w:rPr>
        <w:t xml:space="preserve">, N. Á., &amp; </w:t>
      </w:r>
      <w:proofErr w:type="spellStart"/>
      <w:r w:rsidRPr="00455E2B">
        <w:rPr>
          <w:color w:val="333333"/>
          <w:shd w:val="clear" w:color="auto" w:fill="FFFFFF"/>
          <w:lang w:val="en-US"/>
        </w:rPr>
        <w:t>Holyoak</w:t>
      </w:r>
      <w:proofErr w:type="spellEnd"/>
      <w:r w:rsidRPr="00455E2B">
        <w:rPr>
          <w:color w:val="333333"/>
          <w:shd w:val="clear" w:color="auto" w:fill="FFFFFF"/>
          <w:lang w:val="en-US"/>
        </w:rPr>
        <w:t xml:space="preserve">, K. J. (2015). A Bayesian framework for knowledge attribution: Evidence from semantic integration. </w:t>
      </w:r>
      <w:r w:rsidRPr="00455E2B">
        <w:rPr>
          <w:i/>
          <w:iCs/>
          <w:color w:val="333333"/>
          <w:shd w:val="clear" w:color="auto" w:fill="FFFFFF"/>
          <w:lang w:val="en-US"/>
        </w:rPr>
        <w:t>Cognition</w:t>
      </w:r>
      <w:r w:rsidRPr="00455E2B">
        <w:rPr>
          <w:color w:val="333333"/>
          <w:shd w:val="clear" w:color="auto" w:fill="FFFFFF"/>
          <w:lang w:val="en-US"/>
        </w:rPr>
        <w:t xml:space="preserve">, </w:t>
      </w:r>
      <w:r w:rsidRPr="00455E2B">
        <w:rPr>
          <w:i/>
          <w:iCs/>
          <w:color w:val="333333"/>
          <w:shd w:val="clear" w:color="auto" w:fill="FFFFFF"/>
          <w:lang w:val="en-US"/>
        </w:rPr>
        <w:t>139</w:t>
      </w:r>
      <w:r w:rsidRPr="00455E2B">
        <w:rPr>
          <w:color w:val="333333"/>
          <w:shd w:val="clear" w:color="auto" w:fill="FFFFFF"/>
          <w:lang w:val="en-US"/>
        </w:rPr>
        <w:t xml:space="preserve">, 92–104. </w:t>
      </w:r>
      <w:hyperlink r:id="rId52" w:history="1">
        <w:r w:rsidRPr="00455E2B">
          <w:rPr>
            <w:color w:val="333333"/>
            <w:u w:val="single"/>
            <w:shd w:val="clear" w:color="auto" w:fill="FFFFFF"/>
            <w:lang w:val="en-US"/>
          </w:rPr>
          <w:t>https://doi.org/10.1016/j.cognition.2015.03.002</w:t>
        </w:r>
      </w:hyperlink>
    </w:p>
    <w:p w14:paraId="718EE6DF" w14:textId="77777777" w:rsidR="00092148" w:rsidRPr="00092148" w:rsidRDefault="00092148" w:rsidP="00092148">
      <w:pPr>
        <w:shd w:val="clear" w:color="auto" w:fill="auto"/>
        <w:ind w:left="720" w:hanging="720"/>
        <w:rPr>
          <w:lang w:val="en-US"/>
        </w:rPr>
      </w:pPr>
      <w:proofErr w:type="spellStart"/>
      <w:r w:rsidRPr="00092148">
        <w:rPr>
          <w:lang w:val="en-US"/>
        </w:rPr>
        <w:t>Pownall</w:t>
      </w:r>
      <w:proofErr w:type="spellEnd"/>
      <w:r w:rsidRPr="00092148">
        <w:rPr>
          <w:lang w:val="en-US"/>
        </w:rPr>
        <w:t xml:space="preserve">, M., Azevedo, F., König, L. M., Slack, H. R., Evans, T. R., Flack, Z., </w:t>
      </w:r>
      <w:proofErr w:type="spellStart"/>
      <w:r w:rsidRPr="00092148">
        <w:rPr>
          <w:lang w:val="en-US"/>
        </w:rPr>
        <w:t>Grinschgl</w:t>
      </w:r>
      <w:proofErr w:type="spellEnd"/>
      <w:r w:rsidRPr="00092148">
        <w:rPr>
          <w:lang w:val="en-US"/>
        </w:rPr>
        <w:t xml:space="preserve">, S., </w:t>
      </w:r>
      <w:proofErr w:type="spellStart"/>
      <w:r w:rsidRPr="00092148">
        <w:rPr>
          <w:lang w:val="en-US"/>
        </w:rPr>
        <w:t>Elsherif</w:t>
      </w:r>
      <w:proofErr w:type="spellEnd"/>
      <w:r w:rsidRPr="00092148">
        <w:rPr>
          <w:lang w:val="en-US"/>
        </w:rPr>
        <w:t xml:space="preserve">, M. M., Gilligan-Lee, K. A., Oliveira, C. M., </w:t>
      </w:r>
      <w:proofErr w:type="spellStart"/>
      <w:r w:rsidRPr="00092148">
        <w:rPr>
          <w:lang w:val="en-US"/>
        </w:rPr>
        <w:t>Gjoneska</w:t>
      </w:r>
      <w:proofErr w:type="spellEnd"/>
      <w:r w:rsidRPr="00092148">
        <w:rPr>
          <w:lang w:val="en-US"/>
        </w:rPr>
        <w:t xml:space="preserve">, B., </w:t>
      </w:r>
      <w:proofErr w:type="spellStart"/>
      <w:r w:rsidRPr="00092148">
        <w:rPr>
          <w:lang w:val="en-US"/>
        </w:rPr>
        <w:t>Kanadadze</w:t>
      </w:r>
      <w:proofErr w:type="spellEnd"/>
      <w:r w:rsidRPr="00092148">
        <w:rPr>
          <w:lang w:val="en-US"/>
        </w:rPr>
        <w:t>, T., Button, K. S., Ashcroft-Jones, S., Terry, J., Albayrak-</w:t>
      </w:r>
      <w:proofErr w:type="spellStart"/>
      <w:r w:rsidRPr="00092148">
        <w:rPr>
          <w:lang w:val="en-US"/>
        </w:rPr>
        <w:t>Aydemir</w:t>
      </w:r>
      <w:proofErr w:type="spellEnd"/>
      <w:r w:rsidRPr="00092148">
        <w:rPr>
          <w:lang w:val="en-US"/>
        </w:rPr>
        <w:t xml:space="preserve">, N., </w:t>
      </w:r>
      <w:proofErr w:type="spellStart"/>
      <w:r w:rsidRPr="00092148">
        <w:rPr>
          <w:lang w:val="en-US"/>
        </w:rPr>
        <w:t>Dechterenko</w:t>
      </w:r>
      <w:proofErr w:type="spellEnd"/>
      <w:r w:rsidRPr="00092148">
        <w:rPr>
          <w:lang w:val="en-US"/>
        </w:rPr>
        <w:t xml:space="preserve">, F., </w:t>
      </w:r>
      <w:proofErr w:type="spellStart"/>
      <w:r w:rsidRPr="00092148">
        <w:rPr>
          <w:lang w:val="en-US"/>
        </w:rPr>
        <w:t>Alzahawi</w:t>
      </w:r>
      <w:proofErr w:type="spellEnd"/>
      <w:r w:rsidRPr="00092148">
        <w:rPr>
          <w:lang w:val="en-US"/>
        </w:rPr>
        <w:t xml:space="preserve">, S., Baker, B. J., … </w:t>
      </w:r>
      <w:proofErr w:type="spellStart"/>
      <w:r w:rsidRPr="00092148">
        <w:rPr>
          <w:lang w:val="en-US"/>
        </w:rPr>
        <w:t>Forrt</w:t>
      </w:r>
      <w:proofErr w:type="spellEnd"/>
      <w:r w:rsidRPr="00092148">
        <w:rPr>
          <w:lang w:val="en-US"/>
        </w:rPr>
        <w:t xml:space="preserve">. (2022). </w:t>
      </w:r>
      <w:r w:rsidRPr="00092148">
        <w:rPr>
          <w:i/>
          <w:iCs/>
          <w:lang w:val="en-US"/>
        </w:rPr>
        <w:t>The impact of open and reproducible scholarship on students’ scientific literacy, engagement, and attitudes towards science: A review and synthesis of the evidence</w:t>
      </w:r>
      <w:r w:rsidRPr="00092148">
        <w:rPr>
          <w:lang w:val="en-US"/>
        </w:rPr>
        <w:t xml:space="preserve"> [Preprint]. </w:t>
      </w:r>
      <w:proofErr w:type="spellStart"/>
      <w:r w:rsidRPr="00092148">
        <w:rPr>
          <w:lang w:val="en-US"/>
        </w:rPr>
        <w:t>MetaArXiv</w:t>
      </w:r>
      <w:proofErr w:type="spellEnd"/>
      <w:r w:rsidRPr="00092148">
        <w:rPr>
          <w:lang w:val="en-US"/>
        </w:rPr>
        <w:t xml:space="preserve">. </w:t>
      </w:r>
      <w:hyperlink r:id="rId53" w:history="1">
        <w:r w:rsidRPr="00092148">
          <w:rPr>
            <w:color w:val="0000FF"/>
            <w:u w:val="single"/>
            <w:lang w:val="en-US"/>
          </w:rPr>
          <w:t>https://doi.org/10.31222/osf.io/9e526</w:t>
        </w:r>
      </w:hyperlink>
    </w:p>
    <w:p w14:paraId="210F0211" w14:textId="77777777"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t xml:space="preserve">Satchell, L. (n.d.). </w:t>
      </w:r>
      <w:r w:rsidRPr="00455E2B">
        <w:rPr>
          <w:i/>
          <w:iCs/>
          <w:color w:val="333333"/>
          <w:shd w:val="clear" w:color="auto" w:fill="FFFFFF"/>
          <w:lang w:val="en-US"/>
        </w:rPr>
        <w:t>[In progress] Collaborators for simple add-on “psych of psych” study</w:t>
      </w:r>
      <w:r w:rsidRPr="00455E2B">
        <w:rPr>
          <w:color w:val="333333"/>
          <w:shd w:val="clear" w:color="auto" w:fill="FFFFFF"/>
          <w:lang w:val="en-US"/>
        </w:rPr>
        <w:t xml:space="preserve">. Retrieved August 7, 2018, from </w:t>
      </w:r>
      <w:hyperlink r:id="rId54" w:history="1">
        <w:r w:rsidRPr="00455E2B">
          <w:rPr>
            <w:color w:val="333333"/>
            <w:u w:val="single"/>
            <w:shd w:val="clear" w:color="auto" w:fill="FFFFFF"/>
            <w:lang w:val="en-US"/>
          </w:rPr>
          <w:t>https://osf.io/ywekt/</w:t>
        </w:r>
      </w:hyperlink>
    </w:p>
    <w:p w14:paraId="39977091" w14:textId="21F62524" w:rsidR="00CA24D3" w:rsidRPr="00CA24D3" w:rsidRDefault="00CA24D3" w:rsidP="00CA24D3">
      <w:pPr>
        <w:shd w:val="clear" w:color="auto" w:fill="auto"/>
        <w:ind w:left="720" w:hanging="720"/>
        <w:rPr>
          <w:lang w:val="en-US"/>
        </w:rPr>
      </w:pPr>
      <w:proofErr w:type="spellStart"/>
      <w:r w:rsidRPr="00CA24D3">
        <w:rPr>
          <w:lang w:val="en-US"/>
        </w:rPr>
        <w:lastRenderedPageBreak/>
        <w:t>Seyedsayamdost</w:t>
      </w:r>
      <w:proofErr w:type="spellEnd"/>
      <w:r w:rsidRPr="00CA24D3">
        <w:rPr>
          <w:lang w:val="en-US"/>
        </w:rPr>
        <w:t xml:space="preserve">, H. (2015). </w:t>
      </w:r>
      <w:r>
        <w:rPr>
          <w:lang w:val="en-US"/>
        </w:rPr>
        <w:t>O</w:t>
      </w:r>
      <w:r w:rsidRPr="00CA24D3">
        <w:rPr>
          <w:lang w:val="en-US"/>
        </w:rPr>
        <w:t xml:space="preserve">n normativity and epistemic intuitions: </w:t>
      </w:r>
      <w:r>
        <w:rPr>
          <w:lang w:val="en-US"/>
        </w:rPr>
        <w:t>F</w:t>
      </w:r>
      <w:r w:rsidRPr="00CA24D3">
        <w:rPr>
          <w:lang w:val="en-US"/>
        </w:rPr>
        <w:t xml:space="preserve">ailure of replication. </w:t>
      </w:r>
      <w:r w:rsidRPr="00CA24D3">
        <w:rPr>
          <w:i/>
          <w:iCs/>
          <w:lang w:val="en-US"/>
        </w:rPr>
        <w:t>Episteme</w:t>
      </w:r>
      <w:r w:rsidRPr="00CA24D3">
        <w:rPr>
          <w:lang w:val="en-US"/>
        </w:rPr>
        <w:t xml:space="preserve">, </w:t>
      </w:r>
      <w:r w:rsidRPr="00CA24D3">
        <w:rPr>
          <w:i/>
          <w:iCs/>
          <w:lang w:val="en-US"/>
        </w:rPr>
        <w:t>12</w:t>
      </w:r>
      <w:r w:rsidRPr="00CA24D3">
        <w:rPr>
          <w:lang w:val="en-US"/>
        </w:rPr>
        <w:t xml:space="preserve">(1), 95–116. </w:t>
      </w:r>
      <w:hyperlink r:id="rId55" w:history="1">
        <w:r w:rsidRPr="00CA24D3">
          <w:rPr>
            <w:color w:val="0000FF"/>
            <w:u w:val="single"/>
            <w:lang w:val="en-US"/>
          </w:rPr>
          <w:t>https://doi.org/10.1017/epi.2014.27</w:t>
        </w:r>
      </w:hyperlink>
    </w:p>
    <w:p w14:paraId="57CF069D" w14:textId="77777777" w:rsidR="00455E2B" w:rsidRPr="00455E2B" w:rsidRDefault="00455E2B" w:rsidP="00455E2B">
      <w:pPr>
        <w:shd w:val="clear" w:color="auto" w:fill="auto"/>
        <w:ind w:left="720" w:hanging="720"/>
        <w:rPr>
          <w:color w:val="000000"/>
          <w:lang w:val="en-US"/>
        </w:rPr>
      </w:pPr>
      <w:proofErr w:type="spellStart"/>
      <w:r w:rsidRPr="00455E2B">
        <w:rPr>
          <w:color w:val="333333"/>
          <w:shd w:val="clear" w:color="auto" w:fill="FFFFFF"/>
          <w:lang w:val="en-US"/>
        </w:rPr>
        <w:t>Silberzahn</w:t>
      </w:r>
      <w:proofErr w:type="spellEnd"/>
      <w:r w:rsidRPr="00455E2B">
        <w:rPr>
          <w:color w:val="333333"/>
          <w:shd w:val="clear" w:color="auto" w:fill="FFFFFF"/>
          <w:lang w:val="en-US"/>
        </w:rPr>
        <w:t xml:space="preserve">, R., Uhlmann, E. L., Martin, D. P., </w:t>
      </w:r>
      <w:proofErr w:type="spellStart"/>
      <w:r w:rsidRPr="00455E2B">
        <w:rPr>
          <w:color w:val="333333"/>
          <w:shd w:val="clear" w:color="auto" w:fill="FFFFFF"/>
          <w:lang w:val="en-US"/>
        </w:rPr>
        <w:t>Anselmi</w:t>
      </w:r>
      <w:proofErr w:type="spellEnd"/>
      <w:r w:rsidRPr="00455E2B">
        <w:rPr>
          <w:color w:val="333333"/>
          <w:shd w:val="clear" w:color="auto" w:fill="FFFFFF"/>
          <w:lang w:val="en-US"/>
        </w:rPr>
        <w:t xml:space="preserve">, P., Aust, F., Awtrey, E., </w:t>
      </w:r>
      <w:proofErr w:type="spellStart"/>
      <w:r w:rsidRPr="00455E2B">
        <w:rPr>
          <w:color w:val="333333"/>
          <w:shd w:val="clear" w:color="auto" w:fill="FFFFFF"/>
          <w:lang w:val="en-US"/>
        </w:rPr>
        <w:t>Bahník</w:t>
      </w:r>
      <w:proofErr w:type="spellEnd"/>
      <w:r w:rsidRPr="00455E2B">
        <w:rPr>
          <w:color w:val="333333"/>
          <w:shd w:val="clear" w:color="auto" w:fill="FFFFFF"/>
          <w:lang w:val="en-US"/>
        </w:rPr>
        <w:t xml:space="preserve">, Š., Bai, F., Bannard, C., Bonnier, E., Carlsson, R., Cheung, F., Christensen, G., Clay, R., Craig, M. A., Dalla Rosa, A., Dam, L., Evans, M. H., Flores Cervantes, I., … </w:t>
      </w:r>
      <w:proofErr w:type="spellStart"/>
      <w:r w:rsidRPr="00455E2B">
        <w:rPr>
          <w:color w:val="333333"/>
          <w:shd w:val="clear" w:color="auto" w:fill="FFFFFF"/>
          <w:lang w:val="en-US"/>
        </w:rPr>
        <w:t>Nosek</w:t>
      </w:r>
      <w:proofErr w:type="spellEnd"/>
      <w:r w:rsidRPr="00455E2B">
        <w:rPr>
          <w:color w:val="333333"/>
          <w:shd w:val="clear" w:color="auto" w:fill="FFFFFF"/>
          <w:lang w:val="en-US"/>
        </w:rPr>
        <w:t xml:space="preserve">, B. A. (2018). Many Analysts, One Data Set: Making Transparent How Variations in Analytic Choices Affect Results. </w:t>
      </w:r>
      <w:r w:rsidRPr="00455E2B">
        <w:rPr>
          <w:i/>
          <w:iCs/>
          <w:color w:val="333333"/>
          <w:shd w:val="clear" w:color="auto" w:fill="FFFFFF"/>
          <w:lang w:val="en-US"/>
        </w:rPr>
        <w:t>Advances in Methods and Practices in Psychological Science</w:t>
      </w:r>
      <w:r w:rsidRPr="00455E2B">
        <w:rPr>
          <w:color w:val="333333"/>
          <w:shd w:val="clear" w:color="auto" w:fill="FFFFFF"/>
          <w:lang w:val="en-US"/>
        </w:rPr>
        <w:t xml:space="preserve">, </w:t>
      </w:r>
      <w:r w:rsidRPr="00455E2B">
        <w:rPr>
          <w:i/>
          <w:iCs/>
          <w:color w:val="333333"/>
          <w:shd w:val="clear" w:color="auto" w:fill="FFFFFF"/>
          <w:lang w:val="en-US"/>
        </w:rPr>
        <w:t>1</w:t>
      </w:r>
      <w:r w:rsidRPr="00455E2B">
        <w:rPr>
          <w:color w:val="333333"/>
          <w:shd w:val="clear" w:color="auto" w:fill="FFFFFF"/>
          <w:lang w:val="en-US"/>
        </w:rPr>
        <w:t xml:space="preserve">(3), 337–356. </w:t>
      </w:r>
      <w:hyperlink r:id="rId56" w:history="1">
        <w:r w:rsidRPr="00455E2B">
          <w:rPr>
            <w:color w:val="333333"/>
            <w:u w:val="single"/>
            <w:shd w:val="clear" w:color="auto" w:fill="FFFFFF"/>
            <w:lang w:val="en-US"/>
          </w:rPr>
          <w:t>https://doi.org/10.1177/2515245917747646</w:t>
        </w:r>
      </w:hyperlink>
    </w:p>
    <w:p w14:paraId="7D4D8E13" w14:textId="3F4B9B7B" w:rsidR="002E6378" w:rsidRPr="002E6378" w:rsidRDefault="002E6378" w:rsidP="002E6378">
      <w:pPr>
        <w:shd w:val="clear" w:color="auto" w:fill="auto"/>
        <w:ind w:left="720" w:hanging="720"/>
        <w:rPr>
          <w:lang w:val="en-US"/>
        </w:rPr>
      </w:pPr>
      <w:r w:rsidRPr="002E6378">
        <w:rPr>
          <w:lang w:val="en-US"/>
        </w:rPr>
        <w:t xml:space="preserve">Simmons, J. P., Nelson, L. D., &amp; </w:t>
      </w:r>
      <w:proofErr w:type="spellStart"/>
      <w:r w:rsidRPr="002E6378">
        <w:rPr>
          <w:lang w:val="en-US"/>
        </w:rPr>
        <w:t>Simonsohn</w:t>
      </w:r>
      <w:proofErr w:type="spellEnd"/>
      <w:r w:rsidRPr="002E6378">
        <w:rPr>
          <w:lang w:val="en-US"/>
        </w:rPr>
        <w:t xml:space="preserve">, U. (2011). False-positive psychology: </w:t>
      </w:r>
      <w:r>
        <w:rPr>
          <w:lang w:val="en-US"/>
        </w:rPr>
        <w:t>U</w:t>
      </w:r>
      <w:r w:rsidRPr="002E6378">
        <w:rPr>
          <w:lang w:val="en-US"/>
        </w:rPr>
        <w:t xml:space="preserve">ndisclosed flexibility in data collection and analysis allows presenting anything as significant. </w:t>
      </w:r>
      <w:r w:rsidRPr="002E6378">
        <w:rPr>
          <w:i/>
          <w:iCs/>
          <w:lang w:val="en-US"/>
        </w:rPr>
        <w:t>Psychological Science</w:t>
      </w:r>
      <w:r w:rsidRPr="002E6378">
        <w:rPr>
          <w:lang w:val="en-US"/>
        </w:rPr>
        <w:t xml:space="preserve">, </w:t>
      </w:r>
      <w:r w:rsidRPr="002E6378">
        <w:rPr>
          <w:i/>
          <w:iCs/>
          <w:lang w:val="en-US"/>
        </w:rPr>
        <w:t>22</w:t>
      </w:r>
      <w:r w:rsidRPr="002E6378">
        <w:rPr>
          <w:lang w:val="en-US"/>
        </w:rPr>
        <w:t xml:space="preserve">(11), 1359–1366. </w:t>
      </w:r>
      <w:hyperlink r:id="rId57" w:history="1">
        <w:r w:rsidRPr="002E6378">
          <w:rPr>
            <w:color w:val="0000FF"/>
            <w:u w:val="single"/>
            <w:lang w:val="en-US"/>
          </w:rPr>
          <w:t>https://doi.org/10.1177/0956797611417632</w:t>
        </w:r>
      </w:hyperlink>
    </w:p>
    <w:p w14:paraId="3C3D96F8" w14:textId="77777777"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t xml:space="preserve">Simons, D. J., </w:t>
      </w:r>
      <w:proofErr w:type="spellStart"/>
      <w:r w:rsidRPr="00455E2B">
        <w:rPr>
          <w:color w:val="333333"/>
          <w:shd w:val="clear" w:color="auto" w:fill="FFFFFF"/>
          <w:lang w:val="en-US"/>
        </w:rPr>
        <w:t>Shoda</w:t>
      </w:r>
      <w:proofErr w:type="spellEnd"/>
      <w:r w:rsidRPr="00455E2B">
        <w:rPr>
          <w:color w:val="333333"/>
          <w:shd w:val="clear" w:color="auto" w:fill="FFFFFF"/>
          <w:lang w:val="en-US"/>
        </w:rPr>
        <w:t xml:space="preserve">, Y., &amp; Lindsay, D. S. (2017). Constraints on Generality (COG): A Proposed Addition to All Empirical Papers. </w:t>
      </w:r>
      <w:r w:rsidRPr="00455E2B">
        <w:rPr>
          <w:i/>
          <w:iCs/>
          <w:color w:val="333333"/>
          <w:shd w:val="clear" w:color="auto" w:fill="FFFFFF"/>
          <w:lang w:val="en-US"/>
        </w:rPr>
        <w:t>Perspectives on Psychological Science</w:t>
      </w:r>
      <w:r w:rsidRPr="00455E2B">
        <w:rPr>
          <w:color w:val="333333"/>
          <w:shd w:val="clear" w:color="auto" w:fill="FFFFFF"/>
          <w:lang w:val="en-US"/>
        </w:rPr>
        <w:t xml:space="preserve">, </w:t>
      </w:r>
      <w:r w:rsidRPr="00455E2B">
        <w:rPr>
          <w:i/>
          <w:iCs/>
          <w:color w:val="333333"/>
          <w:shd w:val="clear" w:color="auto" w:fill="FFFFFF"/>
          <w:lang w:val="en-US"/>
        </w:rPr>
        <w:t>12</w:t>
      </w:r>
      <w:r w:rsidRPr="00455E2B">
        <w:rPr>
          <w:color w:val="333333"/>
          <w:shd w:val="clear" w:color="auto" w:fill="FFFFFF"/>
          <w:lang w:val="en-US"/>
        </w:rPr>
        <w:t xml:space="preserve">(6), 1123–1128. </w:t>
      </w:r>
      <w:hyperlink r:id="rId58" w:history="1">
        <w:r w:rsidRPr="00455E2B">
          <w:rPr>
            <w:color w:val="333333"/>
            <w:u w:val="single"/>
            <w:shd w:val="clear" w:color="auto" w:fill="FFFFFF"/>
            <w:lang w:val="en-US"/>
          </w:rPr>
          <w:t>https://doi.org/10.1177/1745691617708630</w:t>
        </w:r>
      </w:hyperlink>
    </w:p>
    <w:p w14:paraId="21D56B15" w14:textId="77777777" w:rsidR="00455E2B" w:rsidRPr="00455E2B" w:rsidRDefault="00455E2B" w:rsidP="00455E2B">
      <w:pPr>
        <w:shd w:val="clear" w:color="auto" w:fill="auto"/>
        <w:ind w:left="720" w:hanging="720"/>
        <w:rPr>
          <w:color w:val="000000"/>
          <w:lang w:val="en-US"/>
        </w:rPr>
      </w:pPr>
      <w:proofErr w:type="spellStart"/>
      <w:r w:rsidRPr="00455E2B">
        <w:rPr>
          <w:color w:val="333333"/>
          <w:shd w:val="clear" w:color="auto" w:fill="FFFFFF"/>
          <w:lang w:val="en-US"/>
        </w:rPr>
        <w:t>Simonsohn</w:t>
      </w:r>
      <w:proofErr w:type="spellEnd"/>
      <w:r w:rsidRPr="00455E2B">
        <w:rPr>
          <w:color w:val="333333"/>
          <w:shd w:val="clear" w:color="auto" w:fill="FFFFFF"/>
          <w:lang w:val="en-US"/>
        </w:rPr>
        <w:t xml:space="preserve">, U. (2013). Just Post It: The Lesson From Two Cases of Fabricated Data Detected by Statistics Alone. </w:t>
      </w:r>
      <w:r w:rsidRPr="00455E2B">
        <w:rPr>
          <w:i/>
          <w:iCs/>
          <w:color w:val="333333"/>
          <w:shd w:val="clear" w:color="auto" w:fill="FFFFFF"/>
          <w:lang w:val="en-US"/>
        </w:rPr>
        <w:t>Psychological Science</w:t>
      </w:r>
      <w:r w:rsidRPr="00455E2B">
        <w:rPr>
          <w:color w:val="333333"/>
          <w:shd w:val="clear" w:color="auto" w:fill="FFFFFF"/>
          <w:lang w:val="en-US"/>
        </w:rPr>
        <w:t xml:space="preserve">, </w:t>
      </w:r>
      <w:r w:rsidRPr="00455E2B">
        <w:rPr>
          <w:i/>
          <w:iCs/>
          <w:color w:val="333333"/>
          <w:shd w:val="clear" w:color="auto" w:fill="FFFFFF"/>
          <w:lang w:val="en-US"/>
        </w:rPr>
        <w:t>24</w:t>
      </w:r>
      <w:r w:rsidRPr="00455E2B">
        <w:rPr>
          <w:color w:val="333333"/>
          <w:shd w:val="clear" w:color="auto" w:fill="FFFFFF"/>
          <w:lang w:val="en-US"/>
        </w:rPr>
        <w:t xml:space="preserve">(10), 1875–1888. </w:t>
      </w:r>
      <w:hyperlink r:id="rId59" w:history="1">
        <w:r w:rsidRPr="00455E2B">
          <w:rPr>
            <w:color w:val="333333"/>
            <w:u w:val="single"/>
            <w:shd w:val="clear" w:color="auto" w:fill="FFFFFF"/>
            <w:lang w:val="en-US"/>
          </w:rPr>
          <w:t>https://doi.org/10.1177/0956797613480366</w:t>
        </w:r>
      </w:hyperlink>
    </w:p>
    <w:p w14:paraId="1379C6F2" w14:textId="131135B8" w:rsidR="00455E2B" w:rsidRDefault="00455E2B" w:rsidP="00455E2B">
      <w:pPr>
        <w:shd w:val="clear" w:color="auto" w:fill="auto"/>
        <w:ind w:left="720" w:hanging="720"/>
        <w:rPr>
          <w:color w:val="333333"/>
          <w:shd w:val="clear" w:color="auto" w:fill="FFFFFF"/>
          <w:lang w:val="en-US"/>
        </w:rPr>
      </w:pPr>
      <w:proofErr w:type="spellStart"/>
      <w:r w:rsidRPr="00455E2B">
        <w:rPr>
          <w:color w:val="333333"/>
          <w:shd w:val="clear" w:color="auto" w:fill="FFFFFF"/>
          <w:lang w:val="en-US"/>
        </w:rPr>
        <w:t>Snijders</w:t>
      </w:r>
      <w:proofErr w:type="spellEnd"/>
      <w:r w:rsidRPr="00455E2B">
        <w:rPr>
          <w:color w:val="333333"/>
          <w:shd w:val="clear" w:color="auto" w:fill="FFFFFF"/>
          <w:lang w:val="en-US"/>
        </w:rPr>
        <w:t xml:space="preserve">, T. A. B, &amp; Bosker, R. J. (2012). </w:t>
      </w:r>
      <w:r w:rsidRPr="00455E2B">
        <w:rPr>
          <w:i/>
          <w:iCs/>
          <w:color w:val="333333"/>
          <w:shd w:val="clear" w:color="auto" w:fill="FFFFFF"/>
          <w:lang w:val="en-US"/>
        </w:rPr>
        <w:t>Multilevel analysis: An introduction to basic and advanced multilevel modeling</w:t>
      </w:r>
      <w:r w:rsidRPr="00455E2B">
        <w:rPr>
          <w:color w:val="333333"/>
          <w:shd w:val="clear" w:color="auto" w:fill="FFFFFF"/>
          <w:lang w:val="en-US"/>
        </w:rPr>
        <w:t>. 2nd ed. Los Angeles: SAGE.</w:t>
      </w:r>
    </w:p>
    <w:p w14:paraId="16469D34" w14:textId="160D5EA3" w:rsidR="00BD59E7" w:rsidRPr="00455E2B" w:rsidRDefault="00BD59E7" w:rsidP="00BD59E7">
      <w:pPr>
        <w:shd w:val="clear" w:color="auto" w:fill="auto"/>
        <w:ind w:left="720" w:hanging="720"/>
        <w:rPr>
          <w:lang w:val="en-US"/>
        </w:rPr>
      </w:pPr>
      <w:r w:rsidRPr="00BD59E7">
        <w:rPr>
          <w:lang w:val="en-US"/>
        </w:rPr>
        <w:t xml:space="preserve">Sosa, E. (2007). Experimental philosophy and philosophical intuition. </w:t>
      </w:r>
      <w:r w:rsidRPr="00BD59E7">
        <w:rPr>
          <w:i/>
          <w:iCs/>
          <w:lang w:val="en-US"/>
        </w:rPr>
        <w:t>Philosophical Studies</w:t>
      </w:r>
      <w:r w:rsidRPr="00BD59E7">
        <w:rPr>
          <w:lang w:val="en-US"/>
        </w:rPr>
        <w:t xml:space="preserve">, </w:t>
      </w:r>
      <w:r w:rsidRPr="00BD59E7">
        <w:rPr>
          <w:i/>
          <w:iCs/>
          <w:lang w:val="en-US"/>
        </w:rPr>
        <w:t>132</w:t>
      </w:r>
      <w:r w:rsidRPr="00BD59E7">
        <w:rPr>
          <w:lang w:val="en-US"/>
        </w:rPr>
        <w:t xml:space="preserve">(1), 99–107. </w:t>
      </w:r>
      <w:hyperlink r:id="rId60" w:history="1">
        <w:r w:rsidRPr="00BD59E7">
          <w:rPr>
            <w:color w:val="0000FF"/>
            <w:u w:val="single"/>
            <w:lang w:val="en-US"/>
          </w:rPr>
          <w:t>https://doi.org/10.1007/s11098-006-9050-3</w:t>
        </w:r>
      </w:hyperlink>
    </w:p>
    <w:p w14:paraId="41D1DBE0" w14:textId="77777777" w:rsidR="00455E2B" w:rsidRPr="00455E2B" w:rsidRDefault="00455E2B" w:rsidP="00455E2B">
      <w:pPr>
        <w:shd w:val="clear" w:color="auto" w:fill="auto"/>
        <w:ind w:left="720" w:hanging="720"/>
        <w:rPr>
          <w:color w:val="000000"/>
          <w:lang w:val="en-US"/>
        </w:rPr>
      </w:pPr>
      <w:proofErr w:type="spellStart"/>
      <w:r w:rsidRPr="00455E2B">
        <w:rPr>
          <w:color w:val="333333"/>
          <w:shd w:val="clear" w:color="auto" w:fill="FFFFFF"/>
          <w:lang w:val="en-US"/>
        </w:rPr>
        <w:t>Starmans</w:t>
      </w:r>
      <w:proofErr w:type="spellEnd"/>
      <w:r w:rsidRPr="00455E2B">
        <w:rPr>
          <w:color w:val="333333"/>
          <w:shd w:val="clear" w:color="auto" w:fill="FFFFFF"/>
          <w:lang w:val="en-US"/>
        </w:rPr>
        <w:t xml:space="preserve">, C., &amp; Friedman, O. (2012). The folk conception of knowledge. </w:t>
      </w:r>
      <w:r w:rsidRPr="00455E2B">
        <w:rPr>
          <w:i/>
          <w:iCs/>
          <w:color w:val="333333"/>
          <w:shd w:val="clear" w:color="auto" w:fill="FFFFFF"/>
          <w:lang w:val="en-US"/>
        </w:rPr>
        <w:t>Cognition</w:t>
      </w:r>
      <w:r w:rsidRPr="00455E2B">
        <w:rPr>
          <w:color w:val="333333"/>
          <w:shd w:val="clear" w:color="auto" w:fill="FFFFFF"/>
          <w:lang w:val="en-US"/>
        </w:rPr>
        <w:t xml:space="preserve">, </w:t>
      </w:r>
      <w:r w:rsidRPr="00455E2B">
        <w:rPr>
          <w:i/>
          <w:iCs/>
          <w:color w:val="333333"/>
          <w:shd w:val="clear" w:color="auto" w:fill="FFFFFF"/>
          <w:lang w:val="en-US"/>
        </w:rPr>
        <w:t>124</w:t>
      </w:r>
      <w:r w:rsidRPr="00455E2B">
        <w:rPr>
          <w:color w:val="333333"/>
          <w:shd w:val="clear" w:color="auto" w:fill="FFFFFF"/>
          <w:lang w:val="en-US"/>
        </w:rPr>
        <w:t xml:space="preserve">(3), 272–283. </w:t>
      </w:r>
      <w:hyperlink r:id="rId61" w:history="1">
        <w:r w:rsidRPr="00455E2B">
          <w:rPr>
            <w:color w:val="333333"/>
            <w:u w:val="single"/>
            <w:shd w:val="clear" w:color="auto" w:fill="FFFFFF"/>
            <w:lang w:val="en-US"/>
          </w:rPr>
          <w:t>https://doi.org/10.1016/j.cognition.2012.05.017</w:t>
        </w:r>
      </w:hyperlink>
    </w:p>
    <w:p w14:paraId="2AECEF6D" w14:textId="77777777" w:rsidR="00455E2B" w:rsidRPr="00455E2B" w:rsidRDefault="00455E2B" w:rsidP="00455E2B">
      <w:pPr>
        <w:shd w:val="clear" w:color="auto" w:fill="auto"/>
        <w:ind w:left="720" w:hanging="720"/>
        <w:rPr>
          <w:color w:val="000000"/>
          <w:lang w:val="en-US"/>
        </w:rPr>
      </w:pPr>
      <w:proofErr w:type="spellStart"/>
      <w:r w:rsidRPr="00455E2B">
        <w:rPr>
          <w:color w:val="333333"/>
          <w:shd w:val="clear" w:color="auto" w:fill="FFFFFF"/>
          <w:lang w:val="en-US"/>
        </w:rPr>
        <w:lastRenderedPageBreak/>
        <w:t>Starmans</w:t>
      </w:r>
      <w:proofErr w:type="spellEnd"/>
      <w:r w:rsidRPr="00455E2B">
        <w:rPr>
          <w:color w:val="333333"/>
          <w:shd w:val="clear" w:color="auto" w:fill="FFFFFF"/>
          <w:lang w:val="en-US"/>
        </w:rPr>
        <w:t xml:space="preserve">, C., &amp; Friedman, O. (2013). Taking ‘know’ for an answer: A reply to Nagel, San Juan, and Mar. </w:t>
      </w:r>
      <w:r w:rsidRPr="00455E2B">
        <w:rPr>
          <w:i/>
          <w:iCs/>
          <w:color w:val="333333"/>
          <w:shd w:val="clear" w:color="auto" w:fill="FFFFFF"/>
          <w:lang w:val="en-US"/>
        </w:rPr>
        <w:t>Cognition</w:t>
      </w:r>
      <w:r w:rsidRPr="00455E2B">
        <w:rPr>
          <w:color w:val="333333"/>
          <w:shd w:val="clear" w:color="auto" w:fill="FFFFFF"/>
          <w:lang w:val="en-US"/>
        </w:rPr>
        <w:t xml:space="preserve">, </w:t>
      </w:r>
      <w:r w:rsidRPr="00455E2B">
        <w:rPr>
          <w:i/>
          <w:iCs/>
          <w:color w:val="333333"/>
          <w:shd w:val="clear" w:color="auto" w:fill="FFFFFF"/>
          <w:lang w:val="en-US"/>
        </w:rPr>
        <w:t>129</w:t>
      </w:r>
      <w:r w:rsidRPr="00455E2B">
        <w:rPr>
          <w:color w:val="333333"/>
          <w:shd w:val="clear" w:color="auto" w:fill="FFFFFF"/>
          <w:lang w:val="en-US"/>
        </w:rPr>
        <w:t xml:space="preserve">(3), 662–665. </w:t>
      </w:r>
      <w:hyperlink r:id="rId62" w:history="1">
        <w:r w:rsidRPr="00455E2B">
          <w:rPr>
            <w:color w:val="333333"/>
            <w:u w:val="single"/>
            <w:shd w:val="clear" w:color="auto" w:fill="FFFFFF"/>
            <w:lang w:val="en-US"/>
          </w:rPr>
          <w:t>https://doi.org/10.1016/j.cognition.2013.05.009</w:t>
        </w:r>
      </w:hyperlink>
    </w:p>
    <w:p w14:paraId="5EA9F446" w14:textId="77777777"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t xml:space="preserve">Swain, S., Alexander, J., &amp; Weinberg, J. M. (2008). The Instability of Philosophical Intuitions: Running Hot and Cold on </w:t>
      </w:r>
      <w:proofErr w:type="spellStart"/>
      <w:r w:rsidRPr="00455E2B">
        <w:rPr>
          <w:color w:val="333333"/>
          <w:shd w:val="clear" w:color="auto" w:fill="FFFFFF"/>
          <w:lang w:val="en-US"/>
        </w:rPr>
        <w:t>Truetemp</w:t>
      </w:r>
      <w:proofErr w:type="spellEnd"/>
      <w:r w:rsidRPr="00455E2B">
        <w:rPr>
          <w:color w:val="333333"/>
          <w:shd w:val="clear" w:color="auto" w:fill="FFFFFF"/>
          <w:lang w:val="en-US"/>
        </w:rPr>
        <w:t xml:space="preserve">: THE INSTABILITY OF PHILOSOPHICAL INTUITIONS. </w:t>
      </w:r>
      <w:r w:rsidRPr="00455E2B">
        <w:rPr>
          <w:i/>
          <w:iCs/>
          <w:color w:val="333333"/>
          <w:shd w:val="clear" w:color="auto" w:fill="FFFFFF"/>
          <w:lang w:val="en-US"/>
        </w:rPr>
        <w:t>Philosophy and Phenomenological Research</w:t>
      </w:r>
      <w:r w:rsidRPr="00455E2B">
        <w:rPr>
          <w:color w:val="333333"/>
          <w:shd w:val="clear" w:color="auto" w:fill="FFFFFF"/>
          <w:lang w:val="en-US"/>
        </w:rPr>
        <w:t xml:space="preserve">, </w:t>
      </w:r>
      <w:r w:rsidRPr="00455E2B">
        <w:rPr>
          <w:i/>
          <w:iCs/>
          <w:color w:val="333333"/>
          <w:shd w:val="clear" w:color="auto" w:fill="FFFFFF"/>
          <w:lang w:val="en-US"/>
        </w:rPr>
        <w:t>76</w:t>
      </w:r>
      <w:r w:rsidRPr="00455E2B">
        <w:rPr>
          <w:color w:val="333333"/>
          <w:shd w:val="clear" w:color="auto" w:fill="FFFFFF"/>
          <w:lang w:val="en-US"/>
        </w:rPr>
        <w:t xml:space="preserve">(1), 138–155. </w:t>
      </w:r>
      <w:hyperlink r:id="rId63" w:history="1">
        <w:r w:rsidRPr="00455E2B">
          <w:rPr>
            <w:color w:val="333333"/>
            <w:u w:val="single"/>
            <w:shd w:val="clear" w:color="auto" w:fill="FFFFFF"/>
            <w:lang w:val="en-US"/>
          </w:rPr>
          <w:t>https://doi.org/10.1111/j.1933-1592.2007.00118.x</w:t>
        </w:r>
      </w:hyperlink>
    </w:p>
    <w:p w14:paraId="390D0CCD" w14:textId="77777777" w:rsidR="00455E2B" w:rsidRPr="00455E2B" w:rsidRDefault="00455E2B" w:rsidP="00455E2B">
      <w:pPr>
        <w:shd w:val="clear" w:color="auto" w:fill="auto"/>
        <w:ind w:left="720" w:hanging="720"/>
        <w:rPr>
          <w:color w:val="000000"/>
          <w:lang w:val="en-US"/>
        </w:rPr>
      </w:pPr>
      <w:proofErr w:type="spellStart"/>
      <w:r w:rsidRPr="00455E2B">
        <w:rPr>
          <w:color w:val="333333"/>
          <w:shd w:val="clear" w:color="auto" w:fill="FFFFFF"/>
          <w:lang w:val="en-US"/>
        </w:rPr>
        <w:t>Turri</w:t>
      </w:r>
      <w:proofErr w:type="spellEnd"/>
      <w:r w:rsidRPr="00455E2B">
        <w:rPr>
          <w:color w:val="333333"/>
          <w:shd w:val="clear" w:color="auto" w:fill="FFFFFF"/>
          <w:lang w:val="en-US"/>
        </w:rPr>
        <w:t xml:space="preserve">, J. (2013). A Conspicuous Art: Putting Gettier to the Test. </w:t>
      </w:r>
      <w:r w:rsidRPr="00455E2B">
        <w:rPr>
          <w:i/>
          <w:iCs/>
          <w:color w:val="333333"/>
          <w:shd w:val="clear" w:color="auto" w:fill="FFFFFF"/>
          <w:lang w:val="en-US"/>
        </w:rPr>
        <w:t>SSRN Electronic Journal</w:t>
      </w:r>
      <w:r w:rsidRPr="00455E2B">
        <w:rPr>
          <w:color w:val="333333"/>
          <w:shd w:val="clear" w:color="auto" w:fill="FFFFFF"/>
          <w:lang w:val="en-US"/>
        </w:rPr>
        <w:t xml:space="preserve">. </w:t>
      </w:r>
      <w:hyperlink r:id="rId64" w:history="1">
        <w:r w:rsidRPr="00455E2B">
          <w:rPr>
            <w:color w:val="333333"/>
            <w:u w:val="single"/>
            <w:shd w:val="clear" w:color="auto" w:fill="FFFFFF"/>
            <w:lang w:val="en-US"/>
          </w:rPr>
          <w:t>https://doi.org/10.2139/ssrn.3643930</w:t>
        </w:r>
      </w:hyperlink>
    </w:p>
    <w:p w14:paraId="7DC124FF" w14:textId="77777777" w:rsidR="00757D34" w:rsidRPr="00455E2B" w:rsidRDefault="00757D34" w:rsidP="00757D34">
      <w:pPr>
        <w:shd w:val="clear" w:color="auto" w:fill="auto"/>
        <w:ind w:left="720" w:hanging="720"/>
        <w:rPr>
          <w:color w:val="000000"/>
          <w:lang w:val="en-US"/>
        </w:rPr>
      </w:pPr>
      <w:proofErr w:type="spellStart"/>
      <w:r w:rsidRPr="00455E2B">
        <w:rPr>
          <w:color w:val="333333"/>
          <w:shd w:val="clear" w:color="auto" w:fill="FFFFFF"/>
          <w:lang w:val="en-US"/>
        </w:rPr>
        <w:t>Turri</w:t>
      </w:r>
      <w:proofErr w:type="spellEnd"/>
      <w:r w:rsidRPr="00455E2B">
        <w:rPr>
          <w:color w:val="333333"/>
          <w:shd w:val="clear" w:color="auto" w:fill="FFFFFF"/>
          <w:lang w:val="en-US"/>
        </w:rPr>
        <w:t xml:space="preserve">, J. (2016). A new paradigm for epistemology: </w:t>
      </w:r>
      <w:r>
        <w:rPr>
          <w:color w:val="333333"/>
          <w:shd w:val="clear" w:color="auto" w:fill="FFFFFF"/>
          <w:lang w:val="en-US"/>
        </w:rPr>
        <w:t>F</w:t>
      </w:r>
      <w:r w:rsidRPr="00455E2B">
        <w:rPr>
          <w:color w:val="333333"/>
          <w:shd w:val="clear" w:color="auto" w:fill="FFFFFF"/>
          <w:lang w:val="en-US"/>
        </w:rPr>
        <w:t xml:space="preserve">rom </w:t>
      </w:r>
      <w:proofErr w:type="spellStart"/>
      <w:r w:rsidRPr="00455E2B">
        <w:rPr>
          <w:color w:val="333333"/>
          <w:shd w:val="clear" w:color="auto" w:fill="FFFFFF"/>
          <w:lang w:val="en-US"/>
        </w:rPr>
        <w:t>reliabilism</w:t>
      </w:r>
      <w:proofErr w:type="spellEnd"/>
      <w:r w:rsidRPr="00455E2B">
        <w:rPr>
          <w:color w:val="333333"/>
          <w:shd w:val="clear" w:color="auto" w:fill="FFFFFF"/>
          <w:lang w:val="en-US"/>
        </w:rPr>
        <w:t xml:space="preserve"> to </w:t>
      </w:r>
      <w:proofErr w:type="spellStart"/>
      <w:r w:rsidRPr="00455E2B">
        <w:rPr>
          <w:color w:val="333333"/>
          <w:shd w:val="clear" w:color="auto" w:fill="FFFFFF"/>
          <w:lang w:val="en-US"/>
        </w:rPr>
        <w:t>abilism</w:t>
      </w:r>
      <w:proofErr w:type="spellEnd"/>
      <w:r w:rsidRPr="00455E2B">
        <w:rPr>
          <w:color w:val="333333"/>
          <w:shd w:val="clear" w:color="auto" w:fill="FFFFFF"/>
          <w:lang w:val="en-US"/>
        </w:rPr>
        <w:t xml:space="preserve">. </w:t>
      </w:r>
      <w:proofErr w:type="spellStart"/>
      <w:r w:rsidRPr="00455E2B">
        <w:rPr>
          <w:color w:val="333333"/>
          <w:shd w:val="clear" w:color="auto" w:fill="FFFFFF"/>
          <w:lang w:val="en-US"/>
        </w:rPr>
        <w:t>Turri</w:t>
      </w:r>
      <w:proofErr w:type="spellEnd"/>
      <w:r w:rsidRPr="00455E2B">
        <w:rPr>
          <w:color w:val="333333"/>
          <w:shd w:val="clear" w:color="auto" w:fill="FFFFFF"/>
          <w:lang w:val="en-US"/>
        </w:rPr>
        <w:t xml:space="preserve">, </w:t>
      </w:r>
      <w:proofErr w:type="gramStart"/>
      <w:r w:rsidRPr="00455E2B">
        <w:rPr>
          <w:color w:val="333333"/>
          <w:shd w:val="clear" w:color="auto" w:fill="FFFFFF"/>
          <w:lang w:val="en-US"/>
        </w:rPr>
        <w:t>J.(</w:t>
      </w:r>
      <w:proofErr w:type="gramEnd"/>
      <w:r w:rsidRPr="00455E2B">
        <w:rPr>
          <w:color w:val="333333"/>
          <w:shd w:val="clear" w:color="auto" w:fill="FFFFFF"/>
          <w:lang w:val="en-US"/>
        </w:rPr>
        <w:t xml:space="preserve">2016). A new paradigm for epistemology: from </w:t>
      </w:r>
      <w:proofErr w:type="spellStart"/>
      <w:r w:rsidRPr="00455E2B">
        <w:rPr>
          <w:color w:val="333333"/>
          <w:shd w:val="clear" w:color="auto" w:fill="FFFFFF"/>
          <w:lang w:val="en-US"/>
        </w:rPr>
        <w:t>reliabilism</w:t>
      </w:r>
      <w:proofErr w:type="spellEnd"/>
      <w:r w:rsidRPr="00455E2B">
        <w:rPr>
          <w:color w:val="333333"/>
          <w:shd w:val="clear" w:color="auto" w:fill="FFFFFF"/>
          <w:lang w:val="en-US"/>
        </w:rPr>
        <w:t xml:space="preserve"> to </w:t>
      </w:r>
      <w:proofErr w:type="spellStart"/>
      <w:r w:rsidRPr="00455E2B">
        <w:rPr>
          <w:color w:val="333333"/>
          <w:shd w:val="clear" w:color="auto" w:fill="FFFFFF"/>
          <w:lang w:val="en-US"/>
        </w:rPr>
        <w:t>abilism</w:t>
      </w:r>
      <w:proofErr w:type="spellEnd"/>
      <w:r w:rsidRPr="00455E2B">
        <w:rPr>
          <w:color w:val="333333"/>
          <w:shd w:val="clear" w:color="auto" w:fill="FFFFFF"/>
          <w:lang w:val="en-US"/>
        </w:rPr>
        <w:t xml:space="preserve">. </w:t>
      </w:r>
      <w:r w:rsidRPr="00455E2B">
        <w:rPr>
          <w:i/>
          <w:iCs/>
          <w:color w:val="333333"/>
          <w:shd w:val="clear" w:color="auto" w:fill="FFFFFF"/>
          <w:lang w:val="en-US"/>
        </w:rPr>
        <w:t>Ergo, 3</w:t>
      </w:r>
      <w:r w:rsidRPr="00455E2B">
        <w:rPr>
          <w:color w:val="333333"/>
          <w:shd w:val="clear" w:color="auto" w:fill="FFFFFF"/>
          <w:lang w:val="en-US"/>
        </w:rPr>
        <w:t>, 189-231.</w:t>
      </w:r>
    </w:p>
    <w:p w14:paraId="44B0F97A" w14:textId="77777777" w:rsidR="00455E2B" w:rsidRPr="00455E2B" w:rsidRDefault="00455E2B" w:rsidP="00455E2B">
      <w:pPr>
        <w:shd w:val="clear" w:color="auto" w:fill="auto"/>
        <w:ind w:left="720" w:hanging="720"/>
        <w:rPr>
          <w:color w:val="000000"/>
          <w:lang w:val="en-US"/>
        </w:rPr>
      </w:pPr>
      <w:proofErr w:type="spellStart"/>
      <w:r w:rsidRPr="00455E2B">
        <w:rPr>
          <w:color w:val="333333"/>
          <w:shd w:val="clear" w:color="auto" w:fill="FFFFFF"/>
          <w:lang w:val="en-US"/>
        </w:rPr>
        <w:t>Turri</w:t>
      </w:r>
      <w:proofErr w:type="spellEnd"/>
      <w:r w:rsidRPr="00455E2B">
        <w:rPr>
          <w:color w:val="333333"/>
          <w:shd w:val="clear" w:color="auto" w:fill="FFFFFF"/>
          <w:lang w:val="en-US"/>
        </w:rPr>
        <w:t xml:space="preserve">, J. (2017). Knowledge attributions in iterated fake barn cases. </w:t>
      </w:r>
      <w:r w:rsidRPr="00455E2B">
        <w:rPr>
          <w:i/>
          <w:iCs/>
          <w:color w:val="333333"/>
          <w:shd w:val="clear" w:color="auto" w:fill="FFFFFF"/>
          <w:lang w:val="en-US"/>
        </w:rPr>
        <w:t>Analysis</w:t>
      </w:r>
      <w:r w:rsidRPr="00455E2B">
        <w:rPr>
          <w:color w:val="333333"/>
          <w:shd w:val="clear" w:color="auto" w:fill="FFFFFF"/>
          <w:lang w:val="en-US"/>
        </w:rPr>
        <w:t xml:space="preserve">, </w:t>
      </w:r>
      <w:r w:rsidRPr="00455E2B">
        <w:rPr>
          <w:i/>
          <w:iCs/>
          <w:color w:val="333333"/>
          <w:shd w:val="clear" w:color="auto" w:fill="FFFFFF"/>
          <w:lang w:val="en-US"/>
        </w:rPr>
        <w:t>77</w:t>
      </w:r>
      <w:r w:rsidRPr="00455E2B">
        <w:rPr>
          <w:color w:val="333333"/>
          <w:shd w:val="clear" w:color="auto" w:fill="FFFFFF"/>
          <w:lang w:val="en-US"/>
        </w:rPr>
        <w:t xml:space="preserve">(1), 104–115. </w:t>
      </w:r>
      <w:hyperlink r:id="rId65" w:history="1">
        <w:r w:rsidRPr="00455E2B">
          <w:rPr>
            <w:color w:val="333333"/>
            <w:u w:val="single"/>
            <w:shd w:val="clear" w:color="auto" w:fill="FFFFFF"/>
            <w:lang w:val="en-US"/>
          </w:rPr>
          <w:t>https://doi.org/10.1093/analys/anx036</w:t>
        </w:r>
      </w:hyperlink>
    </w:p>
    <w:p w14:paraId="715C5B64" w14:textId="77777777" w:rsidR="00455E2B" w:rsidRPr="00455E2B" w:rsidRDefault="00455E2B" w:rsidP="00455E2B">
      <w:pPr>
        <w:shd w:val="clear" w:color="auto" w:fill="auto"/>
        <w:ind w:left="720" w:hanging="720"/>
        <w:rPr>
          <w:color w:val="000000"/>
          <w:lang w:val="en-US"/>
        </w:rPr>
      </w:pPr>
      <w:proofErr w:type="spellStart"/>
      <w:r w:rsidRPr="00455E2B">
        <w:rPr>
          <w:color w:val="333333"/>
          <w:shd w:val="clear" w:color="auto" w:fill="FFFFFF"/>
          <w:lang w:val="en-US"/>
        </w:rPr>
        <w:t>Turri</w:t>
      </w:r>
      <w:proofErr w:type="spellEnd"/>
      <w:r w:rsidRPr="00455E2B">
        <w:rPr>
          <w:color w:val="333333"/>
          <w:shd w:val="clear" w:color="auto" w:fill="FFFFFF"/>
          <w:lang w:val="en-US"/>
        </w:rPr>
        <w:t xml:space="preserve">, J., Buckwalter, W., &amp; </w:t>
      </w:r>
      <w:proofErr w:type="spellStart"/>
      <w:r w:rsidRPr="00455E2B">
        <w:rPr>
          <w:color w:val="333333"/>
          <w:shd w:val="clear" w:color="auto" w:fill="FFFFFF"/>
          <w:lang w:val="en-US"/>
        </w:rPr>
        <w:t>Blouw</w:t>
      </w:r>
      <w:proofErr w:type="spellEnd"/>
      <w:r w:rsidRPr="00455E2B">
        <w:rPr>
          <w:color w:val="333333"/>
          <w:shd w:val="clear" w:color="auto" w:fill="FFFFFF"/>
          <w:lang w:val="en-US"/>
        </w:rPr>
        <w:t xml:space="preserve">, P. (2015). Knowledge and luck. </w:t>
      </w:r>
      <w:r w:rsidRPr="00455E2B">
        <w:rPr>
          <w:i/>
          <w:iCs/>
          <w:color w:val="333333"/>
          <w:shd w:val="clear" w:color="auto" w:fill="FFFFFF"/>
          <w:lang w:val="en-US"/>
        </w:rPr>
        <w:t>Psychonomic Bulletin &amp; Review</w:t>
      </w:r>
      <w:r w:rsidRPr="00455E2B">
        <w:rPr>
          <w:color w:val="333333"/>
          <w:shd w:val="clear" w:color="auto" w:fill="FFFFFF"/>
          <w:lang w:val="en-US"/>
        </w:rPr>
        <w:t xml:space="preserve">, </w:t>
      </w:r>
      <w:r w:rsidRPr="00455E2B">
        <w:rPr>
          <w:i/>
          <w:iCs/>
          <w:color w:val="333333"/>
          <w:shd w:val="clear" w:color="auto" w:fill="FFFFFF"/>
          <w:lang w:val="en-US"/>
        </w:rPr>
        <w:t>22</w:t>
      </w:r>
      <w:r w:rsidRPr="00455E2B">
        <w:rPr>
          <w:color w:val="333333"/>
          <w:shd w:val="clear" w:color="auto" w:fill="FFFFFF"/>
          <w:lang w:val="en-US"/>
        </w:rPr>
        <w:t xml:space="preserve">(2), 378–390. </w:t>
      </w:r>
      <w:hyperlink r:id="rId66" w:history="1">
        <w:r w:rsidRPr="00455E2B">
          <w:rPr>
            <w:color w:val="333333"/>
            <w:u w:val="single"/>
            <w:shd w:val="clear" w:color="auto" w:fill="FFFFFF"/>
            <w:lang w:val="en-US"/>
          </w:rPr>
          <w:t>https://doi.org/10.3758/s13423-014-0683-5</w:t>
        </w:r>
      </w:hyperlink>
    </w:p>
    <w:p w14:paraId="7F2B115F" w14:textId="77777777" w:rsidR="00455E2B" w:rsidRPr="00455E2B" w:rsidRDefault="00455E2B" w:rsidP="00455E2B">
      <w:pPr>
        <w:shd w:val="clear" w:color="auto" w:fill="auto"/>
        <w:ind w:left="720" w:hanging="720"/>
        <w:rPr>
          <w:color w:val="000000"/>
          <w:lang w:val="en-US"/>
        </w:rPr>
      </w:pPr>
      <w:proofErr w:type="spellStart"/>
      <w:r w:rsidRPr="00455E2B">
        <w:rPr>
          <w:color w:val="333333"/>
          <w:shd w:val="clear" w:color="auto" w:fill="FFFFFF"/>
          <w:lang w:val="en-US"/>
        </w:rPr>
        <w:t>Vickstrom</w:t>
      </w:r>
      <w:proofErr w:type="spellEnd"/>
      <w:r w:rsidRPr="00455E2B">
        <w:rPr>
          <w:color w:val="333333"/>
          <w:shd w:val="clear" w:color="auto" w:fill="FFFFFF"/>
          <w:lang w:val="en-US"/>
        </w:rPr>
        <w:t xml:space="preserve">, E. R., Shin, H. B., Collazo, S. G., &amp; Bauman, K. J. (2015). </w:t>
      </w:r>
      <w:r w:rsidRPr="00455E2B">
        <w:rPr>
          <w:i/>
          <w:iCs/>
          <w:color w:val="333333"/>
          <w:shd w:val="clear" w:color="auto" w:fill="FFFFFF"/>
          <w:lang w:val="en-US"/>
        </w:rPr>
        <w:t>How Well–Still Good? Assessing the Validity of the American Community Survey’s English-Ability Question</w:t>
      </w:r>
      <w:r w:rsidRPr="00455E2B">
        <w:rPr>
          <w:color w:val="333333"/>
          <w:shd w:val="clear" w:color="auto" w:fill="FFFFFF"/>
          <w:lang w:val="en-US"/>
        </w:rPr>
        <w:t xml:space="preserve"> (Working Paper SEHSD-WP2015-18). U.S. Census Bureau.</w:t>
      </w:r>
    </w:p>
    <w:p w14:paraId="32466811" w14:textId="77777777" w:rsidR="00455E2B" w:rsidRPr="00455E2B" w:rsidRDefault="00455E2B" w:rsidP="00455E2B">
      <w:pPr>
        <w:shd w:val="clear" w:color="auto" w:fill="auto"/>
        <w:ind w:left="720" w:hanging="720"/>
        <w:rPr>
          <w:color w:val="000000"/>
          <w:lang w:val="en-US"/>
        </w:rPr>
      </w:pPr>
      <w:r w:rsidRPr="00455E2B">
        <w:rPr>
          <w:color w:val="333333"/>
          <w:shd w:val="clear" w:color="auto" w:fill="FFFFFF"/>
          <w:lang w:val="en-US"/>
        </w:rPr>
        <w:t xml:space="preserve">Wagge, J. R., </w:t>
      </w:r>
      <w:proofErr w:type="spellStart"/>
      <w:r w:rsidRPr="00455E2B">
        <w:rPr>
          <w:color w:val="333333"/>
          <w:shd w:val="clear" w:color="auto" w:fill="FFFFFF"/>
          <w:lang w:val="en-US"/>
        </w:rPr>
        <w:t>Baciu</w:t>
      </w:r>
      <w:proofErr w:type="spellEnd"/>
      <w:r w:rsidRPr="00455E2B">
        <w:rPr>
          <w:color w:val="333333"/>
          <w:shd w:val="clear" w:color="auto" w:fill="FFFFFF"/>
          <w:lang w:val="en-US"/>
        </w:rPr>
        <w:t xml:space="preserve">, C., Banas, K., Nadler, J. T., Schwarz, S., Weisberg, Y., </w:t>
      </w:r>
      <w:proofErr w:type="spellStart"/>
      <w:r w:rsidRPr="00455E2B">
        <w:rPr>
          <w:color w:val="333333"/>
          <w:shd w:val="clear" w:color="auto" w:fill="FFFFFF"/>
          <w:lang w:val="en-US"/>
        </w:rPr>
        <w:t>IJzerman</w:t>
      </w:r>
      <w:proofErr w:type="spellEnd"/>
      <w:r w:rsidRPr="00455E2B">
        <w:rPr>
          <w:color w:val="333333"/>
          <w:shd w:val="clear" w:color="auto" w:fill="FFFFFF"/>
          <w:lang w:val="en-US"/>
        </w:rPr>
        <w:t xml:space="preserve">, H., Legate, N., &amp; </w:t>
      </w:r>
      <w:proofErr w:type="spellStart"/>
      <w:r w:rsidRPr="00455E2B">
        <w:rPr>
          <w:color w:val="333333"/>
          <w:shd w:val="clear" w:color="auto" w:fill="FFFFFF"/>
          <w:lang w:val="en-US"/>
        </w:rPr>
        <w:t>Grahe</w:t>
      </w:r>
      <w:proofErr w:type="spellEnd"/>
      <w:r w:rsidRPr="00455E2B">
        <w:rPr>
          <w:color w:val="333333"/>
          <w:shd w:val="clear" w:color="auto" w:fill="FFFFFF"/>
          <w:lang w:val="en-US"/>
        </w:rPr>
        <w:t xml:space="preserve">, J. (2019). A Demonstration of the Collaborative Replication and Education Project: Replication Attempts of the Red-Romance Effect. </w:t>
      </w:r>
      <w:r w:rsidRPr="00455E2B">
        <w:rPr>
          <w:i/>
          <w:iCs/>
          <w:color w:val="333333"/>
          <w:shd w:val="clear" w:color="auto" w:fill="FFFFFF"/>
          <w:lang w:val="en-US"/>
        </w:rPr>
        <w:t>Collabra: Psychology</w:t>
      </w:r>
      <w:r w:rsidRPr="00455E2B">
        <w:rPr>
          <w:color w:val="333333"/>
          <w:shd w:val="clear" w:color="auto" w:fill="FFFFFF"/>
          <w:lang w:val="en-US"/>
        </w:rPr>
        <w:t xml:space="preserve">, </w:t>
      </w:r>
      <w:r w:rsidRPr="00455E2B">
        <w:rPr>
          <w:i/>
          <w:iCs/>
          <w:color w:val="333333"/>
          <w:shd w:val="clear" w:color="auto" w:fill="FFFFFF"/>
          <w:lang w:val="en-US"/>
        </w:rPr>
        <w:t>5</w:t>
      </w:r>
      <w:r w:rsidRPr="00455E2B">
        <w:rPr>
          <w:color w:val="333333"/>
          <w:shd w:val="clear" w:color="auto" w:fill="FFFFFF"/>
          <w:lang w:val="en-US"/>
        </w:rPr>
        <w:t xml:space="preserve">(1), 5. </w:t>
      </w:r>
      <w:hyperlink r:id="rId67" w:history="1">
        <w:r w:rsidRPr="00455E2B">
          <w:rPr>
            <w:color w:val="333333"/>
            <w:u w:val="single"/>
            <w:shd w:val="clear" w:color="auto" w:fill="FFFFFF"/>
            <w:lang w:val="en-US"/>
          </w:rPr>
          <w:t>https://doi.org/10.1525/collabra.177</w:t>
        </w:r>
      </w:hyperlink>
    </w:p>
    <w:p w14:paraId="7F80B58D" w14:textId="6053B8BF" w:rsidR="00054587" w:rsidRPr="00054587" w:rsidRDefault="00054587" w:rsidP="00054587">
      <w:pPr>
        <w:shd w:val="clear" w:color="auto" w:fill="auto"/>
        <w:ind w:left="720" w:hanging="720"/>
        <w:rPr>
          <w:lang w:val="en-US"/>
        </w:rPr>
      </w:pPr>
      <w:proofErr w:type="spellStart"/>
      <w:r w:rsidRPr="00054587">
        <w:rPr>
          <w:lang w:val="en-US"/>
        </w:rPr>
        <w:t>Weatherson</w:t>
      </w:r>
      <w:proofErr w:type="spellEnd"/>
      <w:r w:rsidRPr="00054587">
        <w:rPr>
          <w:lang w:val="en-US"/>
        </w:rPr>
        <w:t xml:space="preserve">, B. (2013). Margins and </w:t>
      </w:r>
      <w:r>
        <w:rPr>
          <w:lang w:val="en-US"/>
        </w:rPr>
        <w:t>e</w:t>
      </w:r>
      <w:r w:rsidRPr="00054587">
        <w:rPr>
          <w:lang w:val="en-US"/>
        </w:rPr>
        <w:t xml:space="preserve">rrors. </w:t>
      </w:r>
      <w:r w:rsidRPr="00054587">
        <w:rPr>
          <w:i/>
          <w:iCs/>
          <w:lang w:val="en-US"/>
        </w:rPr>
        <w:t>Inquiry</w:t>
      </w:r>
      <w:r w:rsidRPr="00054587">
        <w:rPr>
          <w:lang w:val="en-US"/>
        </w:rPr>
        <w:t xml:space="preserve">, </w:t>
      </w:r>
      <w:r w:rsidRPr="00054587">
        <w:rPr>
          <w:i/>
          <w:iCs/>
          <w:lang w:val="en-US"/>
        </w:rPr>
        <w:t>56</w:t>
      </w:r>
      <w:r w:rsidRPr="00054587">
        <w:rPr>
          <w:lang w:val="en-US"/>
        </w:rPr>
        <w:t xml:space="preserve">(1), 63–76. </w:t>
      </w:r>
      <w:hyperlink r:id="rId68" w:history="1">
        <w:r w:rsidRPr="00054587">
          <w:rPr>
            <w:color w:val="0000FF"/>
            <w:u w:val="single"/>
            <w:lang w:val="en-US"/>
          </w:rPr>
          <w:t>https://doi.org/10.1080/0020174X.2013.775015</w:t>
        </w:r>
      </w:hyperlink>
    </w:p>
    <w:p w14:paraId="5B398420" w14:textId="0015EB70" w:rsidR="00054587" w:rsidRPr="00054587" w:rsidRDefault="00054587" w:rsidP="00054587">
      <w:pPr>
        <w:shd w:val="clear" w:color="auto" w:fill="auto"/>
        <w:ind w:left="720" w:hanging="720"/>
        <w:rPr>
          <w:lang w:val="en-US"/>
        </w:rPr>
      </w:pPr>
      <w:r w:rsidRPr="00054587">
        <w:rPr>
          <w:lang w:val="en-US"/>
        </w:rPr>
        <w:lastRenderedPageBreak/>
        <w:t xml:space="preserve">Weinberg, J. M., Nichols, S., </w:t>
      </w:r>
      <w:r>
        <w:rPr>
          <w:lang w:val="en-US"/>
        </w:rPr>
        <w:t xml:space="preserve">&amp; </w:t>
      </w:r>
      <w:r w:rsidRPr="00054587">
        <w:rPr>
          <w:lang w:val="en-US"/>
        </w:rPr>
        <w:t xml:space="preserve">Stich, S. (2001). Normativity and </w:t>
      </w:r>
      <w:r>
        <w:rPr>
          <w:lang w:val="en-US"/>
        </w:rPr>
        <w:t>e</w:t>
      </w:r>
      <w:r w:rsidRPr="00054587">
        <w:rPr>
          <w:lang w:val="en-US"/>
        </w:rPr>
        <w:t xml:space="preserve">pistemic </w:t>
      </w:r>
      <w:r>
        <w:rPr>
          <w:lang w:val="en-US"/>
        </w:rPr>
        <w:t>i</w:t>
      </w:r>
      <w:r w:rsidRPr="00054587">
        <w:rPr>
          <w:lang w:val="en-US"/>
        </w:rPr>
        <w:t>ntuitions</w:t>
      </w:r>
      <w:r>
        <w:rPr>
          <w:lang w:val="en-US"/>
        </w:rPr>
        <w:t>.</w:t>
      </w:r>
      <w:r w:rsidRPr="00054587">
        <w:rPr>
          <w:lang w:val="en-US"/>
        </w:rPr>
        <w:t xml:space="preserve"> </w:t>
      </w:r>
      <w:r w:rsidRPr="00054587">
        <w:rPr>
          <w:i/>
          <w:iCs/>
          <w:lang w:val="en-US"/>
        </w:rPr>
        <w:t>Philosophical Topics</w:t>
      </w:r>
      <w:r w:rsidRPr="00054587">
        <w:rPr>
          <w:lang w:val="en-US"/>
        </w:rPr>
        <w:t xml:space="preserve">, </w:t>
      </w:r>
      <w:r w:rsidRPr="00054587">
        <w:rPr>
          <w:i/>
          <w:iCs/>
          <w:lang w:val="en-US"/>
        </w:rPr>
        <w:t>29</w:t>
      </w:r>
      <w:r w:rsidRPr="00054587">
        <w:rPr>
          <w:lang w:val="en-US"/>
        </w:rPr>
        <w:t xml:space="preserve">(1), 429–460. </w:t>
      </w:r>
      <w:hyperlink r:id="rId69" w:history="1">
        <w:r w:rsidRPr="00054587">
          <w:rPr>
            <w:color w:val="0000FF"/>
            <w:u w:val="single"/>
            <w:lang w:val="en-US"/>
          </w:rPr>
          <w:t>https://doi.org/10.5840/philtopics2001291/217</w:t>
        </w:r>
      </w:hyperlink>
    </w:p>
    <w:p w14:paraId="52132612" w14:textId="77777777" w:rsidR="00455E2B" w:rsidRPr="00455E2B" w:rsidRDefault="00455E2B" w:rsidP="00455E2B">
      <w:pPr>
        <w:shd w:val="clear" w:color="auto" w:fill="auto"/>
        <w:ind w:left="720" w:hanging="720"/>
        <w:rPr>
          <w:color w:val="000000"/>
          <w:lang w:val="en-US"/>
        </w:rPr>
      </w:pPr>
      <w:proofErr w:type="spellStart"/>
      <w:r w:rsidRPr="00455E2B">
        <w:rPr>
          <w:color w:val="333333"/>
          <w:shd w:val="clear" w:color="auto" w:fill="FFFFFF"/>
          <w:lang w:val="en-US"/>
        </w:rPr>
        <w:t>Yarkoni</w:t>
      </w:r>
      <w:proofErr w:type="spellEnd"/>
      <w:r w:rsidRPr="00455E2B">
        <w:rPr>
          <w:color w:val="333333"/>
          <w:shd w:val="clear" w:color="auto" w:fill="FFFFFF"/>
          <w:lang w:val="en-US"/>
        </w:rPr>
        <w:t xml:space="preserve">, T. (2022). The generalizability crisis. </w:t>
      </w:r>
      <w:r w:rsidRPr="00455E2B">
        <w:rPr>
          <w:i/>
          <w:iCs/>
          <w:color w:val="333333"/>
          <w:shd w:val="clear" w:color="auto" w:fill="FFFFFF"/>
          <w:lang w:val="en-US"/>
        </w:rPr>
        <w:t>Behavioral and Brain Sciences, 45</w:t>
      </w:r>
      <w:r w:rsidRPr="00455E2B">
        <w:rPr>
          <w:color w:val="333333"/>
          <w:shd w:val="clear" w:color="auto" w:fill="FFFFFF"/>
          <w:lang w:val="en-US"/>
        </w:rPr>
        <w:t>, E1. doi:10.1017/S0140525X20001685</w:t>
      </w:r>
    </w:p>
    <w:p w14:paraId="43A86ED5" w14:textId="10A426DD" w:rsidR="00455E2B" w:rsidRDefault="00455E2B" w:rsidP="00455E2B">
      <w:pPr>
        <w:shd w:val="clear" w:color="auto" w:fill="auto"/>
        <w:ind w:left="720" w:hanging="720"/>
        <w:rPr>
          <w:color w:val="333333"/>
          <w:shd w:val="clear" w:color="auto" w:fill="FFFFFF"/>
          <w:lang w:val="en-US"/>
        </w:rPr>
      </w:pPr>
      <w:proofErr w:type="spellStart"/>
      <w:r w:rsidRPr="00455E2B">
        <w:rPr>
          <w:color w:val="333333"/>
          <w:shd w:val="clear" w:color="auto" w:fill="FFFFFF"/>
          <w:lang w:val="en-US"/>
        </w:rPr>
        <w:t>Ziółkowski</w:t>
      </w:r>
      <w:proofErr w:type="spellEnd"/>
      <w:r w:rsidRPr="00455E2B">
        <w:rPr>
          <w:color w:val="333333"/>
          <w:shd w:val="clear" w:color="auto" w:fill="FFFFFF"/>
          <w:lang w:val="en-US"/>
        </w:rPr>
        <w:t xml:space="preserve">, A. (2016). Folk intuitions and the no-luck-thesis. </w:t>
      </w:r>
      <w:r w:rsidRPr="00455E2B">
        <w:rPr>
          <w:i/>
          <w:iCs/>
          <w:color w:val="333333"/>
          <w:shd w:val="clear" w:color="auto" w:fill="FFFFFF"/>
          <w:lang w:val="en-US"/>
        </w:rPr>
        <w:t>Episteme, 13</w:t>
      </w:r>
      <w:r w:rsidRPr="00455E2B">
        <w:rPr>
          <w:color w:val="333333"/>
          <w:shd w:val="clear" w:color="auto" w:fill="FFFFFF"/>
          <w:lang w:val="en-US"/>
        </w:rPr>
        <w:t>, 343-358.</w:t>
      </w:r>
    </w:p>
    <w:p w14:paraId="0473A47C" w14:textId="77777777" w:rsidR="00455E2B" w:rsidRDefault="00455E2B">
      <w:pPr>
        <w:rPr>
          <w:color w:val="333333"/>
          <w:shd w:val="clear" w:color="auto" w:fill="FFFFFF"/>
          <w:lang w:val="en-US"/>
        </w:rPr>
      </w:pPr>
      <w:r>
        <w:rPr>
          <w:color w:val="333333"/>
          <w:shd w:val="clear" w:color="auto" w:fill="FFFFFF"/>
          <w:lang w:val="en-US"/>
        </w:rPr>
        <w:br w:type="page"/>
      </w:r>
    </w:p>
    <w:p w14:paraId="1F30DDE8" w14:textId="77777777" w:rsidR="00861989" w:rsidRDefault="00861989" w:rsidP="00861989">
      <w:pPr>
        <w:pStyle w:val="Heading1"/>
        <w:keepNext w:val="0"/>
        <w:keepLines w:val="0"/>
        <w:spacing w:before="480" w:after="200" w:line="240" w:lineRule="auto"/>
        <w:rPr>
          <w:b w:val="0"/>
        </w:rPr>
      </w:pPr>
      <w:bookmarkStart w:id="57" w:name="_6zbvz61vcz10" w:colFirst="0" w:colLast="0"/>
      <w:bookmarkEnd w:id="57"/>
      <w:r>
        <w:lastRenderedPageBreak/>
        <w:t>Appendix A: Protocol Development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61989" w14:paraId="6823241D" w14:textId="77777777" w:rsidTr="00EA09C7">
        <w:tc>
          <w:tcPr>
            <w:tcW w:w="9360" w:type="dxa"/>
            <w:shd w:val="clear" w:color="auto" w:fill="auto"/>
            <w:tcMar>
              <w:top w:w="100" w:type="dxa"/>
              <w:left w:w="100" w:type="dxa"/>
              <w:bottom w:w="100" w:type="dxa"/>
              <w:right w:w="100" w:type="dxa"/>
            </w:tcMar>
          </w:tcPr>
          <w:p w14:paraId="30BDDD15" w14:textId="77777777" w:rsidR="00861989" w:rsidRDefault="00861989" w:rsidP="00EA09C7">
            <w:pPr>
              <w:spacing w:after="200" w:line="240" w:lineRule="auto"/>
              <w:rPr>
                <w:b/>
              </w:rPr>
            </w:pPr>
            <w:r>
              <w:rPr>
                <w:b/>
              </w:rPr>
              <w:t xml:space="preserve">Deviations from Approved Protocol </w:t>
            </w:r>
          </w:p>
          <w:p w14:paraId="7ED73342" w14:textId="77777777" w:rsidR="00861989" w:rsidRDefault="00861989" w:rsidP="00EA09C7">
            <w:pPr>
              <w:spacing w:after="200" w:line="240" w:lineRule="auto"/>
              <w:ind w:firstLine="720"/>
            </w:pPr>
            <w:r>
              <w:t xml:space="preserve">In this section, we describe all of the deviations that occurred in this study. Below, we also include the full protocol as it was approved by AMPPS - with the only edits being made for clarity and/or accuracy (those changes highlighted in blue). When a deviation occurred in our protocol, we include a footnote with information about how and why we deviated from a particular study design plan. Information regarding deviations from our analysis plan is also summarized at the top of that section below. </w:t>
            </w:r>
          </w:p>
          <w:p w14:paraId="20D679DE" w14:textId="77777777" w:rsidR="00861989" w:rsidRDefault="00861989" w:rsidP="00EA09C7">
            <w:pPr>
              <w:spacing w:after="200" w:line="240" w:lineRule="auto"/>
              <w:rPr>
                <w:b/>
                <w:i/>
              </w:rPr>
            </w:pPr>
            <w:r>
              <w:rPr>
                <w:b/>
                <w:i/>
              </w:rPr>
              <w:t>Changes to Original Manuscript Text</w:t>
            </w:r>
          </w:p>
          <w:p w14:paraId="5F0DFC1C" w14:textId="77777777" w:rsidR="00861989" w:rsidRDefault="00861989" w:rsidP="00EA09C7">
            <w:pPr>
              <w:spacing w:after="200" w:line="240" w:lineRule="auto"/>
              <w:ind w:firstLine="720"/>
              <w:rPr>
                <w:b/>
              </w:rPr>
            </w:pPr>
            <w:r>
              <w:t xml:space="preserve">The term “country” was changed to geopolitical region in order to </w:t>
            </w:r>
            <w:proofErr w:type="spellStart"/>
            <w:r>
              <w:t>accomodate</w:t>
            </w:r>
            <w:proofErr w:type="spellEnd"/>
            <w:r>
              <w:t xml:space="preserve"> the fact that not all regions included in the data are recognized as countries (i.e., Taiwan). Referring to Taiwan as a country would result in our Chinese collaborators being unable to participate. This term change is highlighted throughout the document. We originally described comprehension questions as control variables, but this description was inaccurate. Thus, we reworded sentences that described them as controls to accurately reflect that comprehension questions were planned for exclusion purposes. We described the reasons for why each vignette was chosen for this study. We previously stated that the Gerald vignette was chosen, in part, because it had minimally matched controls available; however, this was inaccurate. The controls used in the study from which it was taken were not similar to those used in the </w:t>
            </w:r>
            <w:proofErr w:type="spellStart"/>
            <w:r>
              <w:t>Turri</w:t>
            </w:r>
            <w:proofErr w:type="spellEnd"/>
            <w:r>
              <w:t xml:space="preserve"> et al. (2015) study and ultimately had to be altered to be usable. Thus, the primary reason for its inclusion was its prevalence in the epistemics literature.</w:t>
            </w:r>
          </w:p>
          <w:p w14:paraId="368D9C6F" w14:textId="77777777" w:rsidR="00861989" w:rsidRDefault="00861989" w:rsidP="00EA09C7">
            <w:pPr>
              <w:spacing w:after="200" w:line="240" w:lineRule="auto"/>
              <w:rPr>
                <w:b/>
                <w:i/>
              </w:rPr>
            </w:pPr>
            <w:r>
              <w:rPr>
                <w:b/>
                <w:i/>
              </w:rPr>
              <w:t>Lab Recruitment Deviations</w:t>
            </w:r>
          </w:p>
          <w:p w14:paraId="71B71521" w14:textId="77777777" w:rsidR="00861989" w:rsidRDefault="00861989" w:rsidP="00EA09C7">
            <w:pPr>
              <w:spacing w:after="200" w:line="240" w:lineRule="auto"/>
              <w:ind w:firstLine="720"/>
            </w:pPr>
            <w:r>
              <w:t xml:space="preserve">In terms of lab recruitment, four main types of deviations occurred: CREP approval process, preregistration of individual collection sites, call for contributors, and the overall time frame for data collection. First, the approval process for onboarding labs was not strictly followed. Some labs were able to collect data without fully finishing the CREP review process. Further, some labs did not pre-register their study or did not make their preregistration public on the OSF. We also did not end up asking AMPPS to make additional calls for contributors, given that we were overcapacity for onboarding. Lastly, the time frame for collecting data was extended due to complications that arose due to the Covid-19 pandemic. </w:t>
            </w:r>
          </w:p>
          <w:p w14:paraId="17B285C8" w14:textId="77777777" w:rsidR="00861989" w:rsidRDefault="00861989" w:rsidP="00EA09C7">
            <w:pPr>
              <w:spacing w:after="200" w:line="240" w:lineRule="auto"/>
              <w:ind w:firstLine="720"/>
            </w:pPr>
            <w:r>
              <w:rPr>
                <w:b/>
              </w:rPr>
              <w:t xml:space="preserve">Approval Process and Pre-registration. </w:t>
            </w:r>
            <w:r>
              <w:t xml:space="preserve">Although we originally planned to only include data from labs that had received approval to collect data via the CREP review process, we decided to include data from student teams that did not complete this review process as long as they used the unaltered version of the centralized survey via </w:t>
            </w:r>
            <w:proofErr w:type="spellStart"/>
            <w:r>
              <w:t>SoSciSurvey</w:t>
            </w:r>
            <w:proofErr w:type="spellEnd"/>
            <w:r>
              <w:t xml:space="preserve"> and met all other inclusion criteria. Six such student teams collected samples despite not completing the full pre-data collection CREP review process but were included in analyses because they met all other inclusion criteria. These student teams were AC1911 (</w:t>
            </w:r>
            <w:r>
              <w:rPr>
                <w:i/>
              </w:rPr>
              <w:t xml:space="preserve">n </w:t>
            </w:r>
            <w:r>
              <w:t>= 3), AC1922 (</w:t>
            </w:r>
            <w:r>
              <w:rPr>
                <w:i/>
              </w:rPr>
              <w:t xml:space="preserve">n </w:t>
            </w:r>
            <w:r>
              <w:t>= 2), AC1925 (</w:t>
            </w:r>
            <w:r>
              <w:rPr>
                <w:i/>
              </w:rPr>
              <w:t xml:space="preserve">n </w:t>
            </w:r>
            <w:r>
              <w:t>= 4), AC1931 (</w:t>
            </w:r>
            <w:r>
              <w:rPr>
                <w:i/>
              </w:rPr>
              <w:t xml:space="preserve">n </w:t>
            </w:r>
            <w:r>
              <w:t>= 2), AC2048 (</w:t>
            </w:r>
            <w:r>
              <w:rPr>
                <w:i/>
              </w:rPr>
              <w:t xml:space="preserve">n </w:t>
            </w:r>
            <w:r>
              <w:t>= 4), and AC2062 (</w:t>
            </w:r>
            <w:r>
              <w:rPr>
                <w:i/>
              </w:rPr>
              <w:t xml:space="preserve">n </w:t>
            </w:r>
            <w:r>
              <w:t xml:space="preserve">= 332). </w:t>
            </w:r>
          </w:p>
          <w:p w14:paraId="36C3079F" w14:textId="77777777" w:rsidR="00861989" w:rsidRDefault="00861989" w:rsidP="00EA09C7">
            <w:pPr>
              <w:spacing w:after="200" w:line="240" w:lineRule="auto"/>
              <w:ind w:firstLine="720"/>
            </w:pPr>
            <w:r>
              <w:t xml:space="preserve">For the purposes of both quality control and educational value, we originally said that we would require that all participating labs pre-register their own independent direct </w:t>
            </w:r>
            <w:r>
              <w:lastRenderedPageBreak/>
              <w:t xml:space="preserve">replication protocol on the Open Science Framework (OSF). However, some labs did not carry out their pre-registration on the OSF (or did not make them publicly available) because those student teams did not fully complete the project and thus never made their OSF pages public. However, all CREP approved teams were required to create an OSF page (public or private) that was reviewed and approved before being authorized to collect data (except for the seven aforementioned student teams). Out of the 69 teams that signed up to contribute, 46 of these labs ended up contributing to the final dataset. Of those 46 teams, 22 teams finished the entire CREP review process and thus earned completion certificates. </w:t>
            </w:r>
          </w:p>
          <w:p w14:paraId="730840EA" w14:textId="77777777" w:rsidR="00861989" w:rsidRDefault="00861989" w:rsidP="00EA09C7">
            <w:pPr>
              <w:spacing w:after="200" w:line="240" w:lineRule="auto"/>
              <w:ind w:firstLine="720"/>
            </w:pPr>
            <w:r>
              <w:rPr>
                <w:b/>
              </w:rPr>
              <w:t xml:space="preserve">Call for Contributors and Data Collection Time Frame. </w:t>
            </w:r>
            <w:r>
              <w:t xml:space="preserve">We originally said that AMPPS would make an additional call for contributors. However, due to being over capacity for onboarding new labs, we had concerns about our small administrative team being able to manage more collection sites. Thus, we opted to not make an additional call for contributors. We planned to begin data collection on June 1st, 2019. However, due to the delays in the review process and in initializing the centralized data collection on </w:t>
            </w:r>
            <w:proofErr w:type="spellStart"/>
            <w:r>
              <w:t>SoSciSurvey</w:t>
            </w:r>
            <w:proofErr w:type="spellEnd"/>
            <w:r>
              <w:t xml:space="preserve">, data collection could not begin until January, 2019. Due to complications caused by the COVID-19 pandemic, we extended the deadline to stop data collection from June 1st, 2020 to June 1st, 2021 to accommodate teams struggling to collect data from their typical participant pools. Due to the deadline for stopping data collection being extended through to June 1st, 2021 because of the COVID-19 pandemic, we continued accepting labs until April of 2021 instead of April 2020. </w:t>
            </w:r>
          </w:p>
          <w:p w14:paraId="1EAF4F44" w14:textId="77777777" w:rsidR="00861989" w:rsidRDefault="00861989" w:rsidP="00EA09C7">
            <w:pPr>
              <w:spacing w:after="200" w:line="240" w:lineRule="auto"/>
              <w:rPr>
                <w:b/>
                <w:i/>
              </w:rPr>
            </w:pPr>
            <w:r>
              <w:rPr>
                <w:b/>
                <w:i/>
              </w:rPr>
              <w:t>Method and Design Deviations</w:t>
            </w:r>
          </w:p>
          <w:p w14:paraId="468099BA" w14:textId="77777777" w:rsidR="00861989" w:rsidRDefault="00861989" w:rsidP="00EA09C7">
            <w:pPr>
              <w:spacing w:after="200" w:line="240" w:lineRule="auto"/>
              <w:ind w:firstLine="720"/>
            </w:pPr>
            <w:r>
              <w:t xml:space="preserve">In terms of Method and Design, deviations occurred in five main areas: Exceptions to restrictions on data collection, site mistakes in informed consent, use of a data template, changes to how variables were measured or used, and changes to how data was included in the overall analyses. First, we allowed exceptions to the rules we set regarding how sites could collect data (i.e., we allowed some sites to use paid survey sites and Qualtrics). Seven sites mistakenly included slightly different language in their informed consent. Sites did not end up using a data template to submit their data to us, in part because the vast majority of sites collected data via </w:t>
            </w:r>
            <w:proofErr w:type="spellStart"/>
            <w:r>
              <w:t>SoSciSurvey</w:t>
            </w:r>
            <w:proofErr w:type="spellEnd"/>
            <w:r>
              <w:t xml:space="preserve"> and thus their data already fit our data template. Next, we made changes to the measurement and use of some variables. Lastly, we said we would only include site data if they met certain criteria; however, we made some exceptions to these rules as long as data integrity could be ensured. </w:t>
            </w:r>
          </w:p>
          <w:p w14:paraId="4E964CFC" w14:textId="77777777" w:rsidR="00861989" w:rsidRDefault="00861989" w:rsidP="00EA09C7">
            <w:pPr>
              <w:spacing w:after="200" w:line="240" w:lineRule="auto"/>
              <w:ind w:firstLine="720"/>
            </w:pPr>
            <w:r>
              <w:rPr>
                <w:b/>
              </w:rPr>
              <w:t>Data Collection Restriction Exceptions.</w:t>
            </w:r>
            <w:r>
              <w:t xml:space="preserve"> We originally planned to not allow student teams to collect data on paid survey sites, such as </w:t>
            </w:r>
            <w:proofErr w:type="spellStart"/>
            <w:r>
              <w:t>MTurk</w:t>
            </w:r>
            <w:proofErr w:type="spellEnd"/>
            <w:r>
              <w:t xml:space="preserve">. In order to meet the pedagogical needs of some student teams, one exception was allowed to ensure that students could still participate in the study given that the pandemic made data collection more difficult for some teams (Data collection site AC2060). We ended up allowing one site to use a paid data collection site to gather data for this study due to pedagogical reasons; although, this site was ultimately not included in analyses for other reasons. We originally said that we would not allow sites to collect data using a survey platform other than </w:t>
            </w:r>
            <w:proofErr w:type="spellStart"/>
            <w:r>
              <w:t>SoSciSurvey</w:t>
            </w:r>
            <w:proofErr w:type="spellEnd"/>
            <w:r>
              <w:t xml:space="preserve">. However, for pedagogical reasons, some sites were allowed to use Qualtrics with their students. Data from </w:t>
            </w:r>
            <w:r>
              <w:lastRenderedPageBreak/>
              <w:t>these teams were only included in the overall analyses if we had access to their Qualtrics survey, their raw data, and their codebook.</w:t>
            </w:r>
          </w:p>
          <w:p w14:paraId="77144645" w14:textId="77777777" w:rsidR="00861989" w:rsidRDefault="00861989" w:rsidP="00EA09C7">
            <w:pPr>
              <w:spacing w:after="200" w:line="240" w:lineRule="auto"/>
              <w:ind w:firstLine="720"/>
            </w:pPr>
            <w:r>
              <w:rPr>
                <w:b/>
              </w:rPr>
              <w:t>Informed Consent.</w:t>
            </w:r>
            <w:r>
              <w:t xml:space="preserve"> Eight collection sites mistakenly worded the study purpose in their informed consent materials slightly differently, but none of these mistakes resulted in the experimenters giving away the true purpose of the study and so were not excluded. More details for these deviations can be found on the OSF. The data collection sites that deviated in this way were AC1916, AC1919, AC1918, AC1934, AC1929, AC2063, AC1940, and AC1935.</w:t>
            </w:r>
          </w:p>
          <w:p w14:paraId="5FD8C664" w14:textId="77777777" w:rsidR="00861989" w:rsidRDefault="00861989" w:rsidP="00EA09C7">
            <w:pPr>
              <w:spacing w:after="200" w:line="240" w:lineRule="auto"/>
              <w:ind w:firstLine="720"/>
            </w:pPr>
            <w:r>
              <w:rPr>
                <w:b/>
              </w:rPr>
              <w:t>Data Template.</w:t>
            </w:r>
            <w:r>
              <w:t xml:space="preserve"> We originally said that we would require sites to submit their data to us using a standardized data template. However, a data template was ultimately not used due to the vast majority of samples being collected via the centralized data collection via </w:t>
            </w:r>
            <w:proofErr w:type="spellStart"/>
            <w:r>
              <w:t>SoSciSurvey</w:t>
            </w:r>
            <w:proofErr w:type="spellEnd"/>
            <w:r>
              <w:t>.</w:t>
            </w:r>
          </w:p>
          <w:p w14:paraId="1A3FD7F3" w14:textId="77777777" w:rsidR="00861989" w:rsidRDefault="00861989" w:rsidP="00EA09C7">
            <w:pPr>
              <w:spacing w:after="200" w:line="240" w:lineRule="auto"/>
              <w:ind w:firstLine="720"/>
            </w:pPr>
            <w:r>
              <w:rPr>
                <w:b/>
              </w:rPr>
              <w:t xml:space="preserve">Changes to Variables. </w:t>
            </w:r>
            <w:r>
              <w:t xml:space="preserve">We originally stated that we would measure the luck attribution variable in one question (i.e., [Protagonist name] got the ___ [response 1: right/wrong] answer because of [his/her] ____ [response 2: (in)ability/(good/bad) luck]). However, during survey development on </w:t>
            </w:r>
            <w:proofErr w:type="spellStart"/>
            <w:r>
              <w:t>SoSciSurvey</w:t>
            </w:r>
            <w:proofErr w:type="spellEnd"/>
            <w:r>
              <w:t>, many contributors noted that the way in which we asked this question was confusing and hard to parse. Therefore, to ensure that this question was clear and easy to respond to for participants, we split the question in to two parts (i.e., Part 1: [Protagonist name] got the ___ [response 1: right/wrong] answer.”. If the participant answered “right”, they saw the second part of the question like this: [Protagonist name] got the right answer because of [his/her] ____ [response 2: (ability/good luck]. If the participant answered “wrong”, they saw the second part of the question like this: [Protagonist name] got the wrong answer because of [his/her] ____ [response 2: (inability/bad luck].</w:t>
            </w:r>
          </w:p>
          <w:p w14:paraId="1E4C5527" w14:textId="77777777" w:rsidR="00861989" w:rsidRDefault="00861989" w:rsidP="00EA09C7">
            <w:pPr>
              <w:spacing w:after="200" w:line="240" w:lineRule="auto"/>
              <w:ind w:firstLine="720"/>
            </w:pPr>
            <w:r>
              <w:t>We originally planned to use two test setting variables as covariates in our analyses: in a group vs individually and online vs in person. However, given that most sites ended up moving to online collection due to the pandemic, most sites collected data online and individually. Thus, we opted to no longer use these variables because they were no longer viable as covariates. While we originally planned to measure whether participants were sampled from a community or from a university participant pool, labs that opted to collect community samples did not add any question to the survey that would allow us to track which participants were from the “community” and which were typical university students. Thus, the only tracking of this we did was asking labs whether they did any community sampling as part of their study.</w:t>
            </w:r>
          </w:p>
          <w:p w14:paraId="716B84C5" w14:textId="77777777" w:rsidR="00861989" w:rsidRDefault="00861989" w:rsidP="00EA09C7">
            <w:pPr>
              <w:spacing w:after="200" w:line="240" w:lineRule="auto"/>
              <w:ind w:firstLine="720"/>
            </w:pPr>
            <w:r>
              <w:t>We said that we would ask participants if the language they were being tested in was their first language. However, due to an oversight, this question was never asked. We originally planned to require each team to translate and code responses to the open ended exclusion variables. However, due to logistic issues, we opted to instead ask for bilingual volunteers to rate each response (three rates per response) to determine if the participant met the exclusion criterion (rated as no = 0, maybe = 1, and yes = 2). If the mean rating for a participant was anything below 2, they were then excluded from the overall analyses.</w:t>
            </w:r>
          </w:p>
          <w:p w14:paraId="44D15DF8" w14:textId="77777777" w:rsidR="00861989" w:rsidRDefault="00861989" w:rsidP="00EA09C7">
            <w:pPr>
              <w:spacing w:after="200" w:line="240" w:lineRule="auto"/>
              <w:ind w:firstLine="720"/>
            </w:pPr>
            <w:r>
              <w:lastRenderedPageBreak/>
              <w:t xml:space="preserve">We originally said that we would require translators to have experience with test development. However, this turned out not to be feasible and thus we did not enforce this requirement. We also originally said that the exploratory study experience survey would be added to the end of a site's survey if they opted to do so. However, due to a miscommunication error that occurred during the creation of the centralized survey on </w:t>
            </w:r>
            <w:proofErr w:type="spellStart"/>
            <w:r>
              <w:t>SoSciSurvey</w:t>
            </w:r>
            <w:proofErr w:type="spellEnd"/>
            <w:r>
              <w:t xml:space="preserve">, the study experience questionnaire was included at the end of the core survey; thus, all collection sites ended up including this exploratory measure at the end of their survey. Data from this survey will not be used in the present study, but may be used for a future paper. The ethnicity variable was measured differently by different labs to ensure that the response options properly mirrored the geopolitical region participants belonged to. </w:t>
            </w:r>
          </w:p>
          <w:p w14:paraId="2F0EDC38" w14:textId="77777777" w:rsidR="00861989" w:rsidRDefault="00861989" w:rsidP="00EA09C7">
            <w:pPr>
              <w:spacing w:after="200" w:line="240" w:lineRule="auto"/>
              <w:ind w:firstLine="720"/>
              <w:rPr>
                <w:b/>
              </w:rPr>
            </w:pPr>
            <w:r>
              <w:rPr>
                <w:b/>
              </w:rPr>
              <w:t xml:space="preserve">Data Inclusion. </w:t>
            </w:r>
            <w:r>
              <w:t xml:space="preserve">We originally said that each site’s participant data would be included in the planned multilevel linear regression analyses after a CREP quality check, which would include reviewing raw data files (checked for errors), post-analysis scripts, codebook, cleaned data files (checked for errors), and narrative summary of project findings (compared to data and analysis). However, these materials were not always available for each student team. Thus, the data from each team was only included in the overall analyses if we were able to check raw data files and codebooks for accuracy and errors, which was only an issue for teams that collected data via Qualtrics. Given that we are using multilevel modeling, we only needed to check the quality of raw data files and codebooks for those data not collected via </w:t>
            </w:r>
            <w:proofErr w:type="spellStart"/>
            <w:r>
              <w:t>SoSciSurvey</w:t>
            </w:r>
            <w:proofErr w:type="spellEnd"/>
            <w:r>
              <w:t xml:space="preserve"> to be considered valid and usable. We automatically had access to the raw data and codebook for all samples collected via </w:t>
            </w:r>
            <w:proofErr w:type="spellStart"/>
            <w:r>
              <w:t>SoSciSurvey</w:t>
            </w:r>
            <w:proofErr w:type="spellEnd"/>
            <w:r>
              <w:t>, so we always used those data rather than any data posted to the OSF. Analysis scripts, cleaned data, and narrative summaries were pedagogically important, but had no bearing on the results of the overall analyses reported in this paper.</w:t>
            </w:r>
          </w:p>
        </w:tc>
      </w:tr>
    </w:tbl>
    <w:p w14:paraId="272D4939" w14:textId="77777777" w:rsidR="00861989" w:rsidRDefault="00861989" w:rsidP="00861989">
      <w:pPr>
        <w:spacing w:before="240" w:after="200" w:line="240" w:lineRule="auto"/>
        <w:jc w:val="center"/>
        <w:rPr>
          <w:b/>
        </w:rPr>
      </w:pPr>
      <w:r>
        <w:rPr>
          <w:b/>
        </w:rPr>
        <w:lastRenderedPageBreak/>
        <w:t>Provisionally Accepted Manuscript</w:t>
      </w:r>
    </w:p>
    <w:p w14:paraId="0F5EDDA3" w14:textId="77777777" w:rsidR="00861989" w:rsidRDefault="00861989" w:rsidP="00861989">
      <w:pPr>
        <w:spacing w:before="240" w:after="200" w:line="240" w:lineRule="auto"/>
      </w:pPr>
      <w:r>
        <w:rPr>
          <w:b/>
        </w:rPr>
        <w:t>Lab Recruitment</w:t>
      </w:r>
    </w:p>
    <w:p w14:paraId="45696618" w14:textId="77777777" w:rsidR="00861989" w:rsidRDefault="00861989" w:rsidP="00861989">
      <w:pPr>
        <w:spacing w:before="240" w:after="240" w:line="240" w:lineRule="auto"/>
      </w:pPr>
      <w:r>
        <w:t xml:space="preserve">The Collaborative Replications and Education Project (CREP) has partnered with the Psychological Science Accelerator (PSA: </w:t>
      </w:r>
      <w:proofErr w:type="spellStart"/>
      <w:r>
        <w:t>Moshontz</w:t>
      </w:r>
      <w:proofErr w:type="spellEnd"/>
      <w:r>
        <w:t xml:space="preserve"> et al., 2018) to conduct a large-scale replication that will combine the innovative pedagogical methods of the CREP with the worldwide collaborative open-science network of the PSA. The purpose of the CREP is to address the need for direct replication work in the field of psychology by utilizing the collective power of student research projects. The CREP selects studies (see our OSF page for details;</w:t>
      </w:r>
      <w:hyperlink r:id="rId70">
        <w:r>
          <w:t xml:space="preserve"> </w:t>
        </w:r>
      </w:hyperlink>
      <w:hyperlink r:id="rId71">
        <w:r>
          <w:rPr>
            <w:u w:val="single"/>
          </w:rPr>
          <w:t>https://osf.io/n5b3w</w:t>
        </w:r>
      </w:hyperlink>
      <w:r>
        <w:t>), and teams of students sign up to run replications of these studies. The CREP oversees the quality of these replications to ensure fidelity. Once enough sites have completed replications, the results from teams that have completed projects are collated to get a more accurate estimation of the effect size.</w:t>
      </w:r>
    </w:p>
    <w:p w14:paraId="777E832D" w14:textId="77777777" w:rsidR="00861989" w:rsidRDefault="00861989" w:rsidP="00861989">
      <w:pPr>
        <w:spacing w:before="240" w:after="240" w:line="240" w:lineRule="auto"/>
      </w:pPr>
      <w:r>
        <w:t>The PSA is an international network of laboratories created to enable and support crowdsourced research projects with a mission to expedite the accumulation of reliable and generalizable evidence in psychological science (</w:t>
      </w:r>
      <w:proofErr w:type="spellStart"/>
      <w:r>
        <w:t>Moshontz</w:t>
      </w:r>
      <w:proofErr w:type="spellEnd"/>
      <w:r>
        <w:t xml:space="preserve"> et al., 2018). The CREP and PSA partnership, therefore, involves the CREP selecting a study, developing materials, and overseeing the quality of the replications using standard CREP procedures while utilizing the existing PSA network to increase participation among labs. Additionally, the PSA has provided support for a variety of </w:t>
      </w:r>
      <w:r>
        <w:lastRenderedPageBreak/>
        <w:t>components through its extensive network of experts, including lab recruitment, translations, a data release plan, and expertise on logistical differences between geopolitical regions.</w:t>
      </w:r>
    </w:p>
    <w:p w14:paraId="4B7B5B18" w14:textId="77777777" w:rsidR="00861989" w:rsidRDefault="00861989" w:rsidP="00861989">
      <w:pPr>
        <w:spacing w:before="240" w:after="240" w:line="240" w:lineRule="auto"/>
      </w:pPr>
      <w:r>
        <w:t>After this study was selected for replication, the executive CREP team publicly announced a call for laboratories interested in participating in the study via email and social media (i.e., Twitter, Facebook), with data collection beginning August 1, 2018 (later changed to January 1, 2019). Over the course of one year, 55 labs from 23 geopolitical regions signed up to contribute samples; however, 10 of these labs have since backed out (mostly from USA). As of this submission, 45 labs from 22 geopolitical regions remain committed. For the purposes of both quality control and educational value, we require that all participating labs pre-register their own independent direct replication protocol on the Open Science Framework (OSF).</w:t>
      </w:r>
      <w:r>
        <w:rPr>
          <w:vertAlign w:val="superscript"/>
        </w:rPr>
        <w:footnoteReference w:id="14"/>
      </w:r>
      <w:r>
        <w:t xml:space="preserve"> For quality control, these pages must include a video of an experimental session and be approved by our executive team prior to data collection to ensure that each lab meets all standards and procedures set forth in this protocol. Once ethics approvals, protocols, and session video have been approved by the CREP team, contributors may begin data collection starting June 1st, 2019 (depending on date of in principle acceptance).</w:t>
      </w:r>
      <w:r>
        <w:rPr>
          <w:vertAlign w:val="superscript"/>
        </w:rPr>
        <w:footnoteReference w:id="15"/>
      </w:r>
      <w:r>
        <w:t xml:space="preserve"> Overall data collection will end on June 1st, 2020</w:t>
      </w:r>
      <w:r>
        <w:rPr>
          <w:vertAlign w:val="superscript"/>
        </w:rPr>
        <w:footnoteReference w:id="16"/>
      </w:r>
      <w:r>
        <w:t>. Data release is dependent upon manuscript acceptance, but full data release will be six months after the first ⅔ of the data release.</w:t>
      </w:r>
    </w:p>
    <w:p w14:paraId="56628A66" w14:textId="77777777" w:rsidR="00861989" w:rsidRDefault="00861989" w:rsidP="00861989">
      <w:pPr>
        <w:spacing w:before="240" w:after="240" w:line="240" w:lineRule="auto"/>
        <w:rPr>
          <w:b/>
        </w:rPr>
      </w:pPr>
      <w:r>
        <w:rPr>
          <w:b/>
        </w:rPr>
        <w:t>Protocol Requirements</w:t>
      </w:r>
    </w:p>
    <w:p w14:paraId="1D644D5D" w14:textId="77777777" w:rsidR="00861989" w:rsidRDefault="00861989" w:rsidP="00861989">
      <w:pPr>
        <w:spacing w:before="240" w:after="240" w:line="240" w:lineRule="auto"/>
      </w:pPr>
      <w:r>
        <w:rPr>
          <w:b/>
        </w:rPr>
        <w:t xml:space="preserve">Sampling plan. </w:t>
      </w:r>
      <w:r>
        <w:t>Student teams from any geopolitical region are invited to collect samples.</w:t>
      </w:r>
      <w:r>
        <w:rPr>
          <w:vertAlign w:val="superscript"/>
        </w:rPr>
        <w:footnoteReference w:id="17"/>
      </w:r>
      <w:r>
        <w:t xml:space="preserve"> Samples may be collected using the subject pools at each team’s institution, social media networks, online, or other methods approved by the CREP team and an IRB. Online data collection services that recruit subjects who are then paid for participating, such as Amazon Mechanical Turk (</w:t>
      </w:r>
      <w:proofErr w:type="spellStart"/>
      <w:r>
        <w:t>MTurk</w:t>
      </w:r>
      <w:proofErr w:type="spellEnd"/>
      <w:r>
        <w:t>), were not originally planned  be permitted (see below for rationale behind this restriction)</w:t>
      </w:r>
      <w:r>
        <w:rPr>
          <w:vertAlign w:val="superscript"/>
        </w:rPr>
        <w:footnoteReference w:id="18"/>
      </w:r>
      <w:r>
        <w:t>. We will also independently collect one large (</w:t>
      </w:r>
      <w:r>
        <w:rPr>
          <w:i/>
        </w:rPr>
        <w:t>n</w:t>
      </w:r>
      <w:r>
        <w:t xml:space="preserve"> = 500) </w:t>
      </w:r>
      <w:proofErr w:type="spellStart"/>
      <w:r>
        <w:t>MTurk</w:t>
      </w:r>
      <w:proofErr w:type="spellEnd"/>
      <w:r>
        <w:t xml:space="preserve"> sample of US participants to include a sample comparable to that in </w:t>
      </w:r>
      <w:proofErr w:type="spellStart"/>
      <w:r>
        <w:t>Turri</w:t>
      </w:r>
      <w:proofErr w:type="spellEnd"/>
      <w:r>
        <w:t xml:space="preserve"> et al. (2015; see details below). Samples may not be drawn from vulnerable populations or any institutions that house them (such as prisons, mental health facilities, etc.). Samples will consist of people over the age of majority in the location of the study, unless a parent or guardian signs a waiver to participate.</w:t>
      </w:r>
    </w:p>
    <w:p w14:paraId="2BF8A840" w14:textId="77777777" w:rsidR="00861989" w:rsidRDefault="00861989" w:rsidP="00861989">
      <w:pPr>
        <w:spacing w:before="240" w:after="240" w:line="240" w:lineRule="auto"/>
      </w:pPr>
      <w:r>
        <w:lastRenderedPageBreak/>
        <w:t>Each site will be required to collect data for all three stimulus sets (i.e., “Darrel”, “Gerald”, and “Emma”) with a target sample size of at least 50 participants (although, some sites will attempt to collect over 100 participants). Our goal is to collect data from at least 50 independent contributors. We are very close to reaching our contributor goal. Each site’s participant data will be included in the planned multilevel linear regression analyses after a CREP quality check, which includes reviewing raw data files (checked for errors), post-analysis scripts, codebook, cleaned data files (checked for errors), and narrative summary of project findings (compared to data and analysis)</w:t>
      </w:r>
      <w:r>
        <w:rPr>
          <w:vertAlign w:val="superscript"/>
        </w:rPr>
        <w:footnoteReference w:id="19"/>
      </w:r>
      <w:r>
        <w:t>.</w:t>
      </w:r>
    </w:p>
    <w:p w14:paraId="7D5B7351" w14:textId="77777777" w:rsidR="00861989" w:rsidRDefault="00861989" w:rsidP="00861989">
      <w:pPr>
        <w:spacing w:before="240" w:after="240" w:line="240" w:lineRule="auto"/>
      </w:pPr>
      <w:r>
        <w:t xml:space="preserve">Although we will sample from many different populations, results from recent </w:t>
      </w:r>
      <w:proofErr w:type="spellStart"/>
      <w:r>
        <w:t>multilab</w:t>
      </w:r>
      <w:proofErr w:type="spellEnd"/>
      <w:r>
        <w:t xml:space="preserve"> studies with mainly student samples (e.g., the </w:t>
      </w:r>
      <w:proofErr w:type="spellStart"/>
      <w:r>
        <w:t>ManyLabs</w:t>
      </w:r>
      <w:proofErr w:type="spellEnd"/>
      <w:r>
        <w:t xml:space="preserve"> studies) suggest that limited heterogeneity may still be an issue (i.e., samples will likely be predominantly white, socioeconomically advantaged, educated, etc.). We attempt to partially address this concern by encouraging contributing sites to collect non-university participants outside of their typical institutions’ sampling pool by rewarding sites who do so with higher author order on the post-data Phase 2 manuscript as well as a CREP quality award.</w:t>
      </w:r>
    </w:p>
    <w:p w14:paraId="3863E2FC" w14:textId="77777777" w:rsidR="00861989" w:rsidRDefault="00861989" w:rsidP="00861989">
      <w:pPr>
        <w:spacing w:before="240" w:after="240" w:line="240" w:lineRule="auto"/>
      </w:pPr>
      <w:r>
        <w:rPr>
          <w:b/>
        </w:rPr>
        <w:t xml:space="preserve">Testing location. </w:t>
      </w:r>
      <w:r>
        <w:t xml:space="preserve">Each contributor’s test setting will likely differ in one or more ways from the original </w:t>
      </w:r>
      <w:proofErr w:type="spellStart"/>
      <w:r>
        <w:t>Turri</w:t>
      </w:r>
      <w:proofErr w:type="spellEnd"/>
      <w:r>
        <w:t xml:space="preserve"> et al. (2015) study which was completed online using </w:t>
      </w:r>
      <w:proofErr w:type="spellStart"/>
      <w:r>
        <w:t>MTurk</w:t>
      </w:r>
      <w:proofErr w:type="spellEnd"/>
      <w:r>
        <w:t>. To extend the generalizability of this replication, teams may test their samples either in person or online. We will measure and analyze this test setting difference as a covariate</w:t>
      </w:r>
      <w:r>
        <w:rPr>
          <w:vertAlign w:val="superscript"/>
        </w:rPr>
        <w:footnoteReference w:id="20"/>
      </w:r>
      <w:r>
        <w:t>. Group vs. individual administration will also be tested as a covariate</w:t>
      </w:r>
      <w:r>
        <w:rPr>
          <w:vertAlign w:val="superscript"/>
        </w:rPr>
        <w:footnoteReference w:id="21"/>
      </w:r>
      <w:r>
        <w:t xml:space="preserve">. We will not allow sites to collect their samples using paid data collection services, such as </w:t>
      </w:r>
      <w:proofErr w:type="spellStart"/>
      <w:r>
        <w:t>MTurk</w:t>
      </w:r>
      <w:proofErr w:type="spellEnd"/>
      <w:r>
        <w:t>; as many CREP labs consist of student researchers who lack substantial financial resources</w:t>
      </w:r>
      <w:r>
        <w:rPr>
          <w:vertAlign w:val="superscript"/>
        </w:rPr>
        <w:footnoteReference w:id="22"/>
      </w:r>
      <w:r>
        <w:t>. The CREP would like to encourage students to collect data in a lab setting without incurring additional costs. However, two authors (Chartier and Hall) will collaborate on collecting one large (</w:t>
      </w:r>
      <w:r>
        <w:rPr>
          <w:i/>
        </w:rPr>
        <w:t>N</w:t>
      </w:r>
      <w:r>
        <w:t xml:space="preserve"> = 500) pre-registered </w:t>
      </w:r>
      <w:proofErr w:type="spellStart"/>
      <w:r>
        <w:t>MTurk</w:t>
      </w:r>
      <w:proofErr w:type="spellEnd"/>
      <w:r>
        <w:t xml:space="preserve"> sample of US participants (with its own OSF) to compare the original sampling pool (i.e., </w:t>
      </w:r>
      <w:proofErr w:type="spellStart"/>
      <w:r>
        <w:t>MTurk</w:t>
      </w:r>
      <w:proofErr w:type="spellEnd"/>
      <w:r>
        <w:t xml:space="preserve">) with the rest of the studied samples - which we will do by including a variable that specifies whether the sample is the </w:t>
      </w:r>
      <w:proofErr w:type="spellStart"/>
      <w:r>
        <w:t>MTurk</w:t>
      </w:r>
      <w:proofErr w:type="spellEnd"/>
      <w:r>
        <w:t xml:space="preserve"> sample or not in the planned multilevel models. We pre-registered and collected such a large </w:t>
      </w:r>
      <w:proofErr w:type="spellStart"/>
      <w:r>
        <w:t>MTurk</w:t>
      </w:r>
      <w:proofErr w:type="spellEnd"/>
      <w:r>
        <w:t xml:space="preserve"> sample size in order to have a sample that is sufficiently large (and thus likely has a small CI) and as close to the original sampling pool as possible to provide a more precise estimated comparison.</w:t>
      </w:r>
    </w:p>
    <w:p w14:paraId="6B07C16D" w14:textId="77777777" w:rsidR="00861989" w:rsidRDefault="00861989" w:rsidP="00861989">
      <w:pPr>
        <w:spacing w:before="240" w:after="240" w:line="240" w:lineRule="auto"/>
      </w:pPr>
      <w:r>
        <w:lastRenderedPageBreak/>
        <w:t>All participants will be asked whether they participated in this study before and will be excluded if they have (in part, to avoid “</w:t>
      </w:r>
      <w:proofErr w:type="spellStart"/>
      <w:r>
        <w:t>superturkers</w:t>
      </w:r>
      <w:proofErr w:type="spellEnd"/>
      <w:r>
        <w:t>”). To further our ability to generalize beyond typical university samples, we will also encourage (but not require) sites to collect an additional non-university sample (</w:t>
      </w:r>
      <w:r>
        <w:rPr>
          <w:i/>
        </w:rPr>
        <w:t>N</w:t>
      </w:r>
      <w:r>
        <w:t xml:space="preserve"> = 50) by including a protocol for collecting non-university participants in their sampling plan - which will be rewarded with a higher author order and a CREP quality award. To track these efforts descriptively, we will measure which participants were recruited from the general public and which were recruited from a student body.</w:t>
      </w:r>
      <w:r>
        <w:rPr>
          <w:vertAlign w:val="superscript"/>
        </w:rPr>
        <w:footnoteReference w:id="23"/>
      </w:r>
    </w:p>
    <w:p w14:paraId="2394514F" w14:textId="77777777" w:rsidR="00861989" w:rsidRDefault="00861989" w:rsidP="00861989">
      <w:pPr>
        <w:spacing w:before="240" w:after="240" w:line="240" w:lineRule="auto"/>
      </w:pPr>
      <w:r>
        <w:rPr>
          <w:b/>
        </w:rPr>
        <w:t xml:space="preserve">Experimenters. </w:t>
      </w:r>
      <w:r>
        <w:t xml:space="preserve">Any trained undergraduate or graduate student researcher, research assistant, postdoctoral researcher, or faculty member can serve as the experimenter. Given the simplicity of the study design, no special expertise is required to conduct the study. During in-person testing, an experimenter should be unaware of the specific condition to which a participant is assigned (preferably via masking). We will only allow data collection via </w:t>
      </w:r>
      <w:proofErr w:type="spellStart"/>
      <w:r>
        <w:t>SoSciSurvey</w:t>
      </w:r>
      <w:proofErr w:type="spellEnd"/>
      <w:r>
        <w:t xml:space="preserve"> to streamline data collection and analyses.</w:t>
      </w:r>
      <w:r>
        <w:rPr>
          <w:vertAlign w:val="superscript"/>
        </w:rPr>
        <w:footnoteReference w:id="24"/>
      </w:r>
      <w:r>
        <w:t xml:space="preserve"> The </w:t>
      </w:r>
      <w:proofErr w:type="spellStart"/>
      <w:r>
        <w:t>SoSciSurvey</w:t>
      </w:r>
      <w:proofErr w:type="spellEnd"/>
      <w:r>
        <w:t xml:space="preserve"> experiment code will be made publicly available, and Sophia </w:t>
      </w:r>
      <w:proofErr w:type="spellStart"/>
      <w:r>
        <w:t>Weissgerber</w:t>
      </w:r>
      <w:proofErr w:type="spellEnd"/>
      <w:r>
        <w:t xml:space="preserve"> will coordinate with translation teams to create experiment code for each site. Each site will be required to submit a video of their methodology for review by the CREP executive team (described below) and will then post to their site's OSF page.</w:t>
      </w:r>
    </w:p>
    <w:p w14:paraId="0C000DF5" w14:textId="77777777" w:rsidR="00861989" w:rsidRDefault="00861989" w:rsidP="00861989">
      <w:pPr>
        <w:spacing w:before="240" w:after="240" w:line="240" w:lineRule="auto"/>
      </w:pPr>
      <w:r>
        <w:rPr>
          <w:b/>
        </w:rPr>
        <w:t xml:space="preserve">Materials. </w:t>
      </w:r>
      <w:r>
        <w:t xml:space="preserve">We will use the same manipulations and outcome variable questions reported in </w:t>
      </w:r>
      <w:proofErr w:type="spellStart"/>
      <w:r>
        <w:t>Turri</w:t>
      </w:r>
      <w:proofErr w:type="spellEnd"/>
      <w:r>
        <w:t xml:space="preserve"> et al. (2015). We will also test two additional vignettes (“Fake Barn/Gerald” vignette from </w:t>
      </w:r>
      <w:proofErr w:type="spellStart"/>
      <w:r>
        <w:t>Colaço</w:t>
      </w:r>
      <w:proofErr w:type="spellEnd"/>
      <w:r>
        <w:t xml:space="preserve"> et al., 2014; “Diamond/Emma” vignette from Nagel, San Juan, &amp; Mar, 2013) alongside the original </w:t>
      </w:r>
      <w:proofErr w:type="spellStart"/>
      <w:r>
        <w:t>Turri</w:t>
      </w:r>
      <w:proofErr w:type="spellEnd"/>
      <w:r>
        <w:t xml:space="preserve"> et al. (2015) Experiment 1 “Darrel” vignette (see Appendix B). The “Gerald” vignette had control conditions that were not exactly similar to </w:t>
      </w:r>
      <w:proofErr w:type="spellStart"/>
      <w:r>
        <w:t>Turri</w:t>
      </w:r>
      <w:proofErr w:type="spellEnd"/>
      <w:r>
        <w:t xml:space="preserve"> et al. (2015); therefore, we altered the conditions in order to be as closely matched to the “Squirrel/Darrel” vignette as possible.</w:t>
      </w:r>
      <w:r>
        <w:rPr>
          <w:vertAlign w:val="superscript"/>
        </w:rPr>
        <w:footnoteReference w:id="25"/>
      </w:r>
      <w:r>
        <w:t xml:space="preserve"> Therefore, we altered the “Gerald” vignette and its controls to more closely resemble the “Darrel” vignette from </w:t>
      </w:r>
      <w:proofErr w:type="spellStart"/>
      <w:r>
        <w:t>Turri</w:t>
      </w:r>
      <w:proofErr w:type="spellEnd"/>
      <w:r>
        <w:t xml:space="preserve"> et al. (2015). We then pretested these vignettes for comprehension (about 90% comprehension rate across vignettes) and tested controls for expected rates (i.e., knowledge control viewed largely as knowledge, </w:t>
      </w:r>
      <w:r>
        <w:rPr>
          <w:i/>
        </w:rPr>
        <w:t>M</w:t>
      </w:r>
      <w:r>
        <w:t xml:space="preserve"> = 76.91, </w:t>
      </w:r>
      <w:r>
        <w:rPr>
          <w:i/>
        </w:rPr>
        <w:t>SD</w:t>
      </w:r>
      <w:r>
        <w:t xml:space="preserve"> = 30.3; ignorance control largely viewed as ignorance, </w:t>
      </w:r>
      <w:r>
        <w:rPr>
          <w:i/>
        </w:rPr>
        <w:t>M</w:t>
      </w:r>
      <w:r>
        <w:t xml:space="preserve"> = 10.12, </w:t>
      </w:r>
      <w:r>
        <w:rPr>
          <w:i/>
        </w:rPr>
        <w:t>SD</w:t>
      </w:r>
      <w:r>
        <w:t xml:space="preserve"> = 21.61; pretest means and standard deviations for each vignette reported in Appendix B). All materials used in this replication, including the details of these vignettes and related pretests, are available on our OSF page (Hall et al., 2018).</w:t>
      </w:r>
    </w:p>
    <w:p w14:paraId="792423B4" w14:textId="77777777" w:rsidR="00861989" w:rsidRDefault="00861989" w:rsidP="00861989">
      <w:pPr>
        <w:spacing w:before="240" w:after="240" w:line="240" w:lineRule="auto"/>
      </w:pPr>
      <w:r>
        <w:t>Each contributor site will pre-register their individual study on an OSF page connected to this parent pre-registration.</w:t>
      </w:r>
      <w:r>
        <w:rPr>
          <w:vertAlign w:val="superscript"/>
        </w:rPr>
        <w:footnoteReference w:id="26"/>
      </w:r>
      <w:r>
        <w:t xml:space="preserve"> We will also record demographic information</w:t>
      </w:r>
      <w:r>
        <w:rPr>
          <w:vertAlign w:val="superscript"/>
        </w:rPr>
        <w:t>[1]</w:t>
      </w:r>
      <w:r>
        <w:t xml:space="preserve"> that will include additional questions not reported in the original study for the use of exploratory analyses (e.g., participant race/ethnicity, years of education, age, geopolitical region of residence, geopolitical region of origin, and gender). In addition, the original study asked participant language </w:t>
      </w:r>
      <w:r>
        <w:lastRenderedPageBreak/>
        <w:t>proficiency by asking, “Did you take this test in your native language?” to exclude non-English speaking participants. However, given that many of our contributing sites are bi- or multilingual, we will instead ask how well participants speak the language in which they are being tested and if said language is their first language.</w:t>
      </w:r>
      <w:r>
        <w:rPr>
          <w:vertAlign w:val="superscript"/>
        </w:rPr>
        <w:footnoteReference w:id="27"/>
      </w:r>
    </w:p>
    <w:p w14:paraId="7A7A96F7" w14:textId="77777777" w:rsidR="00861989" w:rsidRDefault="00861989" w:rsidP="00861989">
      <w:pPr>
        <w:spacing w:before="240" w:after="240" w:line="240" w:lineRule="auto"/>
      </w:pPr>
      <w:r>
        <w:t>Furthermore, each site will ask participants a set of funneled debriefing questions to assess participant knowledge of the study hypotheses (see Appendix B). To achieve this, each site will read their sample's responses one-by-one and exclude participants based on their level of awareness and note the particular reason for exclusion, and we will include these findings in an exploratory results section.</w:t>
      </w:r>
      <w:r>
        <w:rPr>
          <w:vertAlign w:val="superscript"/>
        </w:rPr>
        <w:footnoteReference w:id="28"/>
      </w:r>
      <w:r>
        <w:t xml:space="preserve"> To support another project, we also have partnered with Satchell et al. (2018) to collect information about common participant study experiences using a short list of 12 questions (see Appendix C). Labs are encouraged, but not required to collect data from participants using this measure and will coordinate individually with Satchell et al. (2018). If labs participate, Satchell et al.’s questionnaire will only be inserted entirely at the end of our entire study package.</w:t>
      </w:r>
      <w:r>
        <w:rPr>
          <w:vertAlign w:val="superscript"/>
        </w:rPr>
        <w:footnoteReference w:id="29"/>
      </w:r>
    </w:p>
    <w:p w14:paraId="4BFE7532" w14:textId="77777777" w:rsidR="00861989" w:rsidRDefault="00861989" w:rsidP="00861989">
      <w:pPr>
        <w:spacing w:before="240" w:after="240" w:line="240" w:lineRule="auto"/>
      </w:pPr>
      <w:r>
        <w:rPr>
          <w:b/>
        </w:rPr>
        <w:t xml:space="preserve">Participant language. </w:t>
      </w:r>
      <w:r>
        <w:t>As one method of controlling for comprehension of the vignettes, participants will be asked how well they speak the language in which they were tested, using a 4-point scale (“very well”, “well”, “not very well”, and “not well at all”). Teams for whom participants’ primary language is other than English speakers must translate the study materials to their respective native language, and their translations must be approved by the PSA and CREP teams using the PSA procedures before they can be used with participants.</w:t>
      </w:r>
    </w:p>
    <w:p w14:paraId="7BE2D58E" w14:textId="77777777" w:rsidR="00861989" w:rsidRDefault="00861989" w:rsidP="00861989">
      <w:pPr>
        <w:spacing w:before="240" w:after="240" w:line="240" w:lineRule="auto"/>
      </w:pPr>
      <w:r>
        <w:t xml:space="preserve">To be approved by the CREP team, translated materials for non-English speaking participants are asked to translate using the </w:t>
      </w:r>
      <w:r>
        <w:rPr>
          <w:i/>
        </w:rPr>
        <w:t>Psychological Science Accelerator</w:t>
      </w:r>
      <w:r>
        <w:t xml:space="preserve"> (</w:t>
      </w:r>
      <w:r>
        <w:rPr>
          <w:i/>
        </w:rPr>
        <w:t>PSA</w:t>
      </w:r>
      <w:r>
        <w:t>) guidelines (</w:t>
      </w:r>
      <w:hyperlink r:id="rId72">
        <w:r>
          <w:rPr>
            <w:u w:val="single"/>
          </w:rPr>
          <w:t>https://psysciacc.org/translation-process/</w:t>
        </w:r>
      </w:hyperlink>
      <w:r>
        <w:t xml:space="preserve">; Behling &amp; Law, 2000; </w:t>
      </w:r>
      <w:proofErr w:type="spellStart"/>
      <w:r>
        <w:t>Moshontz</w:t>
      </w:r>
      <w:proofErr w:type="spellEnd"/>
      <w:r>
        <w:t xml:space="preserve"> et al., 2018). All study sites planning to test participants in the same target language will work together in a concerted, consolidated effort to translate study materials to the target language using these procedures, resulting in a unified translation that will be used by all same-language sites. To begin this process, materials will first be translated from English to the target language by “A” translators -- resulting in document Version “A” (i.e., forward translation). Version “A” will then be translated back from the target language to English by “B” translators independently -- resulting in Version “B” (i.e. backward translation). Both “A” and “B” translators must have knowledge of both English and the target language, have familiarity with both source and target cultures, and have experience in test development.</w:t>
      </w:r>
      <w:r>
        <w:rPr>
          <w:vertAlign w:val="superscript"/>
        </w:rPr>
        <w:footnoteReference w:id="30"/>
      </w:r>
      <w:r>
        <w:t xml:space="preserve"> The “B” translators must be native English </w:t>
      </w:r>
      <w:r>
        <w:lastRenderedPageBreak/>
        <w:t>speakers and should not have worked with the specific test materials before. The backward translation and the original English test materials should be very similar.</w:t>
      </w:r>
    </w:p>
    <w:p w14:paraId="482792FC" w14:textId="77777777" w:rsidR="00861989" w:rsidRDefault="00861989" w:rsidP="00861989">
      <w:pPr>
        <w:spacing w:before="240" w:after="240" w:line="240" w:lineRule="auto"/>
      </w:pPr>
      <w:r>
        <w:t>Version “A” and “B” will then be discussed amongst translators “A” and “B” and the language coordinator, and discrepancies between version “A” and “B” will be identified and resolved among translators -- resulting in Version “C” (i.e., reconciled forward translation). Version “C” will then be tested on two non-academics fluent in the target language and then asked how they perceive and understand the translation. Possible misunderstandings are noted and again discussed as in the previous step. Finally, data collection labs read materials and identify any needed adjustments for their local participant sample. Adjustments are discussed with the language coordinator, who makes any necessary changes, resulting in the final version for each site. Final versions must then be submitted to the CREP for approval alongside their pre-registration, videotaped methods, and ethics approval.</w:t>
      </w:r>
    </w:p>
    <w:p w14:paraId="313EA4B1" w14:textId="77777777" w:rsidR="00861989" w:rsidRDefault="00861989" w:rsidP="00861989">
      <w:pPr>
        <w:spacing w:before="240" w:after="240" w:line="240" w:lineRule="auto"/>
      </w:pPr>
      <w:r>
        <w:t>Importantly, while using the above-described translation procedure, we will endeavor to ensure the equivalence across the original and translated versions. The established vignettes contain potentially unfamiliar nouns depending on participants’ cultural experiences (e.g., tornadoes do not occur in certain regions). Therefore, we will allow labs to substitute culturally specific nouns with locally relevant ones during the translation process described above (e.g., replace “tornado” with “typhoon”). Noun changes will be considered during the translation process as part of each translation team's effort to achieve equivalence in translations and will be noted on our OSF.</w:t>
      </w:r>
    </w:p>
    <w:p w14:paraId="4B40D74B" w14:textId="1CF943B8" w:rsidR="00861989" w:rsidRDefault="00861989" w:rsidP="00861989">
      <w:pPr>
        <w:spacing w:before="240" w:after="240" w:line="240" w:lineRule="auto"/>
      </w:pPr>
      <w:r>
        <w:rPr>
          <w:b/>
        </w:rPr>
        <w:t xml:space="preserve">Data collection. </w:t>
      </w:r>
      <w:r>
        <w:t xml:space="preserve">Participants will be unaware of the specific hypotheses about Gettier intuitions and will not be informed that they are participating in a study about Gettier cases. Instead, participants will be told that this is a study about language using the exact language </w:t>
      </w:r>
      <w:proofErr w:type="spellStart"/>
      <w:r>
        <w:t>Turri</w:t>
      </w:r>
      <w:proofErr w:type="spellEnd"/>
      <w:r>
        <w:t xml:space="preserve"> </w:t>
      </w:r>
      <w:r w:rsidR="00054587">
        <w:t>et al.</w:t>
      </w:r>
      <w:r>
        <w:t xml:space="preserve"> (2015) used in the original study (see Procedures)</w:t>
      </w:r>
      <w:r>
        <w:rPr>
          <w:vertAlign w:val="superscript"/>
        </w:rPr>
        <w:footnoteReference w:id="31"/>
      </w:r>
      <w:r>
        <w:t>. All participants will be randomly assigned (within each site) to one of three propositional knowledge conditions (i.e., knowledge, Gettier, or ignorance) and then counterbalanced within the three presented vignettes (six possible condition orders), always beginning with “Darrel” and then randomizing between “Emma” and “Gerald” (two possible vignette orders)</w:t>
      </w:r>
      <w:r>
        <w:rPr>
          <w:vertAlign w:val="superscript"/>
        </w:rPr>
        <w:t>[2]</w:t>
      </w:r>
      <w:r>
        <w:t xml:space="preserve">. Thus, approximately one-third of all participants will be randomly assigned to each belief condition in all three vignettes. Each participating lab is required to randomize using a predefined list of vignette/condition orders - which will be pre-programmed into the single survey software used to collect data (i.e., </w:t>
      </w:r>
      <w:proofErr w:type="spellStart"/>
      <w:r>
        <w:t>SoSciSurvey</w:t>
      </w:r>
      <w:proofErr w:type="spellEnd"/>
      <w:r>
        <w:t>) at all sites. Although randomization will be pre-programmed into each site’s survey software, each site must describe the random assignment methods used in their pre-registered plan - which must be approved by the CREP executive team.</w:t>
      </w:r>
    </w:p>
    <w:p w14:paraId="11902C8B" w14:textId="77777777" w:rsidR="00861989" w:rsidRDefault="00861989" w:rsidP="00861989">
      <w:pPr>
        <w:spacing w:before="240" w:after="240" w:line="240" w:lineRule="auto"/>
      </w:pPr>
      <w:r>
        <w:rPr>
          <w:b/>
        </w:rPr>
        <w:t>Procedure.</w:t>
      </w:r>
      <w:r>
        <w:t xml:space="preserve"> Given that each contributing team must design their protocol using the standards and procedures set forth in this vetted manuscript, the details of each lab’s protocol will be consistent across labs. The CREP will only approve high-quality replication protocols that fit all the standards and procedures set forth in this manuscript. A typical procedural description would resemble the following.</w:t>
      </w:r>
    </w:p>
    <w:p w14:paraId="6309913B" w14:textId="77777777" w:rsidR="00861989" w:rsidRDefault="00861989" w:rsidP="00861989">
      <w:pPr>
        <w:spacing w:before="240" w:after="240" w:line="240" w:lineRule="auto"/>
      </w:pPr>
      <w:r>
        <w:lastRenderedPageBreak/>
        <w:t xml:space="preserve">Participants will first be given an Informed Consent form, which includes the following statement used by </w:t>
      </w:r>
      <w:proofErr w:type="spellStart"/>
      <w:r>
        <w:t>Turri</w:t>
      </w:r>
      <w:proofErr w:type="spellEnd"/>
      <w:r>
        <w:t xml:space="preserve"> et al. (2015): “There are no known risks to you for participating. We hope that our results will add to scientific knowledge about how language works.” Once they have provided their informed consent, participants will be presented with each of the three vignettes, randomly assigned and counterbalanced into a knowledge condition (to which the experimenter should be unaware via masking). The three vignettes will be presented in random order. Each vignette will be randomly assigned to a belief condition and counter-balanced so that each participant experiences all three vignettes (“Darrel”, “Gerald”, and “Emma”) and all three belief conditions once (knowledge control, Gettier case, and ignorance control). Participants will be directed to their randomly assigned reading condition for each vignette (for full details of these vignettes, see Appendix B).</w:t>
      </w:r>
    </w:p>
    <w:p w14:paraId="0115823E" w14:textId="77777777" w:rsidR="00861989" w:rsidRDefault="00861989" w:rsidP="00861989">
      <w:pPr>
        <w:spacing w:before="240" w:after="240" w:line="240" w:lineRule="auto"/>
      </w:pPr>
      <w:r>
        <w:t xml:space="preserve">After participants have read each assigned vignette, they will then be asked to respond to several questions before moving on to the next vignette. As in </w:t>
      </w:r>
      <w:proofErr w:type="spellStart"/>
      <w:r>
        <w:t>Turri</w:t>
      </w:r>
      <w:proofErr w:type="spellEnd"/>
      <w:r>
        <w:t xml:space="preserve"> et al. (2015), participants will first respond to a knowledge attribution question followed by a comprehension question for exclusion purposes.</w:t>
      </w:r>
      <w:r>
        <w:rPr>
          <w:vertAlign w:val="superscript"/>
        </w:rPr>
        <w:footnoteReference w:id="32"/>
      </w:r>
      <w:r>
        <w:t xml:space="preserve"> Then, participants will answer a question about whether it was reasonable or unreasonable for the protagonist to believe what they believed (</w:t>
      </w:r>
      <w:proofErr w:type="spellStart"/>
      <w:r>
        <w:t>Turri</w:t>
      </w:r>
      <w:proofErr w:type="spellEnd"/>
      <w:r>
        <w:t xml:space="preserve"> et al., 2015). For measuring these two dependent variables and the comprehension control variable, we will use the same procedure used in the original study (</w:t>
      </w:r>
      <w:proofErr w:type="spellStart"/>
      <w:r>
        <w:t>Turri</w:t>
      </w:r>
      <w:proofErr w:type="spellEnd"/>
      <w:r>
        <w:t xml:space="preserve"> et al., 2015). That is, participants will not be allowed to go back to a previous page and change their answer, and questions will always be asked in the same order (knowledge/ comprehension/ reasonableness) for each vignette.</w:t>
      </w:r>
    </w:p>
    <w:p w14:paraId="31323707" w14:textId="77777777" w:rsidR="00861989" w:rsidRDefault="00861989" w:rsidP="00861989">
      <w:pPr>
        <w:spacing w:before="240" w:after="240" w:line="240" w:lineRule="auto"/>
      </w:pPr>
      <w:r>
        <w:t>After completing all confirmatory and exploratory questions for each vignette, participants will then be asked to answer a set of demographic, control, covariate, and study experience questions (see Appendix C)</w:t>
      </w:r>
      <w:r>
        <w:rPr>
          <w:vertAlign w:val="superscript"/>
        </w:rPr>
        <w:footnoteReference w:id="33"/>
      </w:r>
      <w:r>
        <w:t>. Control variables will include the language proficiency question described above and a set of funneled debriefing questions to check for explicit knowledge of our specific hypotheses</w:t>
      </w:r>
      <w:r>
        <w:rPr>
          <w:vertAlign w:val="superscript"/>
        </w:rPr>
        <w:footnoteReference w:id="34"/>
      </w:r>
      <w:r>
        <w:t>. Covariates include all demographic and other variables that are measured at each site by each participant, including the test setting (tested online vs. face-to-face; tested individually vs. in group, compensated vs. uncompensated), participant age, gender (men, women, other), and years of education. All other demographic questions will be reported for solely descriptive purposes. We will also collect a large swathe of site level variables (i.e., regional SES related information, local climate, crime prevalence, etc.) for the use of exploratory analyses. Also, as part of a Study Swap project (Chartier &amp; McCarthy, 2018), contributing sites may opt into asking participants a set of additional questions about their study experience (Satchell, 2018; see Appendix C)</w:t>
      </w:r>
      <w:r>
        <w:rPr>
          <w:vertAlign w:val="superscript"/>
        </w:rPr>
        <w:footnoteReference w:id="35"/>
      </w:r>
      <w:r>
        <w:t>. We will collect responses to these questions, but we have no plans to use the information in any of our analyses.</w:t>
      </w:r>
    </w:p>
    <w:p w14:paraId="6E75CB5A" w14:textId="77777777" w:rsidR="00861989" w:rsidRDefault="00861989" w:rsidP="00861989">
      <w:pPr>
        <w:spacing w:before="240" w:after="240" w:line="240" w:lineRule="auto"/>
      </w:pPr>
      <w:r>
        <w:lastRenderedPageBreak/>
        <w:t xml:space="preserve">Participating labs are free to compensate participants using the standards of their lab/university. This could include extra credit, research credit, money, gift cards, or no compensation (we will measure compensation as a covariate). However, as previously mentioned, we will not permit the use of online survey services where participants are paid (e.g., </w:t>
      </w:r>
      <w:proofErr w:type="spellStart"/>
      <w:r>
        <w:t>MTurk</w:t>
      </w:r>
      <w:proofErr w:type="spellEnd"/>
      <w:r>
        <w:t xml:space="preserve">), except for one large </w:t>
      </w:r>
      <w:proofErr w:type="spellStart"/>
      <w:r>
        <w:t>MTurk</w:t>
      </w:r>
      <w:proofErr w:type="spellEnd"/>
      <w:r>
        <w:t xml:space="preserve"> sample that will be collected by two of the authors (Chartier and Hall).</w:t>
      </w:r>
      <w:r>
        <w:rPr>
          <w:vertAlign w:val="superscript"/>
        </w:rPr>
        <w:footnoteReference w:id="36"/>
      </w:r>
    </w:p>
    <w:p w14:paraId="38072FCC" w14:textId="77777777" w:rsidR="00861989" w:rsidRDefault="00861989" w:rsidP="00861989">
      <w:pPr>
        <w:spacing w:before="240" w:after="240" w:line="240" w:lineRule="auto"/>
      </w:pPr>
      <w:r>
        <w:rPr>
          <w:b/>
        </w:rPr>
        <w:t xml:space="preserve">Data collection stopping rules and exclusions. </w:t>
      </w:r>
      <w:r>
        <w:t>Each site will pre-register a minimum target sample size of 50 as a part of their OSF pre-registration, which must be approved by the CREP executive team prior to data collection. To be approved, contributing labs must demonstrate a sufficient random assignment method and the ability to reach a minimum required sample size (after exclusions are accounted for). Contributors can stop collecting data when they meet their pre-registered target sample size, or when the overall data collection deadline passes. Overall data collection will be stopped when the April 1st, 2020 deadline passes, or once all contributors have reached their pre-registered target sample size.</w:t>
      </w:r>
      <w:r>
        <w:rPr>
          <w:vertAlign w:val="superscript"/>
        </w:rPr>
        <w:footnoteReference w:id="37"/>
      </w:r>
      <w:r>
        <w:t xml:space="preserve"> Depending on the progress of the primary analyses, we cannot guarantee inclusion of projects submitted for review after this date.</w:t>
      </w:r>
    </w:p>
    <w:p w14:paraId="06C17D27" w14:textId="77777777" w:rsidR="00861989" w:rsidRDefault="00861989" w:rsidP="00861989">
      <w:pPr>
        <w:spacing w:before="240" w:after="240" w:line="240" w:lineRule="auto"/>
      </w:pPr>
      <w:r>
        <w:t>Participants in any laboratory must be excluded for any one of the following reasons: (1) if the participant is not the majority age of their geopolitical region or older (unless parent/guardian waiver provided), (2) if the participant has taken part in a previous version of this study or in another contributor’s replication of the same study, (3) if the participant fails to answer comprehension questions correctly, or (4) if the participant correctly and explicitly articulate knowledge of the specific hypotheses or specific conditions of this study when answering the funneled debriefing questions. We will also exclude participants who self-report their understanding of the tested language as “not well” or “not well at all”. We based this exclusion criteria on a recent study that found that non-native English speakers who self-report as “very well” and “well” tend to score in the “intermediate” and “basic” categories on an English proficiency test respectively, while those who self-report as “not well” and “not at all” tend to score in the “below basic” category (</w:t>
      </w:r>
      <w:proofErr w:type="spellStart"/>
      <w:r>
        <w:t>Vickstrom</w:t>
      </w:r>
      <w:proofErr w:type="spellEnd"/>
      <w:r>
        <w:t xml:space="preserve">, Shin, Collazo, &amp; Bauman, 2015). All excluded data will be included in the data files on the overall OSF page, along with the </w:t>
      </w:r>
      <w:proofErr w:type="gramStart"/>
      <w:r>
        <w:t>particular reason</w:t>
      </w:r>
      <w:proofErr w:type="gramEnd"/>
      <w:r>
        <w:t xml:space="preserve"> for why they were excluded.</w:t>
      </w:r>
      <w:r w:rsidR="008556F9">
        <w:rPr>
          <w:noProof/>
        </w:rPr>
        <w:pict w14:anchorId="23999A98">
          <v:rect id="_x0000_i1026" alt="" style="width:468pt;height:.05pt;mso-width-percent:0;mso-height-percent:0;mso-width-percent:0;mso-height-percent:0" o:hralign="center" o:hrstd="t" o:hr="t" fillcolor="#a0a0a0" stroked="f"/>
        </w:pict>
      </w:r>
    </w:p>
    <w:p w14:paraId="47EB050E" w14:textId="77777777" w:rsidR="00861989" w:rsidRDefault="00861989" w:rsidP="00861989">
      <w:pPr>
        <w:spacing w:before="240" w:after="240" w:line="240" w:lineRule="auto"/>
        <w:rPr>
          <w:sz w:val="20"/>
          <w:szCs w:val="20"/>
        </w:rPr>
      </w:pPr>
      <w:r>
        <w:rPr>
          <w:sz w:val="20"/>
          <w:szCs w:val="20"/>
          <w:vertAlign w:val="superscript"/>
        </w:rPr>
        <w:t>[1]</w:t>
      </w:r>
      <w:r>
        <w:rPr>
          <w:sz w:val="20"/>
          <w:szCs w:val="20"/>
        </w:rPr>
        <w:t>Due to ethics considerations (e.g., EU policies regarding collecting certain demographic questions), individual sites may opt out of measuring specific descriptive demographic questions (e.g., race/ethnicity) on a case-by-case basis.</w:t>
      </w:r>
    </w:p>
    <w:p w14:paraId="1E2DB34B" w14:textId="77777777" w:rsidR="00861989" w:rsidRDefault="00861989" w:rsidP="00861989">
      <w:pPr>
        <w:spacing w:before="240" w:after="240" w:line="240" w:lineRule="auto"/>
      </w:pPr>
      <w:r>
        <w:rPr>
          <w:sz w:val="20"/>
          <w:szCs w:val="20"/>
          <w:vertAlign w:val="superscript"/>
        </w:rPr>
        <w:t>[2]</w:t>
      </w:r>
      <w:r>
        <w:rPr>
          <w:sz w:val="20"/>
          <w:szCs w:val="20"/>
        </w:rPr>
        <w:t xml:space="preserve"> Resulting in 6 propositional knowledge condition order combinations, and randomizing order of presenting vignettes (6 possible order combinations), resulting in 36 possible flows in SoSciSurvey.</w:t>
      </w:r>
    </w:p>
    <w:p w14:paraId="5A44097B" w14:textId="77777777" w:rsidR="00861989" w:rsidRDefault="00861989" w:rsidP="00861989">
      <w:pPr>
        <w:spacing w:before="240" w:after="240" w:line="240" w:lineRule="auto"/>
      </w:pPr>
      <w:r>
        <w:rPr>
          <w:b/>
        </w:rPr>
        <w:t>Analysis Plan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61989" w14:paraId="22CA1863" w14:textId="77777777" w:rsidTr="00EA09C7">
        <w:tc>
          <w:tcPr>
            <w:tcW w:w="9360" w:type="dxa"/>
            <w:shd w:val="clear" w:color="auto" w:fill="auto"/>
            <w:tcMar>
              <w:top w:w="100" w:type="dxa"/>
              <w:left w:w="100" w:type="dxa"/>
              <w:bottom w:w="100" w:type="dxa"/>
              <w:right w:w="100" w:type="dxa"/>
            </w:tcMar>
          </w:tcPr>
          <w:p w14:paraId="7F2C873A" w14:textId="77777777" w:rsidR="00861989" w:rsidRDefault="00861989" w:rsidP="00EA09C7">
            <w:pPr>
              <w:spacing w:after="200" w:line="240" w:lineRule="auto"/>
              <w:rPr>
                <w:b/>
                <w:i/>
              </w:rPr>
            </w:pPr>
            <w:r>
              <w:rPr>
                <w:b/>
                <w:i/>
              </w:rPr>
              <w:t>Deviations from Approved Analysis Plan</w:t>
            </w:r>
          </w:p>
          <w:p w14:paraId="6A4CAA36" w14:textId="77777777" w:rsidR="00861989" w:rsidRDefault="00861989" w:rsidP="00EA09C7">
            <w:pPr>
              <w:spacing w:after="200" w:line="240" w:lineRule="auto"/>
              <w:ind w:firstLine="720"/>
            </w:pPr>
            <w:r>
              <w:lastRenderedPageBreak/>
              <w:t xml:space="preserve">Several deviations occurred in our analysis plan. First, the variables that we measured continuously had severe statistical violations that would have rendered our originally planned analyses uninterpretable and misleading. Thus, we converted those variables to binary (reasonableness, knowledge, and luck attributions). Because we converted these variables, many other deviations were required in order to produce the most valid and accurate analyses. In addition to these deviations, we also deviated from our plan regarding how we decided to build and test our models. These deviations occurred because the originally planned analyses did not follow common practices regarding multilevel modeling or were factually incorrect. </w:t>
            </w:r>
          </w:p>
          <w:p w14:paraId="1A2ADA6C" w14:textId="77777777" w:rsidR="00861989" w:rsidRDefault="00861989" w:rsidP="00EA09C7">
            <w:pPr>
              <w:spacing w:after="200"/>
              <w:ind w:firstLine="720"/>
            </w:pPr>
            <w:r>
              <w:rPr>
                <w:b/>
              </w:rPr>
              <w:t xml:space="preserve">Reporting Site Level Analyses. </w:t>
            </w:r>
            <w:r>
              <w:t>Due to inconsistencies of student teams reporting their final site-level analyses, we do not have a full list of analyses that were conducted by student teams. Where we do have that information, it is reported above.</w:t>
            </w:r>
          </w:p>
          <w:p w14:paraId="790A1DEC" w14:textId="77777777" w:rsidR="00861989" w:rsidRDefault="00861989" w:rsidP="00EA09C7">
            <w:pPr>
              <w:spacing w:after="200"/>
              <w:ind w:firstLine="720"/>
            </w:pPr>
            <w:r>
              <w:rPr>
                <w:b/>
              </w:rPr>
              <w:t xml:space="preserve">Converted Continuous Measures to Binary. </w:t>
            </w:r>
            <w:r>
              <w:t>Due to the extreme bimodal distributions we observed in our data causing severe statistical violations that would have rendered our originally planned analyses uninterpretable, we had to convert the continuous measures to binary.</w:t>
            </w:r>
          </w:p>
          <w:p w14:paraId="142AEBE3" w14:textId="77777777" w:rsidR="00861989" w:rsidRDefault="00861989" w:rsidP="00EA09C7">
            <w:pPr>
              <w:spacing w:after="200"/>
              <w:ind w:firstLine="720"/>
            </w:pPr>
            <w:r>
              <w:rPr>
                <w:b/>
              </w:rPr>
              <w:t xml:space="preserve">Model Testing. </w:t>
            </w:r>
            <w:r>
              <w:t>This null model was incorrectly described as including the primary predictor variable (condition). In practice, null models do not include any predictors. Thus, to ensure proper model testing, we did not follow this particular erroneous plan when constructing the true null model for our analyses. As per common practices for assessing multilevel models, we did not use the ICCs for random variables and instead relied on changes in the AIC and in the pseudo R-squares to determine how much variation in the data was accounted for by each random variable.</w:t>
            </w:r>
          </w:p>
          <w:p w14:paraId="4DA80E66" w14:textId="77777777" w:rsidR="00861989" w:rsidRDefault="00861989" w:rsidP="00EA09C7">
            <w:pPr>
              <w:spacing w:after="200"/>
              <w:ind w:firstLine="720"/>
            </w:pPr>
            <w:r>
              <w:t xml:space="preserve">Because we converted our dependent variables to binary variables, it no longer made sense to assess whether judgements differed from chance based on their confidence intervals crossing the 50 mark. Given that we ended up assessing how much variation could be </w:t>
            </w:r>
            <w:r>
              <w:lastRenderedPageBreak/>
              <w:t>explained by vignettes using different model testing procedures, we opted to not test how correlated vignette responses were with each other. Given that the procedures described here for testing the random effects included in our planned multilevel models were erroneously described and do not follow current common practices in multilevel modeling, these procedures were not followed. Instead, current common practices were used while maintaining results-blindness to ensure that conclusions derived from testing these models would be both statistically valid and uninfluenced by knowledge of how these changes might alter the final results.</w:t>
            </w:r>
          </w:p>
          <w:p w14:paraId="433D3BF7" w14:textId="77777777" w:rsidR="00861989" w:rsidRDefault="00861989" w:rsidP="00EA09C7">
            <w:pPr>
              <w:spacing w:after="200"/>
              <w:ind w:firstLine="720"/>
            </w:pPr>
            <w:r>
              <w:t>The way these results were ultimately reported changed due to our decision to convert the continuous dependent variables to binary ones. Again, to ensure that we follow common practices in multilevel modeling, the variation accounted for by the random variables was assessed using changes to AIC and measures of pseudo R-squared rather than the random slope variance. Because we did not ultimately calculate regression coefficients between vignettes, we did not utilize any family-wise error correction method.</w:t>
            </w:r>
          </w:p>
          <w:p w14:paraId="1F325590" w14:textId="77777777" w:rsidR="00861989" w:rsidRDefault="00861989" w:rsidP="00EA09C7">
            <w:pPr>
              <w:spacing w:after="200"/>
              <w:ind w:firstLine="720"/>
            </w:pPr>
            <w:r>
              <w:t>Again, we opted not to follow our plan to test covariate structures in order to better follow current common practices in multilevel modeling. Thus, we did not test which covariate structure fit the data best. Once again, to ensure that our analyses followed current common practices in multilevel modeling, we did not add each covariate to the model one at a time. Instead, all covariates were entered simultaneously to determine their influence before the focal predictor was entered into the model.</w:t>
            </w:r>
          </w:p>
          <w:p w14:paraId="69093F31" w14:textId="77777777" w:rsidR="00861989" w:rsidRDefault="00861989" w:rsidP="00EA09C7">
            <w:pPr>
              <w:widowControl w:val="0"/>
              <w:spacing w:after="200" w:line="240" w:lineRule="auto"/>
              <w:ind w:firstLine="720"/>
            </w:pPr>
            <w:r>
              <w:t xml:space="preserve">For reasonableness attribution, we altered our planned analyses in all of the same ways that we did for knowledge attribution. As previously discussed, we decided to make these changes to accommodate our conversion of the variable from continuous to binary and to </w:t>
            </w:r>
            <w:r>
              <w:lastRenderedPageBreak/>
              <w:t xml:space="preserve">ensure that we follow current common practices in multilevel modeling. </w:t>
            </w:r>
          </w:p>
        </w:tc>
      </w:tr>
    </w:tbl>
    <w:p w14:paraId="3E1662C9" w14:textId="77777777" w:rsidR="00861989" w:rsidRDefault="00861989" w:rsidP="00861989">
      <w:pPr>
        <w:spacing w:before="240" w:after="240" w:line="240" w:lineRule="auto"/>
        <w:rPr>
          <w:b/>
        </w:rPr>
      </w:pPr>
      <w:r>
        <w:rPr>
          <w:b/>
        </w:rPr>
        <w:lastRenderedPageBreak/>
        <w:t>Proposed Analytic Strategy and Sample Size Justification</w:t>
      </w:r>
    </w:p>
    <w:p w14:paraId="7BD8842B" w14:textId="77777777" w:rsidR="00861989" w:rsidRDefault="00861989" w:rsidP="00861989">
      <w:pPr>
        <w:spacing w:before="240" w:after="240" w:line="240" w:lineRule="auto"/>
      </w:pPr>
      <w:r>
        <w:t>For this experimental mixed factorial design, we will analyze the primary and secondary hypothesized outcomes (i.e., knowledge and reasonableness attribution visual analogue scales, respectively) with multilevel modeling (for a visualization of this data structure, see Figure 3). In these analyses, participants in the contributing labs will be presented with a set of three stimuli (i.e., “Darrel”, “Gerald”, and “Emma” vignettes). As belief condition will also be random for each stimulus and each participant, this design feature will further give rise to a cross-classified data structure, where participants are nested within higher-level units formed by crossing two or more higher-level classifications with one another to fully account for the nesting of participants (i.e., participants are not only nested within their own labs, but also with regards to the conditions they have been exposed to).</w:t>
      </w:r>
    </w:p>
    <w:p w14:paraId="3C536CF1" w14:textId="77777777" w:rsidR="00861989" w:rsidRDefault="00861989" w:rsidP="00861989">
      <w:pPr>
        <w:spacing w:before="240" w:after="240" w:line="240" w:lineRule="auto"/>
      </w:pPr>
      <w:r>
        <w:t>The order of vignettes and their conditions will be randomized without replacement, such that participants will first be assigned to one of three vignettes (“Darrel”, “Emma”, or “Gerald”) in one of the three belief conditions (knowledge control, Gettier case, or ignorance control). The remaining two vignettes will then be presented in random order, each also randomized and counter-balanced to one of the remaining two belief conditions until all participants have been exposed to all three vignettes and all three conditions once. Participants will be asked several questions after reading each vignette. We will use this model to test whether the effects of the independent variable (i.e., knowledge condition) on the continuous dependent variables (i.e., visual analogue scale responses for knowledge and reasonableness) are robust to covariates/interactions (i.e., sensitivity test).</w:t>
      </w:r>
      <w:r>
        <w:rPr>
          <w:vertAlign w:val="superscript"/>
        </w:rPr>
        <w:footnoteReference w:id="38"/>
      </w:r>
    </w:p>
    <w:p w14:paraId="67873530" w14:textId="77777777" w:rsidR="00861989" w:rsidRDefault="00861989" w:rsidP="00861989">
      <w:r>
        <w:rPr>
          <w:noProof/>
          <w:lang w:val="en-US"/>
        </w:rPr>
        <w:lastRenderedPageBreak/>
        <w:drawing>
          <wp:inline distT="114300" distB="114300" distL="114300" distR="114300" wp14:anchorId="4D18A301" wp14:editId="45323CD2">
            <wp:extent cx="5943600" cy="4559300"/>
            <wp:effectExtent l="0" t="0" r="0" b="0"/>
            <wp:docPr id="6"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Diagram&#10;&#10;Description automatically generated"/>
                    <pic:cNvPicPr preferRelativeResize="0"/>
                  </pic:nvPicPr>
                  <pic:blipFill>
                    <a:blip r:embed="rId73"/>
                    <a:srcRect/>
                    <a:stretch>
                      <a:fillRect/>
                    </a:stretch>
                  </pic:blipFill>
                  <pic:spPr>
                    <a:xfrm>
                      <a:off x="0" y="0"/>
                      <a:ext cx="5943600" cy="4559300"/>
                    </a:xfrm>
                    <a:prstGeom prst="rect">
                      <a:avLst/>
                    </a:prstGeom>
                    <a:ln/>
                  </pic:spPr>
                </pic:pic>
              </a:graphicData>
            </a:graphic>
          </wp:inline>
        </w:drawing>
      </w:r>
    </w:p>
    <w:p w14:paraId="491051E5" w14:textId="77777777" w:rsidR="00861989" w:rsidRDefault="00861989" w:rsidP="00861989">
      <w:pPr>
        <w:spacing w:before="240" w:after="240" w:line="240" w:lineRule="auto"/>
      </w:pPr>
      <w:r>
        <w:rPr>
          <w:i/>
        </w:rPr>
        <w:t>Figure 3</w:t>
      </w:r>
      <w:r>
        <w:t>: Data Structure. Total sample size includes a sample of labs (target lab sample size is 50) each nested with a sample of participants (minimum participant sample size is 50) which are cross classified with a sample of three vignettes (stimuli). Each assigned vignette is randomized to one of three conditions (ignorance control, Gettier case, or knowledge control).</w:t>
      </w:r>
    </w:p>
    <w:p w14:paraId="1222A7C5" w14:textId="77777777" w:rsidR="00861989" w:rsidRDefault="00861989" w:rsidP="00861989">
      <w:pPr>
        <w:spacing w:before="240" w:after="240" w:line="240" w:lineRule="auto"/>
      </w:pPr>
      <w:r>
        <w:rPr>
          <w:b/>
        </w:rPr>
        <w:t xml:space="preserve">Participant sample size. </w:t>
      </w:r>
      <w:r>
        <w:t>To estimate the required number of units needed in each level (i.e., vignettes, participants, labs) of our two primary three-level linear models (knowledge and reasonableness) for adequate power, we used R package “simr” (Green &amp; MacLeod, 2016). We simulated 1,000 datasets (using the “powerSim” function) several times for different model specifications. We simulated distributions of the primary response variable based on the means and standard deviations of the data we collected during a pretest (Hall et al., 2018), which met assumptions for the analyses.</w:t>
      </w:r>
    </w:p>
    <w:p w14:paraId="568AE16B" w14:textId="014832C1" w:rsidR="00861989" w:rsidRDefault="00861989" w:rsidP="00861989">
      <w:pPr>
        <w:spacing w:before="240" w:after="240" w:line="240" w:lineRule="auto"/>
      </w:pPr>
      <w:r>
        <w:t xml:space="preserve">To estimate the difference in knowledge attribution rates between participants in the Gettier case condition and participants in the ignorance control condition for the power analysis, we used the Cramér’s </w:t>
      </w:r>
      <w:r>
        <w:rPr>
          <w:i/>
        </w:rPr>
        <w:t>V</w:t>
      </w:r>
      <w:r>
        <w:t xml:space="preserve"> (.509) reported in Experiment 1 of Turri et al. (2015) and the observed unstandardized beta from our pretest data to roughly estimate a standardized fixed effect for the model (β = .5). We assumed that our test will likely find a smaller effect size closer to the average (i.e., regression toward the mean; β = .3) because our estimates were drawn from non-</w:t>
      </w:r>
      <w:r>
        <w:lastRenderedPageBreak/>
        <w:t>random samples using two imperfectly correlated measures and because an effect size of .5 is probably an extreme outlier within the distribution of all possible tests. We estimated a small difference (β = .10) in knowledge attribution rates between participants in the Gettier case condition and participants in the knowledge control condition based on our pretest data (Hall et al., 2018) and the small significant effects sometimes found in the literature, also assuming regression toward the mean for the same reason (e.g., Machery et al., 201</w:t>
      </w:r>
      <w:r w:rsidR="008D41E2">
        <w:t>7a</w:t>
      </w:r>
      <w:r>
        <w:t>; Starman &amp; Friedman, 2012).</w:t>
      </w:r>
    </w:p>
    <w:p w14:paraId="28F6B032" w14:textId="77777777" w:rsidR="00861989" w:rsidRDefault="00861989" w:rsidP="00861989">
      <w:pPr>
        <w:spacing w:before="240" w:after="240" w:line="240" w:lineRule="auto"/>
      </w:pPr>
      <w:r>
        <w:t>We then explored several simulations with varying study parameters based on the pretest data we collected (Hall et al., 2018) and the original study (Turri et al., 2015). We investigated how this specified model could reach 90% power with an alpha of .05. We chose 90% power because we wanted to allow for a strong chance to detect a more accurate estimate of the effect sizes reported in the original publication, especially since there may be a small effect that went undetected in the original study (Hall et al., 2018). Additionally, effect sizes in the literature are often overestimates of the true effect size (Brandt et al., 2014; Greenwald, 1975; Open Science Collaboration, 2015; Simonsohn, 2013).</w:t>
      </w:r>
    </w:p>
    <w:p w14:paraId="1AD23E57" w14:textId="77777777" w:rsidR="00861989" w:rsidRDefault="00861989" w:rsidP="00861989">
      <w:pPr>
        <w:spacing w:before="240" w:after="240" w:line="240" w:lineRule="auto"/>
      </w:pPr>
      <w:r>
        <w:t>We used the R function “powerCurve” (Green &amp; MacLeod, 2016) to simulate data along several participant site sample sizes while holding vignette sample size (</w:t>
      </w:r>
      <w:r>
        <w:rPr>
          <w:i/>
        </w:rPr>
        <w:t>N</w:t>
      </w:r>
      <w:r>
        <w:t xml:space="preserve"> = 3) and lab sample size (</w:t>
      </w:r>
      <w:r>
        <w:rPr>
          <w:i/>
        </w:rPr>
        <w:t>N</w:t>
      </w:r>
      <w:r>
        <w:t xml:space="preserve"> = 9) constant to determine what site sample sizes we need to achieve 90% power to detect a real (between-subjects) effect of condition on knowledge attribution. These simulations, available on our OSF project page (Hall et al., 2018), suggest that to be powered enough (90.2%, 95% </w:t>
      </w:r>
      <w:r>
        <w:rPr>
          <w:i/>
        </w:rPr>
        <w:t xml:space="preserve">CI </w:t>
      </w:r>
      <w:r>
        <w:t>[88.19, 91.97]) to detect a real between-subjects effect while accounting for the crossing and nesting of our data, we will need 3 vignettes per participant, 32 participants per lab, and 9 labs (288 total participants, 864 total observations; see Figure 4).</w:t>
      </w:r>
    </w:p>
    <w:p w14:paraId="0EAE50B9" w14:textId="77777777" w:rsidR="00861989" w:rsidRDefault="00861989" w:rsidP="00861989">
      <w:pPr>
        <w:spacing w:before="240" w:after="240" w:line="240" w:lineRule="auto"/>
      </w:pPr>
      <w:r>
        <w:rPr>
          <w:i/>
        </w:rPr>
        <w:t>Figure 4</w:t>
      </w:r>
      <w:r>
        <w:t>: “powerCurve” (Green &amp; MacLeod, 2016) plot for total number of participants needed (across all labs) to detect a small effect of condition (β = .1) on knowledge attribution, with vignette count (</w:t>
      </w:r>
      <w:r>
        <w:rPr>
          <w:i/>
        </w:rPr>
        <w:t>N</w:t>
      </w:r>
      <w:r>
        <w:t xml:space="preserve"> = 3) and lab count (</w:t>
      </w:r>
      <w:r>
        <w:rPr>
          <w:i/>
        </w:rPr>
        <w:t>N</w:t>
      </w:r>
      <w:r>
        <w:t xml:space="preserve"> = 9) held constant.</w:t>
      </w:r>
    </w:p>
    <w:p w14:paraId="505B76C3" w14:textId="77777777" w:rsidR="00861989" w:rsidRDefault="00861989" w:rsidP="00861989">
      <w:pPr>
        <w:spacing w:before="240" w:after="240" w:line="240" w:lineRule="auto"/>
      </w:pPr>
      <w:r>
        <w:t>However, the power estimated by these conventional power analyses may differ non-trivially in the presence of effect heterogeneity - which has been shown to be an issue, even in large multilab studies (i.e., Many Labs) with minimal study variation (Kenny &amp; Judd, 2019). For instance, when a study demonstrates some effect heterogeneity and a small to medium effect size, there is a non-trivial chance of finding a significant effect in the opposite direction from the average effect size reported in the literature as well as a non-trivial probability of detecting an effect in the wrong direction (i.e., the effect is positive, but the test actually shows a significant negative effect): This probability increases as N increases (Kenny &amp; Judd, 2019). For these reasons, Kenny &amp; Judd (2019) recently concluded that multiple smaller studies are preferable to a single large one, and that many smaller studies that vary those irrelevancies can likely tell us more than one single large study.</w:t>
      </w:r>
    </w:p>
    <w:p w14:paraId="5FE80176" w14:textId="77777777" w:rsidR="00861989" w:rsidRDefault="00861989" w:rsidP="00861989">
      <w:pPr>
        <w:spacing w:before="240" w:after="240" w:line="240" w:lineRule="auto"/>
      </w:pPr>
      <w:r>
        <w:t>Rather than requiring a considerably larger participant sample size for each site in order to provide a better powered test to detect interaction effects of covariates, we instead weighed the important trade-offs between study feasibility for undergraduate students in a classroom setting and power for covariates. Due to the pedagogical focus of this project, we decided to prioritize study feasibility for undergraduate students (</w:t>
      </w:r>
      <w:r>
        <w:rPr>
          <w:i/>
        </w:rPr>
        <w:t>N</w:t>
      </w:r>
      <w:r>
        <w:t xml:space="preserve"> = 50) rather than requiring a larger, more </w:t>
      </w:r>
      <w:r>
        <w:lastRenderedPageBreak/>
        <w:t>representative sample from each site (</w:t>
      </w:r>
      <w:r>
        <w:rPr>
          <w:i/>
        </w:rPr>
        <w:t xml:space="preserve">N </w:t>
      </w:r>
      <w:r>
        <w:t xml:space="preserve">&gt; 100). Thus, any exploratory analyses of covariates and their interactions will be interpreted with caution. </w:t>
      </w:r>
    </w:p>
    <w:p w14:paraId="628CF7E9" w14:textId="77777777" w:rsidR="00861989" w:rsidRDefault="00861989" w:rsidP="00861989">
      <w:pPr>
        <w:spacing w:before="240" w:after="240" w:line="240" w:lineRule="auto"/>
      </w:pPr>
      <w:r>
        <w:rPr>
          <w:b/>
        </w:rPr>
        <w:t xml:space="preserve">Laboratory sample size. </w:t>
      </w:r>
      <w:r>
        <w:t>In terms of participating labs, we currently have 45 sites signed up. The PSA currently has over 450 labs within its global network, and the CREP</w:t>
      </w:r>
      <w:r>
        <w:rPr>
          <w:b/>
        </w:rPr>
        <w:t xml:space="preserve"> </w:t>
      </w:r>
      <w:r>
        <w:t>currently works with 29 labs. Other multilab projects, such as ManyLabs, have similarly collected data from 20 to 30 contributing sites. In addition to this network of labs, AMMPS will make an additional call for contributing labs through APS.</w:t>
      </w:r>
      <w:r>
        <w:rPr>
          <w:vertAlign w:val="superscript"/>
        </w:rPr>
        <w:footnoteReference w:id="39"/>
      </w:r>
      <w:r>
        <w:t xml:space="preserve"> Because of the CREP’s educational aims, we will continue to accept contributing labs until February 1, 2020, even after adequate power has been reached</w:t>
      </w:r>
      <w:r>
        <w:rPr>
          <w:vertAlign w:val="superscript"/>
        </w:rPr>
        <w:footnoteReference w:id="40"/>
      </w:r>
      <w:r>
        <w:t>. Given these numbers, past experiences of our team, and the low resource requirements of this study, we are confident in our ability to collect from at least 50 labs. This will give us more than adequate power to detect our primary effect of interest, as well as provide a rich and broad data set that other researchers can analyze to make secondary contributions.</w:t>
      </w:r>
    </w:p>
    <w:p w14:paraId="550FA300" w14:textId="77777777" w:rsidR="00861989" w:rsidRDefault="00861989" w:rsidP="00861989">
      <w:pPr>
        <w:spacing w:before="240" w:after="240" w:line="240" w:lineRule="auto"/>
      </w:pPr>
      <w:r>
        <w:t>Given that individual site samples may experience some data loss (we estimate at least 10% from comprehension exclusion based on pretest data, Hall et al., 2018), we will require a pre-registered minimum sample size of 50 participants (after exclusions) at each site to ensure that each data collection is reasonably powered. To incentivize sites to collect well powered samples and provide students with quality lab experiences, the CREP awards sites with a completion certification award for meeting the required sample size. To qualify for the CREP completion award for this study, a site must sample at least 50 participants. The CREP completion award is a certificate presented to participating lab members for their high-quality work upon completion of the CREP study.</w:t>
      </w:r>
    </w:p>
    <w:p w14:paraId="53ED0C6B" w14:textId="57BE40B7" w:rsidR="00861989" w:rsidRDefault="00861989" w:rsidP="00861989">
      <w:pPr>
        <w:spacing w:before="240" w:after="240" w:line="240" w:lineRule="auto"/>
      </w:pPr>
      <w:r>
        <w:rPr>
          <w:b/>
        </w:rPr>
        <w:t>Stimulus sample size.</w:t>
      </w:r>
      <w:r>
        <w:t xml:space="preserve"> To determine which vignettes (i.e., stimuli) to sample from the experimental philosophy literature, we first searched the literature thoroughly for all articles relating to Gettier intuitions. We then evaluated the vignettes found in these articles based on several criteria: similarity, quality, and influence. Because our goal is to replicate findings from Turri </w:t>
      </w:r>
      <w:r w:rsidR="00054587">
        <w:t>et al.</w:t>
      </w:r>
      <w:r>
        <w:t xml:space="preserve"> Experiment 1 (which used a counterfeit object Gettier case), we decided to only sample other counterfeit object vignettes to test the generality of this class of Gettier-type cases, in lieu of testing Gettier-type cases more broadly. Thus, we first determined if a given vignette was a counterfeit object type Gettier case or if it was a different type of Gettier case (e.g., evidence replacement), and then kept only counterfeit cases. Then, we noted whether a given vignette had matched controls similar to those found in Turri et al. (2015) and kept only those that did. We then evaluated the influence of the remaining vignettes based on how many times an iteration of the vignette has been tested in the literature. Through this process, the “Gerald” vignette (i.e., fake barn case) and the “Emma” vignette (i.e., the counterfeit diamond case) were selected. Of note, the “Gerald” barn case vignette was primarily chosen for its influence in the </w:t>
      </w:r>
      <w:r>
        <w:lastRenderedPageBreak/>
        <w:t>literature - as its control conditions were not perfectly matched with the “Squirrel/Darrel” vignette conditions and had to be altered to be used.</w:t>
      </w:r>
      <w:r>
        <w:rPr>
          <w:vertAlign w:val="superscript"/>
        </w:rPr>
        <w:footnoteReference w:id="41"/>
      </w:r>
    </w:p>
    <w:p w14:paraId="48024168" w14:textId="77777777" w:rsidR="00861989" w:rsidRDefault="00861989" w:rsidP="00861989">
      <w:pPr>
        <w:ind w:firstLine="720"/>
      </w:pPr>
      <w:r>
        <w:rPr>
          <w:noProof/>
          <w:lang w:val="en-US"/>
        </w:rPr>
        <w:drawing>
          <wp:inline distT="114300" distB="114300" distL="114300" distR="114300" wp14:anchorId="33542DDD" wp14:editId="3F704E81">
            <wp:extent cx="5481638" cy="3190875"/>
            <wp:effectExtent l="0" t="0" r="0" b="0"/>
            <wp:docPr id="7"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2.png" descr="Chart, scatter chart&#10;&#10;Description automatically generated"/>
                    <pic:cNvPicPr preferRelativeResize="0"/>
                  </pic:nvPicPr>
                  <pic:blipFill>
                    <a:blip r:embed="rId74"/>
                    <a:srcRect b="4011"/>
                    <a:stretch>
                      <a:fillRect/>
                    </a:stretch>
                  </pic:blipFill>
                  <pic:spPr>
                    <a:xfrm>
                      <a:off x="0" y="0"/>
                      <a:ext cx="5481638" cy="3190875"/>
                    </a:xfrm>
                    <a:prstGeom prst="rect">
                      <a:avLst/>
                    </a:prstGeom>
                    <a:ln/>
                  </pic:spPr>
                </pic:pic>
              </a:graphicData>
            </a:graphic>
          </wp:inline>
        </w:drawing>
      </w:r>
    </w:p>
    <w:p w14:paraId="19941923" w14:textId="77777777" w:rsidR="00861989" w:rsidRDefault="00861989" w:rsidP="00861989">
      <w:pPr>
        <w:spacing w:line="240" w:lineRule="auto"/>
      </w:pPr>
      <w:r>
        <w:rPr>
          <w:i/>
        </w:rPr>
        <w:t>Figure 4</w:t>
      </w:r>
      <w:r>
        <w:t xml:space="preserve">: “powerCurve” (Green &amp; MacLeod, 2016) plot for total number of participants needed (across all labs) to detect a small effect of condition (β = .1) on knowledge attribution, with vignette count (N = 3) and lab count (N = 9) held constant. </w:t>
      </w:r>
    </w:p>
    <w:p w14:paraId="61950BD6" w14:textId="77777777" w:rsidR="00861989" w:rsidRDefault="00861989" w:rsidP="00861989">
      <w:pPr>
        <w:spacing w:before="240" w:after="240" w:line="240" w:lineRule="auto"/>
        <w:rPr>
          <w:b/>
        </w:rPr>
      </w:pPr>
      <w:r>
        <w:rPr>
          <w:b/>
        </w:rPr>
        <w:t>Planned Analyses</w:t>
      </w:r>
    </w:p>
    <w:p w14:paraId="2DF3EC75" w14:textId="77777777" w:rsidR="00861989" w:rsidRDefault="00861989" w:rsidP="00861989">
      <w:pPr>
        <w:spacing w:before="240" w:after="240" w:line="240" w:lineRule="auto"/>
      </w:pPr>
      <w:r>
        <w:t>In total, [X] labs applied to participate in this multilab replication. [X] labs were unable to participate, [X] did not collect enough data; [X] dropped out prior to data collection, resulting in a final lab count of [X]. Contributing labs represent [X] continents ([X from Africa, X from South America, X from North America, X from Asia, X from Europe, and X from Oceania) with participants residing in [X] geopolitical regions [X from Brazil, X from Switzerland, X from Singapore, and so on]. [X labs committed to collecting the minimum participant sample size (</w:t>
      </w:r>
      <w:r>
        <w:rPr>
          <w:i/>
        </w:rPr>
        <w:t>N</w:t>
      </w:r>
      <w:r>
        <w:t xml:space="preserve"> = 40), and X labs committed to collecting a larger, more representative sample (</w:t>
      </w:r>
      <w:r>
        <w:rPr>
          <w:i/>
        </w:rPr>
        <w:t>N</w:t>
      </w:r>
      <w:r>
        <w:t xml:space="preserve"> = 100) for the purposes of exploratory analyses. All participating labs submitted their dataset and analysis report for review to the CREP team. All datasets were required to be submitted using a template dataset that must pass a quality check (raw data files checked for errors; post analysis scripts, codebook, and cleaned data files checked for errors; and narrative summary of project findings </w:t>
      </w:r>
      <w:r>
        <w:lastRenderedPageBreak/>
        <w:t>compared to data and analysis for errors)</w:t>
      </w:r>
      <w:r>
        <w:rPr>
          <w:vertAlign w:val="superscript"/>
        </w:rPr>
        <w:footnoteReference w:id="42"/>
      </w:r>
      <w:r>
        <w:t>. For strictly educational purposes, contributors chose which analyses to perform on the effects of condition on the continuous knowledge attribution variable (Y</w:t>
      </w:r>
      <w:r>
        <w:rPr>
          <w:vertAlign w:val="subscript"/>
        </w:rPr>
        <w:t>1</w:t>
      </w:r>
      <w:r>
        <w:t>) and the continuous reasonableness attribution variable (Y</w:t>
      </w:r>
      <w:r>
        <w:rPr>
          <w:vertAlign w:val="subscript"/>
        </w:rPr>
        <w:t>2</w:t>
      </w:r>
      <w:r>
        <w:t>) on their site sample.</w:t>
      </w:r>
      <w:r>
        <w:rPr>
          <w:vertAlign w:val="superscript"/>
        </w:rPr>
        <w:footnoteReference w:id="43"/>
      </w:r>
      <w:r>
        <w:t xml:space="preserve"> We did not provide any specific plans for sites to analyze their data, and instead allowed sites to choose which analyses to perform (Silberzahn et al., 2018). Full details of these analyses are available via this study’s pre-registration on the OSF project page (</w:t>
      </w:r>
      <w:hyperlink r:id="rId75">
        <w:r>
          <w:rPr>
            <w:u w:val="single"/>
          </w:rPr>
          <w:t>https://osf.io/n5b3w/</w:t>
        </w:r>
      </w:hyperlink>
      <w:r>
        <w:t>).</w:t>
      </w:r>
    </w:p>
    <w:p w14:paraId="01C30492" w14:textId="77777777" w:rsidR="00861989" w:rsidRDefault="00861989" w:rsidP="00861989">
      <w:pPr>
        <w:spacing w:before="240" w:after="240" w:line="240" w:lineRule="auto"/>
      </w:pPr>
      <w:r>
        <w:t>Although, we did not direct instructors and students to use specific analyses, we did provide support as they determined which analyses to pre-register and provided feedback on the subsequent analysis reports at each site</w:t>
      </w:r>
      <w:r>
        <w:rPr>
          <w:vertAlign w:val="superscript"/>
        </w:rPr>
        <w:t>[1]</w:t>
      </w:r>
      <w:r>
        <w:t>, [X sites chose to perform a mixed effect ANOVA; X sites chose to perform a two-level linear regression analysis; X sites dichotomized the visual analogue scale responses and performed a two-level logistic regression analysis, and so on]</w:t>
      </w:r>
      <w:r>
        <w:rPr>
          <w:vertAlign w:val="superscript"/>
        </w:rPr>
        <w:footnoteReference w:id="44"/>
      </w:r>
      <w:r>
        <w:t>. We also provided a data template with variable naming conventions on our OSF page which contributor sites were required to use when submitting their sample data (available on our OSF).</w:t>
      </w:r>
      <w:r>
        <w:rPr>
          <w:vertAlign w:val="superscript"/>
        </w:rPr>
        <w:footnoteReference w:id="45"/>
      </w:r>
      <w:r>
        <w:t xml:space="preserve"> The results of site level analyses will be included on each site’s pre-registered OSF page. The datasets from each lab were included, regardless of their results, providing a more unbiased study of the effect.</w:t>
      </w:r>
    </w:p>
    <w:p w14:paraId="31931421" w14:textId="77777777" w:rsidR="00861989" w:rsidRDefault="00861989" w:rsidP="00861989">
      <w:pPr>
        <w:spacing w:before="240" w:after="240" w:line="240" w:lineRule="auto"/>
      </w:pPr>
      <w:r>
        <w:t>The typical goal of an RRR is to provide a more precise effect size estimate by combining the results of a number of independently conducted direct replications - typically using a meta-analytic approach. Our goal for this RRR continues this trend; however, we instead aggregated individual participant data from each site in order to conduct a pair of multilevel linear regression analyses that account for the nesting of data and treats the tested vignettes as a random factor. The purpose of these analyses is to determine a more accurate effect size estimate for Gettier intuitions</w:t>
      </w:r>
      <w:r>
        <w:rPr>
          <w:i/>
        </w:rPr>
        <w:t xml:space="preserve"> </w:t>
      </w:r>
      <w:r>
        <w:t>(Brandt et al., 2014), rather than to “fail” or “succeed” at replicating the original results. Therefore, we combined all site data that passed the CREP quality check (see above) into one data file containing all individual participant data [X were excluded due to DESCRIBE QUALITY ISSUES; X labs remain in the primary analyses], which we analyzed with two multilevel models: one on the continuous knowledge attribution measure and one on the continuous reasonableness attribution measure</w:t>
      </w:r>
      <w:r>
        <w:rPr>
          <w:vertAlign w:val="superscript"/>
        </w:rPr>
        <w:footnoteReference w:id="46"/>
      </w:r>
      <w:r>
        <w:t xml:space="preserve">. We performed these analyses to test whether the effects of the primary between-subjects factor (belief condition and laboratory) and </w:t>
      </w:r>
      <w:r>
        <w:lastRenderedPageBreak/>
        <w:t>the exploratory within-subjects factor (vignette condition) on the given outcome variable (knowledge or reasonableness) are robust to covariates/interactions (i.e., sensitivity test).</w:t>
      </w:r>
    </w:p>
    <w:p w14:paraId="72780D94" w14:textId="77777777" w:rsidR="00861989" w:rsidRDefault="00861989" w:rsidP="00861989">
      <w:pPr>
        <w:spacing w:before="240" w:after="240" w:line="240" w:lineRule="auto"/>
      </w:pPr>
      <w:r>
        <w:t>Authors, Jordan Wagge and Braeden Hall, wrote the R scripts, simulated data, and analyzed power for the overall and site analyses before any data were collected. The two multilevel linear regression analysis R scripts include assumption tests and analyses of the overall effect of belief condition (Knowledge, Gettier, Ignorance) on the primary outcome (knowledge attribution) and the secondary outcome (reasonableness attribution). Within these models, vignette was tested as a random (within-subjects) factor, condition was tested as a fixed (between-subjects) factor, and labs were tested as a random (between-subjects) factor. We also fitted these models with several exploratory covariates, including participant gender, years of education, age, and three test setting lab variables (online vs. in person; in group vs. individually; compensated or not compensated).</w:t>
      </w:r>
      <w:r>
        <w:rPr>
          <w:vertAlign w:val="superscript"/>
        </w:rPr>
        <w:footnoteReference w:id="47"/>
      </w:r>
      <w:r>
        <w:t xml:space="preserve"> This will allow us to look at the extent to which the use of Gettier intuitions are prevalent within this sample of the general public. Exploratory analyses will also allow us to test the extent to which there are individual, lab, and stimulus differences; although, we will be cautious when interpreting these results. Other exploratory analyses will include the other covariates described below that are collected at every site.</w:t>
      </w:r>
    </w:p>
    <w:p w14:paraId="02ADE493" w14:textId="77777777" w:rsidR="00861989" w:rsidRDefault="00861989" w:rsidP="00861989">
      <w:pPr>
        <w:spacing w:before="240" w:after="240" w:line="240" w:lineRule="auto"/>
      </w:pPr>
      <w:r>
        <w:t>Before we performed these analyses, we tested assumptions on our data. We first checked the data for linearity. [If a non-random trend emerges, we will then attempt to include a higher order (geopolitical region level-4 units) to see if that resolves the issue. This will suspend all power considerations reported earlier in the manuscript] For these two multilevel linear regression analyses, level-1 units (vignettes) were tested as a random factor crossed with the level-2 units (participants) that are nested in the level-3 units (lab sites). [If we have enough participating geopolitical regions (&gt;20 geopolitical regions) to provide adequate power and if our model ends up requiring adding another higher order to correct for data dependence, we will then test whether adding geopolitical region of residence as a level-4 cluster unit, grouped into UN regions (i.e., Africa, Asia, North America, Oceania, etc.) improves the model or not.]</w:t>
      </w:r>
    </w:p>
    <w:p w14:paraId="64268DFA" w14:textId="77777777" w:rsidR="00861989" w:rsidRDefault="00861989" w:rsidP="00861989">
      <w:pPr>
        <w:spacing w:before="240" w:after="240" w:line="240" w:lineRule="auto"/>
      </w:pPr>
      <w:r>
        <w:rPr>
          <w:b/>
        </w:rPr>
        <w:t>Knowledge attribution.</w:t>
      </w:r>
      <w:r>
        <w:t xml:space="preserve"> Given that we are primarily interested in the relationship between the hypothesized level-2 between-subjects predictor (</w:t>
      </w:r>
      <w:r>
        <w:rPr>
          <w:i/>
        </w:rPr>
        <w:t>X</w:t>
      </w:r>
      <w:r>
        <w:rPr>
          <w:i/>
          <w:vertAlign w:val="subscript"/>
        </w:rPr>
        <w:t>1</w:t>
      </w:r>
      <w:r>
        <w:t xml:space="preserve">) and the two hypothesized outcome variables (knowledge, </w:t>
      </w:r>
      <w:r>
        <w:rPr>
          <w:i/>
        </w:rPr>
        <w:t>Y</w:t>
      </w:r>
      <w:r>
        <w:rPr>
          <w:i/>
          <w:vertAlign w:val="subscript"/>
        </w:rPr>
        <w:t>1</w:t>
      </w:r>
      <w:r>
        <w:t xml:space="preserve">; and reasonableness, </w:t>
      </w:r>
      <w:r>
        <w:rPr>
          <w:i/>
        </w:rPr>
        <w:t>Y</w:t>
      </w:r>
      <w:r>
        <w:rPr>
          <w:i/>
          <w:vertAlign w:val="subscript"/>
        </w:rPr>
        <w:t>2</w:t>
      </w:r>
      <w:r>
        <w:t>), we first performed the analysis using solely the primary hypothesized independent variable (belief condition) without any other covariates for the purpose of trying to estimate the overall individual level effect (fixed slope) on the primary hypothesized outcome (i.e., null model). In other terms, we determined the effect on knowledge attribution across all samples, not accounting for covariates, vignette differences, or lab differences.</w:t>
      </w:r>
      <w:r>
        <w:rPr>
          <w:vertAlign w:val="superscript"/>
        </w:rPr>
        <w:footnoteReference w:id="48"/>
      </w:r>
      <w:r>
        <w:t xml:space="preserve"> We found that the overall effect of belief condition was [insignificant/small/medium/large, β</w:t>
      </w:r>
      <w:r>
        <w:rPr>
          <w:i/>
        </w:rPr>
        <w:t xml:space="preserve"> </w:t>
      </w:r>
      <w:r>
        <w:t xml:space="preserve">= .XX, 95% CIs [X.XX, X.XX]]. We then tested the model fit for each analysis using likelihood ratio (LR) chi-square difference tests to determine whether </w:t>
      </w:r>
      <w:r>
        <w:lastRenderedPageBreak/>
        <w:t>each unit level should be tested as a random or fixed factor and whether covariates improved the model (Gelman &amp; Hill, 2007, Chapter 17; see Table 1).</w:t>
      </w:r>
    </w:p>
    <w:p w14:paraId="3621A0F7" w14:textId="77777777" w:rsidR="00861989" w:rsidRDefault="00861989" w:rsidP="00861989">
      <w:pPr>
        <w:spacing w:before="240" w:after="240" w:line="240" w:lineRule="auto"/>
      </w:pPr>
      <w:r>
        <w:t>To assess the model fit of our data, we used the commonly used nested model test using maximum likelihood estimation (Snijders &amp; Bosker, 2012). Next, we wanted to determine if the effects of the primary independent variable (belief condition) on knowledge attribution differed by vignette, participant, or lab. To accomplish this, we built an unconditional base model for the knowledge attribution predictor to calculate the intra-class correlation coefficients (ICC) for vignette, participant, and lab variation. The ICCs for vignettes, participants, and labs in the dataset measures the percentage of variation explained by each level, such that vignettes accounted for [X.XX%, 95% CI [X.XX, X.XX] of the raw variation in the dataset, participants accounted for [X.XX%, 95% CI [X.XX, X.XX] of the raw variation in the dataset, and labs accounted for [X.XX%, 95% CI [X.XX, X.XX] of the raw variation in the dataset.</w:t>
      </w:r>
      <w:r>
        <w:rPr>
          <w:vertAlign w:val="superscript"/>
        </w:rPr>
        <w:footnoteReference w:id="49"/>
      </w:r>
    </w:p>
    <w:p w14:paraId="4328F8D9" w14:textId="77777777" w:rsidR="00861989" w:rsidRDefault="00861989" w:rsidP="00861989">
      <w:pPr>
        <w:spacing w:before="240" w:after="240" w:line="240" w:lineRule="auto"/>
      </w:pPr>
      <w:r>
        <w:t>Given that this base model did not include any other predictor variables, the total effect on knowledge attribution for a typical vignette within a typical participant corresponds directly with the fixed slope [X]; such that participants in the Gettier condition attributed knowledge across a visual analogue scale X more/less than participants in the knowledge control condition, and X more/less than participants in the ignorance control condition (see Figure 4). To calculate the overall effect on knowledge attribution, we first calculated the given effect of each vignette - which we then used to calculate the random intercept variance [X]. [Because the CIs for knowledge attribution in the [knowledge control/Gettier case/ignorance control condition] [do/do not] cross 50, we [can/cannot] conclude that participants’ judgments differed from chance.]</w:t>
      </w:r>
      <w:r>
        <w:rPr>
          <w:vertAlign w:val="superscript"/>
        </w:rPr>
        <w:footnoteReference w:id="50"/>
      </w:r>
    </w:p>
    <w:p w14:paraId="15DF83DD" w14:textId="77777777" w:rsidR="00861989" w:rsidRDefault="00861989" w:rsidP="00861989">
      <w:pPr>
        <w:spacing w:before="240" w:after="240" w:line="240" w:lineRule="auto"/>
      </w:pPr>
      <w:r>
        <w:rPr>
          <w:i/>
        </w:rPr>
        <w:t>Figure 4</w:t>
      </w:r>
      <w:r>
        <w:t>. Example plot using simulation data to visualize the predicted difference between each condition, where Condition V1 is the estimated predicted difference between the Gettier case and the knowledge control (</w:t>
      </w:r>
      <w:r>
        <w:rPr>
          <w:i/>
        </w:rPr>
        <w:t>b</w:t>
      </w:r>
      <w:r>
        <w:t xml:space="preserve"> = X.XX, </w:t>
      </w:r>
      <w:r>
        <w:rPr>
          <w:i/>
        </w:rPr>
        <w:t>t</w:t>
      </w:r>
      <w:r>
        <w:t xml:space="preserve">(XXX) = X.XX, </w:t>
      </w:r>
      <w:r>
        <w:rPr>
          <w:i/>
        </w:rPr>
        <w:t>p</w:t>
      </w:r>
      <w:r>
        <w:t xml:space="preserve"> = .XX, 95% CI [X.XX, X.XX]) and Condition V2 is the estimated predicted difference between the Gettier case and the ignorance control (</w:t>
      </w:r>
      <w:r>
        <w:rPr>
          <w:i/>
        </w:rPr>
        <w:t>b</w:t>
      </w:r>
      <w:r>
        <w:t xml:space="preserve"> = X.XX, </w:t>
      </w:r>
      <w:r>
        <w:rPr>
          <w:i/>
        </w:rPr>
        <w:t>t</w:t>
      </w:r>
      <w:r>
        <w:t xml:space="preserve">(XXX) = X.XX, </w:t>
      </w:r>
      <w:r>
        <w:rPr>
          <w:i/>
        </w:rPr>
        <w:t>p</w:t>
      </w:r>
      <w:r>
        <w:t xml:space="preserve"> = .XX, 95% CI [X.XX, X.XX]).</w:t>
      </w:r>
    </w:p>
    <w:p w14:paraId="3AD25F65" w14:textId="77777777" w:rsidR="00861989" w:rsidRDefault="00861989" w:rsidP="00861989">
      <w:pPr>
        <w:spacing w:before="240" w:after="240" w:line="240" w:lineRule="auto"/>
      </w:pPr>
      <w:r>
        <w:t xml:space="preserve"> </w:t>
      </w:r>
    </w:p>
    <w:p w14:paraId="33A282AE" w14:textId="77777777" w:rsidR="00861989" w:rsidRDefault="00861989" w:rsidP="00861989">
      <w:pPr>
        <w:spacing w:before="240" w:after="240" w:line="240" w:lineRule="auto"/>
      </w:pPr>
      <w:r>
        <w:t xml:space="preserve">Next, the level-1 residual [X] corresponds to the deviation of the specific effects of attributing knowledge within a given vignette from the overall effect of attributing knowledge across all vignettes - demonstrating that the intercept [varies/does not vary]. Given that the subsequent random intercept variance [X], was [small-large], this indicates that individual participants have [more/the same] opportunities of attributing knowledge in some vignettes than in others. [indicate which vignettes were likely to result in more/less knowledge attribution in which condition]. [None/Two/Three] of the sampled vignettes were significantly correlated to each other: a set of Pearson correlation coefficient tests indicated that there was a [non-/small/medium/large] significant positive/negative association between the knowledge attribution response rates in the Darrel vignette and the knowledge attribution response rates in the Emma </w:t>
      </w:r>
      <w:r>
        <w:lastRenderedPageBreak/>
        <w:t>vignette, (r(XXX) = .XX, p = .XXX), a [non-/small/medium/large] significant positive/negative association between the Darrel vignette and the Gerald vignette, (r(XXX) = .XX, p = .XXX), and a [non-/small/medium/large] significant positive/negative association between the Emma vignette and the Gerald vignette, (r(XXX) = .XX, p = .XXX). These [small/medium/large] [non-/significant] correlations coupled with the [low/moderate/high] Intraclass Correlation Coefficient that suggests that the vignette factor accounted for X.XX%, 95% CI [X.XX, X.XX] of the raw variation in the dataset provides [weak/moderate/mixed/strong] evidence that [none/at least two/all three] of our repeated measures (vignettes) demonstrated [poor/fair/excellent] reliability with each other. [When interpreting these ICCs, we will use Rosner’s (2006) suggested criteria, where an ICC of less than 0.4 indicates poor reliability, an ICC greater than or equal to 0.4 but less than 0.75 indicates fair to good reliability, and an ICC great than or equal to 0.75 indicates excellent reliability.]</w:t>
      </w:r>
      <w:r>
        <w:rPr>
          <w:vertAlign w:val="superscript"/>
        </w:rPr>
        <w:footnoteReference w:id="51"/>
      </w:r>
    </w:p>
    <w:p w14:paraId="7C7C10A5" w14:textId="77777777" w:rsidR="00861989" w:rsidRDefault="00861989" w:rsidP="00861989">
      <w:pPr>
        <w:spacing w:before="240" w:after="240" w:line="240" w:lineRule="auto"/>
      </w:pPr>
      <w:r>
        <w:t xml:space="preserve"> </w:t>
      </w:r>
    </w:p>
    <w:p w14:paraId="3E977610" w14:textId="77777777" w:rsidR="00861989" w:rsidRDefault="00861989" w:rsidP="00861989">
      <w:pPr>
        <w:spacing w:before="240" w:after="240" w:line="240" w:lineRule="auto"/>
      </w:pPr>
      <w:r>
        <w:t>Table 1: Multilevel models of knowledge attribution;</w:t>
      </w:r>
    </w:p>
    <w:p w14:paraId="539921D9" w14:textId="77777777" w:rsidR="00861989" w:rsidRDefault="00861989" w:rsidP="00861989">
      <w:pPr>
        <w:spacing w:before="240" w:after="240" w:line="240" w:lineRule="auto"/>
      </w:pPr>
      <w:r>
        <w:t>(Dependent variable: Knowledge attribution;</w:t>
      </w:r>
    </w:p>
    <w:p w14:paraId="34B45A19" w14:textId="77777777" w:rsidR="00861989" w:rsidRDefault="00861989" w:rsidP="00861989">
      <w:pPr>
        <w:spacing w:before="240" w:after="240" w:line="240" w:lineRule="auto"/>
      </w:pPr>
      <w:r>
        <w:t>Fixed: intercept, belief condition (base = Gettier))</w:t>
      </w:r>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1425"/>
        <w:gridCol w:w="1380"/>
        <w:gridCol w:w="1215"/>
        <w:gridCol w:w="1470"/>
        <w:gridCol w:w="1215"/>
        <w:gridCol w:w="1410"/>
        <w:gridCol w:w="1215"/>
      </w:tblGrid>
      <w:tr w:rsidR="00861989" w14:paraId="73FEB1EA" w14:textId="77777777" w:rsidTr="00EA09C7">
        <w:trPr>
          <w:trHeight w:val="495"/>
        </w:trPr>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F149E0"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4ABD338" w14:textId="77777777" w:rsidR="00861989" w:rsidRDefault="00861989" w:rsidP="00EA09C7">
            <w:pPr>
              <w:spacing w:before="240" w:after="240" w:line="240" w:lineRule="auto"/>
              <w:ind w:left="100"/>
              <w:jc w:val="right"/>
              <w:rPr>
                <w:sz w:val="20"/>
                <w:szCs w:val="20"/>
              </w:rPr>
            </w:pPr>
            <w:r>
              <w:rPr>
                <w:sz w:val="20"/>
                <w:szCs w:val="20"/>
              </w:rPr>
              <w:t>Constant</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D2D1B4"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C3AF60" w14:textId="77777777" w:rsidR="00861989" w:rsidRDefault="00861989" w:rsidP="00EA09C7">
            <w:pPr>
              <w:spacing w:before="240" w:after="240" w:line="240" w:lineRule="auto"/>
              <w:ind w:left="100"/>
              <w:jc w:val="right"/>
              <w:rPr>
                <w:sz w:val="20"/>
                <w:szCs w:val="20"/>
              </w:rPr>
            </w:pPr>
            <w:r>
              <w:rPr>
                <w:sz w:val="20"/>
                <w:szCs w:val="20"/>
              </w:rPr>
              <w:t>Knowledge</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2BA635"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93F8CC" w14:textId="77777777" w:rsidR="00861989" w:rsidRDefault="00861989" w:rsidP="00EA09C7">
            <w:pPr>
              <w:spacing w:before="240" w:after="240" w:line="240" w:lineRule="auto"/>
              <w:ind w:left="100"/>
              <w:jc w:val="right"/>
              <w:rPr>
                <w:sz w:val="20"/>
                <w:szCs w:val="20"/>
              </w:rPr>
            </w:pPr>
            <w:r>
              <w:rPr>
                <w:sz w:val="20"/>
                <w:szCs w:val="20"/>
              </w:rPr>
              <w:t>Ignorance</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BC9722" w14:textId="77777777" w:rsidR="00861989" w:rsidRDefault="00861989" w:rsidP="00EA09C7">
            <w:pPr>
              <w:spacing w:before="240" w:after="240" w:line="240" w:lineRule="auto"/>
              <w:ind w:left="100"/>
              <w:jc w:val="right"/>
              <w:rPr>
                <w:sz w:val="20"/>
                <w:szCs w:val="20"/>
              </w:rPr>
            </w:pPr>
            <w:r>
              <w:rPr>
                <w:sz w:val="20"/>
                <w:szCs w:val="20"/>
              </w:rPr>
              <w:t xml:space="preserve"> </w:t>
            </w:r>
          </w:p>
        </w:tc>
      </w:tr>
      <w:tr w:rsidR="00861989" w14:paraId="7586EA23" w14:textId="77777777" w:rsidTr="00EA09C7">
        <w:trPr>
          <w:trHeight w:val="910"/>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FC518D" w14:textId="77777777" w:rsidR="00861989" w:rsidRDefault="00861989" w:rsidP="00EA09C7">
            <w:pPr>
              <w:spacing w:before="240" w:after="240" w:line="240" w:lineRule="auto"/>
              <w:ind w:left="100"/>
              <w:jc w:val="right"/>
              <w:rPr>
                <w:sz w:val="20"/>
                <w:szCs w:val="20"/>
              </w:rPr>
            </w:pPr>
            <w:r>
              <w:rPr>
                <w:sz w:val="20"/>
                <w:szCs w:val="20"/>
              </w:rPr>
              <w:t>Model</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46D1454B" w14:textId="77777777" w:rsidR="00861989" w:rsidRDefault="00861989" w:rsidP="00EA09C7">
            <w:pPr>
              <w:spacing w:before="240" w:after="240" w:line="240" w:lineRule="auto"/>
              <w:ind w:left="100"/>
              <w:jc w:val="right"/>
              <w:rPr>
                <w:sz w:val="20"/>
                <w:szCs w:val="20"/>
              </w:rPr>
            </w:pPr>
            <w:r>
              <w:rPr>
                <w:sz w:val="20"/>
                <w:szCs w:val="20"/>
              </w:rPr>
              <w:t>Est.</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55C3B7D" w14:textId="77777777" w:rsidR="00861989" w:rsidRDefault="00861989" w:rsidP="00EA09C7">
            <w:pPr>
              <w:spacing w:before="240" w:after="240" w:line="240" w:lineRule="auto"/>
              <w:ind w:left="100"/>
              <w:jc w:val="right"/>
              <w:rPr>
                <w:sz w:val="20"/>
                <w:szCs w:val="20"/>
              </w:rPr>
            </w:pPr>
            <w:r>
              <w:rPr>
                <w:sz w:val="20"/>
                <w:szCs w:val="20"/>
              </w:rPr>
              <w:t>s.e.</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1E63242C" w14:textId="77777777" w:rsidR="00861989" w:rsidRDefault="00861989" w:rsidP="00EA09C7">
            <w:pPr>
              <w:spacing w:before="240" w:after="240" w:line="240" w:lineRule="auto"/>
              <w:ind w:left="100"/>
              <w:jc w:val="right"/>
              <w:rPr>
                <w:sz w:val="20"/>
                <w:szCs w:val="20"/>
              </w:rPr>
            </w:pPr>
            <w:r>
              <w:rPr>
                <w:sz w:val="20"/>
                <w:szCs w:val="20"/>
              </w:rPr>
              <w:t>Est.</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C6F65D4" w14:textId="77777777" w:rsidR="00861989" w:rsidRDefault="00861989" w:rsidP="00EA09C7">
            <w:pPr>
              <w:spacing w:before="240" w:after="240" w:line="240" w:lineRule="auto"/>
              <w:ind w:left="100"/>
              <w:jc w:val="right"/>
              <w:rPr>
                <w:sz w:val="20"/>
                <w:szCs w:val="20"/>
              </w:rPr>
            </w:pPr>
            <w:r>
              <w:rPr>
                <w:sz w:val="20"/>
                <w:szCs w:val="20"/>
              </w:rPr>
              <w:t>s.e.</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38A2588C" w14:textId="77777777" w:rsidR="00861989" w:rsidRDefault="00861989" w:rsidP="00EA09C7">
            <w:pPr>
              <w:spacing w:before="240" w:after="240" w:line="240" w:lineRule="auto"/>
              <w:ind w:left="100"/>
              <w:jc w:val="right"/>
              <w:rPr>
                <w:sz w:val="20"/>
                <w:szCs w:val="20"/>
              </w:rPr>
            </w:pPr>
            <w:r>
              <w:rPr>
                <w:sz w:val="20"/>
                <w:szCs w:val="20"/>
              </w:rPr>
              <w:t>Est.</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472BC73B" w14:textId="77777777" w:rsidR="00861989" w:rsidRDefault="00861989" w:rsidP="00EA09C7">
            <w:pPr>
              <w:spacing w:before="240" w:after="240" w:line="240" w:lineRule="auto"/>
              <w:ind w:left="100"/>
              <w:jc w:val="right"/>
              <w:rPr>
                <w:sz w:val="20"/>
                <w:szCs w:val="20"/>
              </w:rPr>
            </w:pPr>
            <w:r>
              <w:rPr>
                <w:sz w:val="20"/>
                <w:szCs w:val="20"/>
              </w:rPr>
              <w:t>s.e.</w:t>
            </w:r>
          </w:p>
        </w:tc>
      </w:tr>
      <w:tr w:rsidR="00861989" w14:paraId="634F415F" w14:textId="77777777" w:rsidTr="00EA09C7">
        <w:trPr>
          <w:trHeight w:val="143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D13A66" w14:textId="77777777" w:rsidR="00861989" w:rsidRDefault="00861989" w:rsidP="00EA09C7">
            <w:pPr>
              <w:spacing w:before="240" w:after="240" w:line="240" w:lineRule="auto"/>
              <w:ind w:left="100"/>
              <w:rPr>
                <w:sz w:val="20"/>
                <w:szCs w:val="20"/>
              </w:rPr>
            </w:pPr>
            <w:r>
              <w:rPr>
                <w:sz w:val="20"/>
                <w:szCs w:val="20"/>
              </w:rPr>
              <w:t>I = Null (includes condition)</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1CBA344C" w14:textId="77777777" w:rsidR="00861989" w:rsidRDefault="00861989" w:rsidP="00EA09C7">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2E7507E6" w14:textId="77777777" w:rsidR="00861989" w:rsidRDefault="00861989" w:rsidP="00EA09C7">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5ABCD68C" w14:textId="77777777" w:rsidR="00861989" w:rsidRDefault="00861989" w:rsidP="00EA09C7">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197FAA74" w14:textId="77777777" w:rsidR="00861989" w:rsidRDefault="00861989" w:rsidP="00EA09C7">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51BAE5B4" w14:textId="77777777" w:rsidR="00861989" w:rsidRDefault="00861989" w:rsidP="00EA09C7">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0A0B01C3"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4D7D2C12" w14:textId="77777777" w:rsidTr="00EA09C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8BC7CE" w14:textId="77777777" w:rsidR="00861989" w:rsidRDefault="00861989" w:rsidP="00EA09C7">
            <w:pPr>
              <w:spacing w:before="240" w:after="240" w:line="240" w:lineRule="auto"/>
              <w:ind w:left="100"/>
              <w:rPr>
                <w:sz w:val="20"/>
                <w:szCs w:val="20"/>
              </w:rPr>
            </w:pPr>
            <w:r>
              <w:rPr>
                <w:sz w:val="20"/>
                <w:szCs w:val="20"/>
              </w:rPr>
              <w:t>II = I + vignette</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777D120F" w14:textId="77777777" w:rsidR="00861989" w:rsidRDefault="00861989" w:rsidP="00EA09C7">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142ABCC4" w14:textId="77777777" w:rsidR="00861989" w:rsidRDefault="00861989" w:rsidP="00EA09C7">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469873A9" w14:textId="77777777" w:rsidR="00861989" w:rsidRDefault="00861989" w:rsidP="00EA09C7">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199E6AB" w14:textId="77777777" w:rsidR="00861989" w:rsidRDefault="00861989" w:rsidP="00EA09C7">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68332AE0" w14:textId="77777777" w:rsidR="00861989" w:rsidRDefault="00861989" w:rsidP="00EA09C7">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0E00BDC7"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7CF465DF" w14:textId="77777777" w:rsidTr="00EA09C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1091E5" w14:textId="77777777" w:rsidR="00861989" w:rsidRDefault="00861989" w:rsidP="00EA09C7">
            <w:pPr>
              <w:spacing w:before="240" w:after="240" w:line="240" w:lineRule="auto"/>
              <w:ind w:left="100"/>
              <w:rPr>
                <w:sz w:val="20"/>
                <w:szCs w:val="20"/>
              </w:rPr>
            </w:pPr>
            <w:r>
              <w:rPr>
                <w:sz w:val="20"/>
                <w:szCs w:val="20"/>
              </w:rPr>
              <w:t>III = II + lab</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54B9D27C" w14:textId="77777777" w:rsidR="00861989" w:rsidRDefault="00861989" w:rsidP="00EA09C7">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77CCC625" w14:textId="77777777" w:rsidR="00861989" w:rsidRDefault="00861989" w:rsidP="00EA09C7">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05DA7740" w14:textId="77777777" w:rsidR="00861989" w:rsidRDefault="00861989" w:rsidP="00EA09C7">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291D84D4" w14:textId="77777777" w:rsidR="00861989" w:rsidRDefault="00861989" w:rsidP="00EA09C7">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6C7D83CB" w14:textId="77777777" w:rsidR="00861989" w:rsidRDefault="00861989" w:rsidP="00EA09C7">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2635E73A"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1E9E6B3A" w14:textId="77777777" w:rsidTr="00EA09C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518FE" w14:textId="77777777" w:rsidR="00861989" w:rsidRDefault="00861989" w:rsidP="00EA09C7">
            <w:pPr>
              <w:spacing w:before="240" w:after="240" w:line="240" w:lineRule="auto"/>
              <w:ind w:left="100"/>
              <w:rPr>
                <w:sz w:val="20"/>
                <w:szCs w:val="20"/>
              </w:rPr>
            </w:pPr>
            <w:r>
              <w:rPr>
                <w:sz w:val="20"/>
                <w:szCs w:val="20"/>
              </w:rPr>
              <w:lastRenderedPageBreak/>
              <w:t>IV = III + test setting</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43CCA137" w14:textId="77777777" w:rsidR="00861989" w:rsidRDefault="00861989" w:rsidP="00EA09C7">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1C5185C3" w14:textId="77777777" w:rsidR="00861989" w:rsidRDefault="00861989" w:rsidP="00EA09C7">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7E8547F4" w14:textId="77777777" w:rsidR="00861989" w:rsidRDefault="00861989" w:rsidP="00EA09C7">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A264BBB" w14:textId="77777777" w:rsidR="00861989" w:rsidRDefault="00861989" w:rsidP="00EA09C7">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0A343AF3" w14:textId="77777777" w:rsidR="00861989" w:rsidRDefault="00861989" w:rsidP="00EA09C7">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10C632FA"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75764517" w14:textId="77777777" w:rsidTr="00EA09C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8451B5" w14:textId="77777777" w:rsidR="00861989" w:rsidRDefault="00861989" w:rsidP="00EA09C7">
            <w:pPr>
              <w:spacing w:before="240" w:after="240" w:line="240" w:lineRule="auto"/>
              <w:ind w:left="100"/>
              <w:rPr>
                <w:sz w:val="20"/>
                <w:szCs w:val="20"/>
              </w:rPr>
            </w:pPr>
            <w:r>
              <w:rPr>
                <w:sz w:val="20"/>
                <w:szCs w:val="20"/>
              </w:rPr>
              <w:t>V = IV + education</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753F6B16" w14:textId="77777777" w:rsidR="00861989" w:rsidRDefault="00861989" w:rsidP="00EA09C7">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1CFC1F22" w14:textId="77777777" w:rsidR="00861989" w:rsidRDefault="00861989" w:rsidP="00EA09C7">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0F4323CF" w14:textId="77777777" w:rsidR="00861989" w:rsidRDefault="00861989" w:rsidP="00EA09C7">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1DC1887B" w14:textId="77777777" w:rsidR="00861989" w:rsidRDefault="00861989" w:rsidP="00EA09C7">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249D86B7" w14:textId="77777777" w:rsidR="00861989" w:rsidRDefault="00861989" w:rsidP="00EA09C7">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4A45DE84"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2DAD62AE" w14:textId="77777777" w:rsidTr="00EA09C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458D13" w14:textId="77777777" w:rsidR="00861989" w:rsidRDefault="00861989" w:rsidP="00EA09C7">
            <w:pPr>
              <w:spacing w:before="240" w:after="240" w:line="240" w:lineRule="auto"/>
              <w:ind w:left="100"/>
              <w:rPr>
                <w:sz w:val="20"/>
                <w:szCs w:val="20"/>
              </w:rPr>
            </w:pPr>
            <w:r>
              <w:rPr>
                <w:sz w:val="20"/>
                <w:szCs w:val="20"/>
              </w:rPr>
              <w:t>VI = V + gender</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6841E658" w14:textId="77777777" w:rsidR="00861989" w:rsidRDefault="00861989" w:rsidP="00EA09C7">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432EB302" w14:textId="77777777" w:rsidR="00861989" w:rsidRDefault="00861989" w:rsidP="00EA09C7">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719622EC" w14:textId="77777777" w:rsidR="00861989" w:rsidRDefault="00861989" w:rsidP="00EA09C7">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27C6B7B7" w14:textId="77777777" w:rsidR="00861989" w:rsidRDefault="00861989" w:rsidP="00EA09C7">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0D82A440" w14:textId="77777777" w:rsidR="00861989" w:rsidRDefault="00861989" w:rsidP="00EA09C7">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7E3EAA3" w14:textId="77777777" w:rsidR="00861989" w:rsidRDefault="00861989" w:rsidP="00EA09C7">
            <w:pPr>
              <w:spacing w:before="240" w:after="240" w:line="240" w:lineRule="auto"/>
              <w:ind w:left="100"/>
              <w:jc w:val="right"/>
              <w:rPr>
                <w:sz w:val="20"/>
                <w:szCs w:val="20"/>
              </w:rPr>
            </w:pPr>
            <w:r>
              <w:rPr>
                <w:sz w:val="20"/>
                <w:szCs w:val="20"/>
              </w:rPr>
              <w:t>X.X</w:t>
            </w:r>
          </w:p>
        </w:tc>
      </w:tr>
    </w:tbl>
    <w:p w14:paraId="6FAF8387" w14:textId="77777777" w:rsidR="00861989" w:rsidRDefault="00861989" w:rsidP="00861989">
      <w:pPr>
        <w:spacing w:before="240" w:after="240" w:line="240" w:lineRule="auto"/>
      </w:pPr>
      <w:r>
        <w:t xml:space="preserve"> </w:t>
      </w:r>
    </w:p>
    <w:p w14:paraId="3B55B579" w14:textId="77777777" w:rsidR="00861989" w:rsidRDefault="00861989" w:rsidP="00861989">
      <w:pPr>
        <w:spacing w:before="240" w:after="240" w:line="240" w:lineRule="auto"/>
      </w:pPr>
      <w:r>
        <w:t>Fixed (Continued): Vignette (base = Darrel vignette)</w:t>
      </w:r>
    </w:p>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1890"/>
        <w:gridCol w:w="1890"/>
        <w:gridCol w:w="1845"/>
        <w:gridCol w:w="1875"/>
        <w:gridCol w:w="1845"/>
      </w:tblGrid>
      <w:tr w:rsidR="00861989" w14:paraId="384F31E2" w14:textId="77777777" w:rsidTr="00EA09C7">
        <w:trPr>
          <w:trHeight w:val="495"/>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FBE4B"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D42D31" w14:textId="77777777" w:rsidR="00861989" w:rsidRDefault="00861989" w:rsidP="00EA09C7">
            <w:pPr>
              <w:spacing w:before="240" w:after="240" w:line="240" w:lineRule="auto"/>
              <w:ind w:left="100"/>
              <w:jc w:val="right"/>
              <w:rPr>
                <w:sz w:val="20"/>
                <w:szCs w:val="20"/>
              </w:rPr>
            </w:pPr>
            <w:r>
              <w:rPr>
                <w:sz w:val="20"/>
                <w:szCs w:val="20"/>
              </w:rPr>
              <w:t>Gerald</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D6AADC"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658FB6" w14:textId="77777777" w:rsidR="00861989" w:rsidRDefault="00861989" w:rsidP="00EA09C7">
            <w:pPr>
              <w:spacing w:before="240" w:after="240" w:line="240" w:lineRule="auto"/>
              <w:ind w:left="100"/>
              <w:jc w:val="right"/>
              <w:rPr>
                <w:sz w:val="20"/>
                <w:szCs w:val="20"/>
              </w:rPr>
            </w:pPr>
            <w:r>
              <w:rPr>
                <w:sz w:val="20"/>
                <w:szCs w:val="20"/>
              </w:rPr>
              <w:t>Emma</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47387F" w14:textId="77777777" w:rsidR="00861989" w:rsidRDefault="00861989" w:rsidP="00EA09C7">
            <w:pPr>
              <w:spacing w:before="240" w:after="240" w:line="240" w:lineRule="auto"/>
              <w:ind w:left="100"/>
              <w:jc w:val="right"/>
              <w:rPr>
                <w:sz w:val="20"/>
                <w:szCs w:val="20"/>
              </w:rPr>
            </w:pPr>
            <w:r>
              <w:rPr>
                <w:sz w:val="20"/>
                <w:szCs w:val="20"/>
              </w:rPr>
              <w:t xml:space="preserve"> </w:t>
            </w:r>
          </w:p>
        </w:tc>
      </w:tr>
      <w:tr w:rsidR="00861989" w14:paraId="74CEA0D9" w14:textId="77777777" w:rsidTr="00EA09C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398B75" w14:textId="77777777" w:rsidR="00861989" w:rsidRDefault="00861989" w:rsidP="00EA09C7">
            <w:pPr>
              <w:spacing w:before="240" w:after="240" w:line="240" w:lineRule="auto"/>
              <w:ind w:left="100"/>
              <w:rPr>
                <w:sz w:val="20"/>
                <w:szCs w:val="20"/>
              </w:rPr>
            </w:pPr>
            <w:r>
              <w:rPr>
                <w:sz w:val="20"/>
                <w:szCs w:val="20"/>
              </w:rPr>
              <w:t>Model</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7A7F7F9" w14:textId="77777777" w:rsidR="00861989" w:rsidRDefault="00861989" w:rsidP="00EA09C7">
            <w:pPr>
              <w:spacing w:before="240" w:after="240" w:line="240" w:lineRule="auto"/>
              <w:ind w:left="100"/>
              <w:jc w:val="right"/>
              <w:rPr>
                <w:sz w:val="20"/>
                <w:szCs w:val="20"/>
              </w:rPr>
            </w:pPr>
            <w:r>
              <w:rPr>
                <w:sz w:val="20"/>
                <w:szCs w:val="20"/>
              </w:rPr>
              <w:t>Est.</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71E0D795" w14:textId="77777777" w:rsidR="00861989" w:rsidRDefault="00861989" w:rsidP="00EA09C7">
            <w:pPr>
              <w:spacing w:before="240" w:after="240" w:line="240" w:lineRule="auto"/>
              <w:ind w:left="100"/>
              <w:jc w:val="right"/>
              <w:rPr>
                <w:sz w:val="20"/>
                <w:szCs w:val="20"/>
              </w:rPr>
            </w:pPr>
            <w:r>
              <w:rPr>
                <w:sz w:val="20"/>
                <w:szCs w:val="20"/>
              </w:rPr>
              <w:t>s.e.</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59BB5DF2" w14:textId="77777777" w:rsidR="00861989" w:rsidRDefault="00861989" w:rsidP="00EA09C7">
            <w:pPr>
              <w:spacing w:before="240" w:after="240" w:line="240" w:lineRule="auto"/>
              <w:ind w:left="100"/>
              <w:jc w:val="right"/>
              <w:rPr>
                <w:sz w:val="20"/>
                <w:szCs w:val="20"/>
              </w:rPr>
            </w:pPr>
            <w:r>
              <w:rPr>
                <w:sz w:val="20"/>
                <w:szCs w:val="20"/>
              </w:rPr>
              <w:t>Est.</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40FFFA2" w14:textId="77777777" w:rsidR="00861989" w:rsidRDefault="00861989" w:rsidP="00EA09C7">
            <w:pPr>
              <w:spacing w:before="240" w:after="240" w:line="240" w:lineRule="auto"/>
              <w:ind w:left="100"/>
              <w:jc w:val="right"/>
              <w:rPr>
                <w:sz w:val="20"/>
                <w:szCs w:val="20"/>
              </w:rPr>
            </w:pPr>
            <w:r>
              <w:rPr>
                <w:sz w:val="20"/>
                <w:szCs w:val="20"/>
              </w:rPr>
              <w:t>s.e.</w:t>
            </w:r>
          </w:p>
        </w:tc>
      </w:tr>
      <w:tr w:rsidR="00861989" w14:paraId="3FE8C43A" w14:textId="77777777" w:rsidTr="00EA09C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FD8B1C" w14:textId="77777777" w:rsidR="00861989" w:rsidRDefault="00861989" w:rsidP="00EA09C7">
            <w:pPr>
              <w:spacing w:before="240" w:after="240" w:line="240" w:lineRule="auto"/>
              <w:ind w:left="100"/>
              <w:rPr>
                <w:sz w:val="20"/>
                <w:szCs w:val="20"/>
              </w:rPr>
            </w:pPr>
            <w:r>
              <w:rPr>
                <w:sz w:val="20"/>
                <w:szCs w:val="20"/>
              </w:rPr>
              <w:t>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ACE88C3"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406187A4" w14:textId="77777777" w:rsidR="00861989" w:rsidRDefault="00861989" w:rsidP="00EA09C7">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789D8082"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4D57E493"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363B3A31" w14:textId="77777777" w:rsidTr="00EA09C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BCC354" w14:textId="77777777" w:rsidR="00861989" w:rsidRDefault="00861989" w:rsidP="00EA09C7">
            <w:pPr>
              <w:spacing w:before="240" w:after="240" w:line="240" w:lineRule="auto"/>
              <w:ind w:left="100"/>
              <w:rPr>
                <w:sz w:val="20"/>
                <w:szCs w:val="20"/>
              </w:rPr>
            </w:pPr>
            <w:r>
              <w:rPr>
                <w:sz w:val="20"/>
                <w:szCs w:val="20"/>
              </w:rPr>
              <w:t>II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79E5AAF"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4109DE5D" w14:textId="77777777" w:rsidR="00861989" w:rsidRDefault="00861989" w:rsidP="00EA09C7">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32A47A1E"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6AED8CB0"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4F77E6A7" w14:textId="77777777" w:rsidTr="00EA09C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344631" w14:textId="77777777" w:rsidR="00861989" w:rsidRDefault="00861989" w:rsidP="00EA09C7">
            <w:pPr>
              <w:spacing w:before="240" w:after="240" w:line="240" w:lineRule="auto"/>
              <w:ind w:left="100"/>
              <w:rPr>
                <w:sz w:val="20"/>
                <w:szCs w:val="20"/>
              </w:rPr>
            </w:pPr>
            <w:r>
              <w:rPr>
                <w:sz w:val="20"/>
                <w:szCs w:val="20"/>
              </w:rPr>
              <w:t>III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57577DB"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683CCED" w14:textId="77777777" w:rsidR="00861989" w:rsidRDefault="00861989" w:rsidP="00EA09C7">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095954B3"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43131E22"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7648D2EA" w14:textId="77777777" w:rsidTr="00EA09C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D86883" w14:textId="77777777" w:rsidR="00861989" w:rsidRDefault="00861989" w:rsidP="00EA09C7">
            <w:pPr>
              <w:spacing w:before="240" w:after="240" w:line="240" w:lineRule="auto"/>
              <w:ind w:left="100"/>
              <w:rPr>
                <w:sz w:val="20"/>
                <w:szCs w:val="20"/>
              </w:rPr>
            </w:pPr>
            <w:r>
              <w:rPr>
                <w:sz w:val="20"/>
                <w:szCs w:val="20"/>
              </w:rPr>
              <w:t>IV</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A2E4D3F"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7D5633B0" w14:textId="77777777" w:rsidR="00861989" w:rsidRDefault="00861989" w:rsidP="00EA09C7">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6F09E3EA"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6979874F"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23182B6F" w14:textId="77777777" w:rsidTr="00EA09C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D04674" w14:textId="77777777" w:rsidR="00861989" w:rsidRDefault="00861989" w:rsidP="00EA09C7">
            <w:pPr>
              <w:spacing w:before="240" w:after="240" w:line="240" w:lineRule="auto"/>
              <w:ind w:left="100"/>
              <w:rPr>
                <w:sz w:val="20"/>
                <w:szCs w:val="20"/>
              </w:rPr>
            </w:pPr>
            <w:r>
              <w:rPr>
                <w:sz w:val="20"/>
                <w:szCs w:val="20"/>
              </w:rPr>
              <w:t>V</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B2BBC43"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7E2344E" w14:textId="77777777" w:rsidR="00861989" w:rsidRDefault="00861989" w:rsidP="00EA09C7">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0BFD3F6C"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D76D6B9"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2EE43516" w14:textId="77777777" w:rsidTr="00EA09C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470BF3" w14:textId="77777777" w:rsidR="00861989" w:rsidRDefault="00861989" w:rsidP="00EA09C7">
            <w:pPr>
              <w:spacing w:before="240" w:after="240" w:line="240" w:lineRule="auto"/>
              <w:ind w:left="100"/>
              <w:rPr>
                <w:sz w:val="20"/>
                <w:szCs w:val="20"/>
              </w:rPr>
            </w:pPr>
            <w:r>
              <w:rPr>
                <w:sz w:val="20"/>
                <w:szCs w:val="20"/>
              </w:rPr>
              <w:t>VI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DA2662F"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6A36EB1E" w14:textId="77777777" w:rsidR="00861989" w:rsidRDefault="00861989" w:rsidP="00EA09C7">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57E6DA21"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4E4B03F9" w14:textId="77777777" w:rsidR="00861989" w:rsidRDefault="00861989" w:rsidP="00EA09C7">
            <w:pPr>
              <w:spacing w:before="240" w:after="240" w:line="240" w:lineRule="auto"/>
              <w:ind w:left="100"/>
              <w:jc w:val="right"/>
              <w:rPr>
                <w:sz w:val="20"/>
                <w:szCs w:val="20"/>
              </w:rPr>
            </w:pPr>
            <w:r>
              <w:rPr>
                <w:sz w:val="20"/>
                <w:szCs w:val="20"/>
              </w:rPr>
              <w:t>X.X</w:t>
            </w:r>
          </w:p>
        </w:tc>
      </w:tr>
    </w:tbl>
    <w:p w14:paraId="03D5475E" w14:textId="77777777" w:rsidR="00861989" w:rsidRDefault="00861989" w:rsidP="00861989">
      <w:pPr>
        <w:spacing w:before="240" w:after="240" w:line="240" w:lineRule="auto"/>
      </w:pPr>
      <w:r>
        <w:lastRenderedPageBreak/>
        <w:t xml:space="preserve"> </w:t>
      </w:r>
    </w:p>
    <w:p w14:paraId="281F815F" w14:textId="77777777" w:rsidR="00861989" w:rsidRDefault="00861989" w:rsidP="00861989">
      <w:pPr>
        <w:spacing w:before="240" w:after="240" w:line="240" w:lineRule="auto"/>
      </w:pPr>
      <w:r>
        <w:t>Fixed (Continued): Test setting (base = in person; base = individually; base = not translated)</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350"/>
        <w:gridCol w:w="1350"/>
        <w:gridCol w:w="1290"/>
        <w:gridCol w:w="1335"/>
        <w:gridCol w:w="1290"/>
        <w:gridCol w:w="1455"/>
        <w:gridCol w:w="1290"/>
      </w:tblGrid>
      <w:tr w:rsidR="00861989" w14:paraId="6F98B294" w14:textId="77777777" w:rsidTr="00EA09C7">
        <w:trPr>
          <w:trHeight w:val="495"/>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2D108"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0A1098" w14:textId="77777777" w:rsidR="00861989" w:rsidRDefault="00861989" w:rsidP="00EA09C7">
            <w:pPr>
              <w:spacing w:before="240" w:after="240" w:line="240" w:lineRule="auto"/>
              <w:ind w:left="100"/>
              <w:jc w:val="right"/>
              <w:rPr>
                <w:sz w:val="20"/>
                <w:szCs w:val="20"/>
              </w:rPr>
            </w:pPr>
            <w:r>
              <w:rPr>
                <w:sz w:val="20"/>
                <w:szCs w:val="20"/>
              </w:rPr>
              <w:t>Online</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2B9E9C"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370CF91" w14:textId="77777777" w:rsidR="00861989" w:rsidRDefault="00861989" w:rsidP="00EA09C7">
            <w:pPr>
              <w:spacing w:before="240" w:after="240" w:line="240" w:lineRule="auto"/>
              <w:ind w:left="100"/>
              <w:jc w:val="right"/>
              <w:rPr>
                <w:sz w:val="20"/>
                <w:szCs w:val="20"/>
              </w:rPr>
            </w:pPr>
            <w:r>
              <w:rPr>
                <w:sz w:val="20"/>
                <w:szCs w:val="20"/>
              </w:rPr>
              <w:t>In group</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D7C21F"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3EEDEF" w14:textId="77777777" w:rsidR="00861989" w:rsidRDefault="00861989" w:rsidP="00EA09C7">
            <w:pPr>
              <w:spacing w:before="240" w:after="240" w:line="240" w:lineRule="auto"/>
              <w:ind w:left="100"/>
              <w:jc w:val="right"/>
              <w:rPr>
                <w:sz w:val="20"/>
                <w:szCs w:val="20"/>
              </w:rPr>
            </w:pPr>
            <w:r>
              <w:rPr>
                <w:sz w:val="20"/>
                <w:szCs w:val="20"/>
              </w:rPr>
              <w:t>Translated</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3ADF62" w14:textId="77777777" w:rsidR="00861989" w:rsidRDefault="00861989" w:rsidP="00EA09C7">
            <w:pPr>
              <w:spacing w:before="240" w:after="240" w:line="240" w:lineRule="auto"/>
              <w:ind w:left="100"/>
              <w:jc w:val="right"/>
              <w:rPr>
                <w:sz w:val="20"/>
                <w:szCs w:val="20"/>
              </w:rPr>
            </w:pPr>
            <w:r>
              <w:rPr>
                <w:sz w:val="20"/>
                <w:szCs w:val="20"/>
              </w:rPr>
              <w:t xml:space="preserve"> </w:t>
            </w:r>
          </w:p>
        </w:tc>
      </w:tr>
      <w:tr w:rsidR="00861989" w14:paraId="418D16BD" w14:textId="77777777" w:rsidTr="00EA09C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07BAE5" w14:textId="77777777" w:rsidR="00861989" w:rsidRDefault="00861989" w:rsidP="00EA09C7">
            <w:pPr>
              <w:spacing w:before="240" w:after="240" w:line="240" w:lineRule="auto"/>
              <w:ind w:left="100"/>
              <w:rPr>
                <w:sz w:val="20"/>
                <w:szCs w:val="20"/>
              </w:rPr>
            </w:pPr>
            <w:r>
              <w:rPr>
                <w:sz w:val="20"/>
                <w:szCs w:val="20"/>
              </w:rPr>
              <w:t>Model</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5399C905" w14:textId="77777777" w:rsidR="00861989" w:rsidRDefault="00861989" w:rsidP="00EA09C7">
            <w:pPr>
              <w:spacing w:before="240" w:after="240" w:line="240" w:lineRule="auto"/>
              <w:ind w:left="100"/>
              <w:jc w:val="right"/>
              <w:rPr>
                <w:sz w:val="20"/>
                <w:szCs w:val="20"/>
              </w:rPr>
            </w:pPr>
            <w:r>
              <w:rPr>
                <w:sz w:val="20"/>
                <w:szCs w:val="20"/>
              </w:rPr>
              <w:t>Est.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4DC198E3" w14:textId="77777777" w:rsidR="00861989" w:rsidRDefault="00861989" w:rsidP="00EA09C7">
            <w:pPr>
              <w:spacing w:before="240" w:after="240" w:line="240" w:lineRule="auto"/>
              <w:ind w:left="100"/>
              <w:jc w:val="right"/>
              <w:rPr>
                <w:sz w:val="20"/>
                <w:szCs w:val="20"/>
              </w:rPr>
            </w:pPr>
            <w:r>
              <w:rPr>
                <w:sz w:val="20"/>
                <w:szCs w:val="20"/>
              </w:rPr>
              <w:t>s.e.</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17130EAA" w14:textId="77777777" w:rsidR="00861989" w:rsidRDefault="00861989" w:rsidP="00EA09C7">
            <w:pPr>
              <w:spacing w:before="240" w:after="240" w:line="240" w:lineRule="auto"/>
              <w:ind w:left="100"/>
              <w:jc w:val="right"/>
              <w:rPr>
                <w:sz w:val="20"/>
                <w:szCs w:val="20"/>
              </w:rPr>
            </w:pPr>
            <w:r>
              <w:rPr>
                <w:sz w:val="20"/>
                <w:szCs w:val="20"/>
              </w:rPr>
              <w:t>Est.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51264D33" w14:textId="77777777" w:rsidR="00861989" w:rsidRDefault="00861989" w:rsidP="00EA09C7">
            <w:pPr>
              <w:spacing w:before="240" w:after="240" w:line="240" w:lineRule="auto"/>
              <w:ind w:left="100"/>
              <w:jc w:val="right"/>
              <w:rPr>
                <w:sz w:val="20"/>
                <w:szCs w:val="20"/>
              </w:rPr>
            </w:pPr>
            <w:r>
              <w:rPr>
                <w:sz w:val="20"/>
                <w:szCs w:val="20"/>
              </w:rPr>
              <w:t>s.e.</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456C7545" w14:textId="77777777" w:rsidR="00861989" w:rsidRDefault="00861989" w:rsidP="00EA09C7">
            <w:pPr>
              <w:spacing w:before="240" w:after="240" w:line="240" w:lineRule="auto"/>
              <w:ind w:left="100"/>
              <w:jc w:val="right"/>
              <w:rPr>
                <w:sz w:val="20"/>
                <w:szCs w:val="20"/>
              </w:rPr>
            </w:pPr>
            <w:r>
              <w:rPr>
                <w:sz w:val="20"/>
                <w:szCs w:val="20"/>
              </w:rPr>
              <w:t>Est.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6CDBA670" w14:textId="77777777" w:rsidR="00861989" w:rsidRDefault="00861989" w:rsidP="00EA09C7">
            <w:pPr>
              <w:spacing w:before="240" w:after="240" w:line="240" w:lineRule="auto"/>
              <w:ind w:left="100"/>
              <w:jc w:val="right"/>
              <w:rPr>
                <w:sz w:val="20"/>
                <w:szCs w:val="20"/>
              </w:rPr>
            </w:pPr>
            <w:r>
              <w:rPr>
                <w:sz w:val="20"/>
                <w:szCs w:val="20"/>
              </w:rPr>
              <w:t>s.e.</w:t>
            </w:r>
          </w:p>
        </w:tc>
      </w:tr>
      <w:tr w:rsidR="00861989" w14:paraId="5EB06B24" w14:textId="77777777" w:rsidTr="00EA09C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AE3AD5" w14:textId="77777777" w:rsidR="00861989" w:rsidRDefault="00861989" w:rsidP="00EA09C7">
            <w:pPr>
              <w:spacing w:before="240" w:after="240" w:line="240" w:lineRule="auto"/>
              <w:ind w:left="100"/>
              <w:rPr>
                <w:sz w:val="20"/>
                <w:szCs w:val="20"/>
              </w:rPr>
            </w:pPr>
            <w:r>
              <w:rPr>
                <w:sz w:val="20"/>
                <w:szCs w:val="20"/>
              </w:rPr>
              <w:t>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313E5FB"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4D6A978A" w14:textId="77777777" w:rsidR="00861989" w:rsidRDefault="00861989" w:rsidP="00EA09C7">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0D445C4E"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295E7A4" w14:textId="77777777" w:rsidR="00861989" w:rsidRDefault="00861989" w:rsidP="00EA09C7">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1BE4471C"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F88D06B"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2A6BCF4E" w14:textId="77777777" w:rsidTr="00EA09C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0B2EDA" w14:textId="77777777" w:rsidR="00861989" w:rsidRDefault="00861989" w:rsidP="00EA09C7">
            <w:pPr>
              <w:spacing w:before="240" w:after="240" w:line="240" w:lineRule="auto"/>
              <w:ind w:left="100"/>
              <w:rPr>
                <w:sz w:val="20"/>
                <w:szCs w:val="20"/>
              </w:rPr>
            </w:pPr>
            <w:r>
              <w:rPr>
                <w:sz w:val="20"/>
                <w:szCs w:val="20"/>
              </w:rPr>
              <w:t>II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51134D1"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502404AD" w14:textId="77777777" w:rsidR="00861989" w:rsidRDefault="00861989" w:rsidP="00EA09C7">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10D43705"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384F69F2" w14:textId="77777777" w:rsidR="00861989" w:rsidRDefault="00861989" w:rsidP="00EA09C7">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59A04C6B"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75A08719"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35F3EA01" w14:textId="77777777" w:rsidTr="00EA09C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FCBBAE" w14:textId="77777777" w:rsidR="00861989" w:rsidRDefault="00861989" w:rsidP="00EA09C7">
            <w:pPr>
              <w:spacing w:before="240" w:after="240" w:line="240" w:lineRule="auto"/>
              <w:ind w:left="100"/>
              <w:rPr>
                <w:sz w:val="20"/>
                <w:szCs w:val="20"/>
              </w:rPr>
            </w:pPr>
            <w:r>
              <w:rPr>
                <w:sz w:val="20"/>
                <w:szCs w:val="20"/>
              </w:rPr>
              <w:t>III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EB8BB9A"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40020865" w14:textId="77777777" w:rsidR="00861989" w:rsidRDefault="00861989" w:rsidP="00EA09C7">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2908D180"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5259E7ED" w14:textId="77777777" w:rsidR="00861989" w:rsidRDefault="00861989" w:rsidP="00EA09C7">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5E23536D"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0C445EC2"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45EF9201" w14:textId="77777777" w:rsidTr="00EA09C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6504AC" w14:textId="77777777" w:rsidR="00861989" w:rsidRDefault="00861989" w:rsidP="00EA09C7">
            <w:pPr>
              <w:spacing w:before="240" w:after="240" w:line="240" w:lineRule="auto"/>
              <w:ind w:left="100"/>
              <w:rPr>
                <w:sz w:val="20"/>
                <w:szCs w:val="20"/>
              </w:rPr>
            </w:pPr>
            <w:r>
              <w:rPr>
                <w:sz w:val="20"/>
                <w:szCs w:val="20"/>
              </w:rPr>
              <w:t>IV</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371324B"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08A35219" w14:textId="77777777" w:rsidR="00861989" w:rsidRDefault="00861989" w:rsidP="00EA09C7">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7C913D4E"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6AE9CA53" w14:textId="77777777" w:rsidR="00861989" w:rsidRDefault="00861989" w:rsidP="00EA09C7">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2603CF0F"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7B2B447E"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7357371A" w14:textId="77777777" w:rsidTr="00EA09C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11080" w14:textId="77777777" w:rsidR="00861989" w:rsidRDefault="00861989" w:rsidP="00EA09C7">
            <w:pPr>
              <w:spacing w:before="240" w:after="240" w:line="240" w:lineRule="auto"/>
              <w:ind w:left="100"/>
              <w:rPr>
                <w:sz w:val="20"/>
                <w:szCs w:val="20"/>
              </w:rPr>
            </w:pPr>
            <w:r>
              <w:rPr>
                <w:sz w:val="20"/>
                <w:szCs w:val="20"/>
              </w:rPr>
              <w:t>V</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3A2B3B4"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63D4B284" w14:textId="77777777" w:rsidR="00861989" w:rsidRDefault="00861989" w:rsidP="00EA09C7">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71D15FA5"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084F3A26" w14:textId="77777777" w:rsidR="00861989" w:rsidRDefault="00861989" w:rsidP="00EA09C7">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62768B5C"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78CD342A"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157F6D00" w14:textId="77777777" w:rsidTr="00EA09C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E9C66B" w14:textId="77777777" w:rsidR="00861989" w:rsidRDefault="00861989" w:rsidP="00EA09C7">
            <w:pPr>
              <w:spacing w:before="240" w:after="240" w:line="240" w:lineRule="auto"/>
              <w:ind w:left="100"/>
              <w:rPr>
                <w:sz w:val="20"/>
                <w:szCs w:val="20"/>
              </w:rPr>
            </w:pPr>
            <w:r>
              <w:rPr>
                <w:sz w:val="20"/>
                <w:szCs w:val="20"/>
              </w:rPr>
              <w:t>VI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A6DFF50"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8E8976D" w14:textId="77777777" w:rsidR="00861989" w:rsidRDefault="00861989" w:rsidP="00EA09C7">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2E05F1A3"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3513C72B" w14:textId="77777777" w:rsidR="00861989" w:rsidRDefault="00861989" w:rsidP="00EA09C7">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52CC8500"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0B173CAD" w14:textId="77777777" w:rsidR="00861989" w:rsidRDefault="00861989" w:rsidP="00EA09C7">
            <w:pPr>
              <w:spacing w:before="240" w:after="240" w:line="240" w:lineRule="auto"/>
              <w:ind w:left="100"/>
              <w:jc w:val="right"/>
              <w:rPr>
                <w:sz w:val="20"/>
                <w:szCs w:val="20"/>
              </w:rPr>
            </w:pPr>
            <w:r>
              <w:rPr>
                <w:sz w:val="20"/>
                <w:szCs w:val="20"/>
              </w:rPr>
              <w:t>X.X</w:t>
            </w:r>
          </w:p>
        </w:tc>
      </w:tr>
    </w:tbl>
    <w:p w14:paraId="54855CA9" w14:textId="77777777" w:rsidR="00861989" w:rsidRDefault="00861989" w:rsidP="00861989">
      <w:pPr>
        <w:spacing w:before="240" w:after="240" w:line="240" w:lineRule="auto"/>
      </w:pPr>
      <w:r>
        <w:t xml:space="preserve"> </w:t>
      </w:r>
    </w:p>
    <w:p w14:paraId="1B409A0F" w14:textId="77777777" w:rsidR="00861989" w:rsidRDefault="00861989" w:rsidP="00861989">
      <w:pPr>
        <w:spacing w:before="240" w:after="240" w:line="240" w:lineRule="auto"/>
      </w:pPr>
      <w:r>
        <w:t>Fixed (Continued): Geopolitical Region (base = U.S.A.)</w:t>
      </w:r>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1200"/>
        <w:gridCol w:w="1230"/>
        <w:gridCol w:w="1125"/>
        <w:gridCol w:w="1185"/>
        <w:gridCol w:w="1125"/>
        <w:gridCol w:w="1185"/>
        <w:gridCol w:w="1125"/>
        <w:gridCol w:w="1155"/>
      </w:tblGrid>
      <w:tr w:rsidR="00861989" w14:paraId="40AA905A" w14:textId="77777777" w:rsidTr="00EA09C7">
        <w:trPr>
          <w:trHeight w:val="76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3030D"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78B5C8" w14:textId="77777777" w:rsidR="00861989" w:rsidRDefault="00861989" w:rsidP="00EA09C7">
            <w:pPr>
              <w:spacing w:before="240" w:after="240" w:line="240" w:lineRule="auto"/>
              <w:ind w:left="100"/>
              <w:jc w:val="right"/>
              <w:rPr>
                <w:sz w:val="20"/>
                <w:szCs w:val="20"/>
              </w:rPr>
            </w:pPr>
            <w:r>
              <w:rPr>
                <w:sz w:val="20"/>
                <w:szCs w:val="20"/>
              </w:rPr>
              <w:t>Turkey</w:t>
            </w:r>
          </w:p>
        </w:tc>
        <w:tc>
          <w:tcPr>
            <w:tcW w:w="11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E28C01"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21CDBF" w14:textId="77777777" w:rsidR="00861989" w:rsidRDefault="00861989" w:rsidP="00EA09C7">
            <w:pPr>
              <w:spacing w:before="240" w:after="240" w:line="240" w:lineRule="auto"/>
              <w:ind w:left="100"/>
              <w:jc w:val="right"/>
              <w:rPr>
                <w:sz w:val="20"/>
                <w:szCs w:val="20"/>
              </w:rPr>
            </w:pPr>
            <w:r>
              <w:rPr>
                <w:sz w:val="20"/>
                <w:szCs w:val="20"/>
              </w:rPr>
              <w:t>Brazil</w:t>
            </w:r>
          </w:p>
        </w:tc>
        <w:tc>
          <w:tcPr>
            <w:tcW w:w="11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DEC187"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B300CF" w14:textId="77777777" w:rsidR="00861989" w:rsidRDefault="00861989" w:rsidP="00EA09C7">
            <w:pPr>
              <w:spacing w:before="240" w:after="240" w:line="240" w:lineRule="auto"/>
              <w:ind w:left="100"/>
              <w:jc w:val="right"/>
              <w:rPr>
                <w:sz w:val="20"/>
                <w:szCs w:val="20"/>
              </w:rPr>
            </w:pPr>
            <w:r>
              <w:rPr>
                <w:sz w:val="20"/>
                <w:szCs w:val="20"/>
              </w:rPr>
              <w:t>China</w:t>
            </w:r>
          </w:p>
        </w:tc>
        <w:tc>
          <w:tcPr>
            <w:tcW w:w="11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32B17B"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CFA2F0" w14:textId="77777777" w:rsidR="00861989" w:rsidRDefault="00861989" w:rsidP="00EA09C7">
            <w:pPr>
              <w:spacing w:before="240" w:after="240" w:line="240" w:lineRule="auto"/>
              <w:ind w:left="100"/>
              <w:jc w:val="right"/>
              <w:rPr>
                <w:sz w:val="20"/>
                <w:szCs w:val="20"/>
              </w:rPr>
            </w:pPr>
            <w:r>
              <w:rPr>
                <w:sz w:val="20"/>
                <w:szCs w:val="20"/>
              </w:rPr>
              <w:t>And, so on...</w:t>
            </w:r>
          </w:p>
        </w:tc>
      </w:tr>
      <w:tr w:rsidR="00861989" w14:paraId="6D8305FE" w14:textId="77777777" w:rsidTr="00EA09C7">
        <w:trPr>
          <w:trHeight w:val="49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70AB41" w14:textId="77777777" w:rsidR="00861989" w:rsidRDefault="00861989" w:rsidP="00EA09C7">
            <w:pPr>
              <w:spacing w:before="240" w:after="240" w:line="240" w:lineRule="auto"/>
              <w:ind w:left="100"/>
              <w:rPr>
                <w:sz w:val="20"/>
                <w:szCs w:val="20"/>
              </w:rPr>
            </w:pPr>
            <w:r>
              <w:rPr>
                <w:sz w:val="20"/>
                <w:szCs w:val="20"/>
              </w:rPr>
              <w:t>Model</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7F66BF4A" w14:textId="77777777" w:rsidR="00861989" w:rsidRDefault="00861989" w:rsidP="00EA09C7">
            <w:pPr>
              <w:spacing w:before="240" w:after="240" w:line="240" w:lineRule="auto"/>
              <w:ind w:left="100"/>
              <w:jc w:val="right"/>
              <w:rPr>
                <w:sz w:val="20"/>
                <w:szCs w:val="20"/>
              </w:rPr>
            </w:pPr>
            <w:r>
              <w:rPr>
                <w:sz w:val="20"/>
                <w:szCs w:val="20"/>
              </w:rPr>
              <w:t>Est.</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23C5828E" w14:textId="77777777" w:rsidR="00861989" w:rsidRDefault="00861989" w:rsidP="00EA09C7">
            <w:pPr>
              <w:spacing w:before="240" w:after="240" w:line="240" w:lineRule="auto"/>
              <w:ind w:left="100"/>
              <w:jc w:val="right"/>
              <w:rPr>
                <w:sz w:val="20"/>
                <w:szCs w:val="20"/>
              </w:rPr>
            </w:pPr>
            <w:r>
              <w:rPr>
                <w:sz w:val="20"/>
                <w:szCs w:val="20"/>
              </w:rPr>
              <w:t>s.e.</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6B2E410C" w14:textId="77777777" w:rsidR="00861989" w:rsidRDefault="00861989" w:rsidP="00EA09C7">
            <w:pPr>
              <w:spacing w:before="240" w:after="240" w:line="240" w:lineRule="auto"/>
              <w:ind w:left="100"/>
              <w:jc w:val="right"/>
              <w:rPr>
                <w:sz w:val="20"/>
                <w:szCs w:val="20"/>
              </w:rPr>
            </w:pPr>
            <w:r>
              <w:rPr>
                <w:sz w:val="20"/>
                <w:szCs w:val="20"/>
              </w:rPr>
              <w:t>Est.</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688263CA" w14:textId="77777777" w:rsidR="00861989" w:rsidRDefault="00861989" w:rsidP="00EA09C7">
            <w:pPr>
              <w:spacing w:before="240" w:after="240" w:line="240" w:lineRule="auto"/>
              <w:ind w:left="100"/>
              <w:jc w:val="right"/>
              <w:rPr>
                <w:sz w:val="20"/>
                <w:szCs w:val="20"/>
              </w:rPr>
            </w:pPr>
            <w:r>
              <w:rPr>
                <w:sz w:val="20"/>
                <w:szCs w:val="20"/>
              </w:rPr>
              <w:t>s.e.</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6D3B3517" w14:textId="77777777" w:rsidR="00861989" w:rsidRDefault="00861989" w:rsidP="00EA09C7">
            <w:pPr>
              <w:spacing w:before="240" w:after="240" w:line="240" w:lineRule="auto"/>
              <w:ind w:left="100"/>
              <w:jc w:val="right"/>
              <w:rPr>
                <w:sz w:val="20"/>
                <w:szCs w:val="20"/>
              </w:rPr>
            </w:pPr>
            <w:r>
              <w:rPr>
                <w:sz w:val="20"/>
                <w:szCs w:val="20"/>
              </w:rPr>
              <w:t>Est.</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1370A51A" w14:textId="77777777" w:rsidR="00861989" w:rsidRDefault="00861989" w:rsidP="00EA09C7">
            <w:pPr>
              <w:spacing w:before="240" w:after="240" w:line="240" w:lineRule="auto"/>
              <w:ind w:left="100"/>
              <w:jc w:val="right"/>
              <w:rPr>
                <w:sz w:val="20"/>
                <w:szCs w:val="20"/>
              </w:rPr>
            </w:pPr>
            <w:r>
              <w:rPr>
                <w:sz w:val="20"/>
                <w:szCs w:val="20"/>
              </w:rPr>
              <w:t>s.e.</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637A7FBB" w14:textId="77777777" w:rsidR="00861989" w:rsidRDefault="00861989" w:rsidP="00EA09C7">
            <w:pPr>
              <w:spacing w:before="240" w:after="240" w:line="240" w:lineRule="auto"/>
              <w:ind w:left="100"/>
              <w:jc w:val="right"/>
              <w:rPr>
                <w:sz w:val="20"/>
                <w:szCs w:val="20"/>
              </w:rPr>
            </w:pPr>
            <w:r>
              <w:rPr>
                <w:sz w:val="20"/>
                <w:szCs w:val="20"/>
              </w:rPr>
              <w:t>...</w:t>
            </w:r>
          </w:p>
        </w:tc>
      </w:tr>
      <w:tr w:rsidR="00861989" w14:paraId="09FBA2F1" w14:textId="77777777" w:rsidTr="00EA09C7">
        <w:trPr>
          <w:trHeight w:val="49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89D20A" w14:textId="77777777" w:rsidR="00861989" w:rsidRDefault="00861989" w:rsidP="00EA09C7">
            <w:pPr>
              <w:spacing w:before="240" w:after="240" w:line="240" w:lineRule="auto"/>
              <w:ind w:left="100"/>
              <w:rPr>
                <w:sz w:val="20"/>
                <w:szCs w:val="20"/>
              </w:rPr>
            </w:pPr>
            <w:r>
              <w:rPr>
                <w:sz w:val="20"/>
                <w:szCs w:val="20"/>
              </w:rPr>
              <w:t>I</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04BB1B6"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72ED520E"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1571D31C"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4ABC89F3"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3E0512A2"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63A8A525" w14:textId="77777777" w:rsidR="00861989" w:rsidRDefault="00861989" w:rsidP="00EA09C7">
            <w:pPr>
              <w:spacing w:before="240" w:after="240" w:line="240" w:lineRule="auto"/>
              <w:ind w:left="100"/>
              <w:jc w:val="right"/>
              <w:rPr>
                <w:sz w:val="20"/>
                <w:szCs w:val="20"/>
              </w:rPr>
            </w:pPr>
            <w:r>
              <w:rPr>
                <w:sz w:val="20"/>
                <w:szCs w:val="20"/>
              </w:rPr>
              <w:t>X.X</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57D4638B" w14:textId="77777777" w:rsidR="00861989" w:rsidRDefault="00861989" w:rsidP="00EA09C7">
            <w:pPr>
              <w:spacing w:before="240" w:after="240" w:line="240" w:lineRule="auto"/>
              <w:ind w:left="100"/>
              <w:rPr>
                <w:sz w:val="20"/>
                <w:szCs w:val="20"/>
              </w:rPr>
            </w:pPr>
            <w:r>
              <w:rPr>
                <w:sz w:val="20"/>
                <w:szCs w:val="20"/>
              </w:rPr>
              <w:t>...</w:t>
            </w:r>
          </w:p>
        </w:tc>
      </w:tr>
      <w:tr w:rsidR="00861989" w14:paraId="3DE19075" w14:textId="77777777" w:rsidTr="00EA09C7">
        <w:trPr>
          <w:trHeight w:val="49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A6AA0E" w14:textId="77777777" w:rsidR="00861989" w:rsidRDefault="00861989" w:rsidP="00EA09C7">
            <w:pPr>
              <w:spacing w:before="240" w:after="240" w:line="240" w:lineRule="auto"/>
              <w:ind w:left="100"/>
              <w:rPr>
                <w:sz w:val="20"/>
                <w:szCs w:val="20"/>
              </w:rPr>
            </w:pPr>
            <w:r>
              <w:rPr>
                <w:sz w:val="20"/>
                <w:szCs w:val="20"/>
              </w:rPr>
              <w:lastRenderedPageBreak/>
              <w:t>II</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35D69EE6"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059A9FCC"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17F0F81B"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126AD09E"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26D208B4"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62A4A9EB" w14:textId="77777777" w:rsidR="00861989" w:rsidRDefault="00861989" w:rsidP="00EA09C7">
            <w:pPr>
              <w:spacing w:before="240" w:after="240" w:line="240" w:lineRule="auto"/>
              <w:ind w:left="100"/>
              <w:jc w:val="right"/>
              <w:rPr>
                <w:sz w:val="20"/>
                <w:szCs w:val="20"/>
              </w:rPr>
            </w:pPr>
            <w:r>
              <w:rPr>
                <w:sz w:val="20"/>
                <w:szCs w:val="20"/>
              </w:rPr>
              <w:t>X.X</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621795FA" w14:textId="77777777" w:rsidR="00861989" w:rsidRDefault="00861989" w:rsidP="00EA09C7">
            <w:pPr>
              <w:spacing w:before="240" w:after="240" w:line="240" w:lineRule="auto"/>
              <w:ind w:left="100"/>
              <w:rPr>
                <w:sz w:val="20"/>
                <w:szCs w:val="20"/>
              </w:rPr>
            </w:pPr>
            <w:r>
              <w:rPr>
                <w:sz w:val="20"/>
                <w:szCs w:val="20"/>
              </w:rPr>
              <w:t>...</w:t>
            </w:r>
          </w:p>
        </w:tc>
      </w:tr>
      <w:tr w:rsidR="00861989" w14:paraId="0775B9E0" w14:textId="77777777" w:rsidTr="00EA09C7">
        <w:trPr>
          <w:trHeight w:val="49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6F9CEB" w14:textId="77777777" w:rsidR="00861989" w:rsidRDefault="00861989" w:rsidP="00EA09C7">
            <w:pPr>
              <w:spacing w:before="240" w:after="240" w:line="240" w:lineRule="auto"/>
              <w:ind w:left="100"/>
              <w:rPr>
                <w:sz w:val="20"/>
                <w:szCs w:val="20"/>
              </w:rPr>
            </w:pPr>
            <w:r>
              <w:rPr>
                <w:sz w:val="20"/>
                <w:szCs w:val="20"/>
              </w:rPr>
              <w:t>III</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1E390A2"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12303F3E"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5FF6DD54"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1C95CC04"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39C06987"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259D431A" w14:textId="77777777" w:rsidR="00861989" w:rsidRDefault="00861989" w:rsidP="00EA09C7">
            <w:pPr>
              <w:spacing w:before="240" w:after="240" w:line="240" w:lineRule="auto"/>
              <w:ind w:left="100"/>
              <w:jc w:val="right"/>
              <w:rPr>
                <w:sz w:val="20"/>
                <w:szCs w:val="20"/>
              </w:rPr>
            </w:pPr>
            <w:r>
              <w:rPr>
                <w:sz w:val="20"/>
                <w:szCs w:val="20"/>
              </w:rPr>
              <w:t>X.X</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1D23F4DE" w14:textId="77777777" w:rsidR="00861989" w:rsidRDefault="00861989" w:rsidP="00EA09C7">
            <w:pPr>
              <w:spacing w:before="240" w:after="240" w:line="240" w:lineRule="auto"/>
              <w:ind w:left="100"/>
              <w:rPr>
                <w:sz w:val="20"/>
                <w:szCs w:val="20"/>
              </w:rPr>
            </w:pPr>
            <w:r>
              <w:rPr>
                <w:sz w:val="20"/>
                <w:szCs w:val="20"/>
              </w:rPr>
              <w:t>...</w:t>
            </w:r>
          </w:p>
        </w:tc>
      </w:tr>
      <w:tr w:rsidR="00861989" w14:paraId="307D88E9" w14:textId="77777777" w:rsidTr="00EA09C7">
        <w:trPr>
          <w:trHeight w:val="49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6875F4" w14:textId="77777777" w:rsidR="00861989" w:rsidRDefault="00861989" w:rsidP="00EA09C7">
            <w:pPr>
              <w:spacing w:before="240" w:after="240" w:line="240" w:lineRule="auto"/>
              <w:ind w:left="100"/>
              <w:rPr>
                <w:sz w:val="20"/>
                <w:szCs w:val="20"/>
              </w:rPr>
            </w:pPr>
            <w:r>
              <w:rPr>
                <w:sz w:val="20"/>
                <w:szCs w:val="20"/>
              </w:rPr>
              <w:t>IV</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2481F898"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292AA8BA"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6497A250"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283AC07D"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70F744B0"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59130680" w14:textId="77777777" w:rsidR="00861989" w:rsidRDefault="00861989" w:rsidP="00EA09C7">
            <w:pPr>
              <w:spacing w:before="240" w:after="240" w:line="240" w:lineRule="auto"/>
              <w:ind w:left="100"/>
              <w:jc w:val="right"/>
              <w:rPr>
                <w:sz w:val="20"/>
                <w:szCs w:val="20"/>
              </w:rPr>
            </w:pPr>
            <w:r>
              <w:rPr>
                <w:sz w:val="20"/>
                <w:szCs w:val="20"/>
              </w:rPr>
              <w:t>X.X</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49ED525D" w14:textId="77777777" w:rsidR="00861989" w:rsidRDefault="00861989" w:rsidP="00EA09C7">
            <w:pPr>
              <w:spacing w:before="240" w:after="240" w:line="240" w:lineRule="auto"/>
              <w:ind w:left="100"/>
              <w:rPr>
                <w:sz w:val="20"/>
                <w:szCs w:val="20"/>
              </w:rPr>
            </w:pPr>
            <w:r>
              <w:rPr>
                <w:sz w:val="20"/>
                <w:szCs w:val="20"/>
              </w:rPr>
              <w:t>...</w:t>
            </w:r>
          </w:p>
        </w:tc>
      </w:tr>
      <w:tr w:rsidR="00861989" w14:paraId="6FBC0599" w14:textId="77777777" w:rsidTr="00EA09C7">
        <w:trPr>
          <w:trHeight w:val="49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FA254A" w14:textId="77777777" w:rsidR="00861989" w:rsidRDefault="00861989" w:rsidP="00EA09C7">
            <w:pPr>
              <w:spacing w:before="240" w:after="240" w:line="240" w:lineRule="auto"/>
              <w:ind w:left="100"/>
              <w:rPr>
                <w:sz w:val="20"/>
                <w:szCs w:val="20"/>
              </w:rPr>
            </w:pPr>
            <w:r>
              <w:rPr>
                <w:sz w:val="20"/>
                <w:szCs w:val="20"/>
              </w:rPr>
              <w:t>V</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49756F22"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393550BB"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4D66E68E"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7FA7C081"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61911CC8"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170A11AE" w14:textId="77777777" w:rsidR="00861989" w:rsidRDefault="00861989" w:rsidP="00EA09C7">
            <w:pPr>
              <w:spacing w:before="240" w:after="240" w:line="240" w:lineRule="auto"/>
              <w:ind w:left="100"/>
              <w:jc w:val="right"/>
              <w:rPr>
                <w:sz w:val="20"/>
                <w:szCs w:val="20"/>
              </w:rPr>
            </w:pPr>
            <w:r>
              <w:rPr>
                <w:sz w:val="20"/>
                <w:szCs w:val="20"/>
              </w:rPr>
              <w:t>X.X</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7854FEB3" w14:textId="77777777" w:rsidR="00861989" w:rsidRDefault="00861989" w:rsidP="00EA09C7">
            <w:pPr>
              <w:spacing w:before="240" w:after="240" w:line="240" w:lineRule="auto"/>
              <w:ind w:left="100"/>
              <w:rPr>
                <w:sz w:val="20"/>
                <w:szCs w:val="20"/>
              </w:rPr>
            </w:pPr>
            <w:r>
              <w:rPr>
                <w:sz w:val="20"/>
                <w:szCs w:val="20"/>
              </w:rPr>
              <w:t>...</w:t>
            </w:r>
          </w:p>
        </w:tc>
      </w:tr>
      <w:tr w:rsidR="00861989" w14:paraId="47CC9D0E" w14:textId="77777777" w:rsidTr="00EA09C7">
        <w:trPr>
          <w:trHeight w:val="49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2FA011" w14:textId="77777777" w:rsidR="00861989" w:rsidRDefault="00861989" w:rsidP="00EA09C7">
            <w:pPr>
              <w:spacing w:before="240" w:after="240" w:line="240" w:lineRule="auto"/>
              <w:ind w:left="100"/>
              <w:rPr>
                <w:sz w:val="20"/>
                <w:szCs w:val="20"/>
              </w:rPr>
            </w:pPr>
            <w:r>
              <w:rPr>
                <w:sz w:val="20"/>
                <w:szCs w:val="20"/>
              </w:rPr>
              <w:t>VI</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D1C6BCB"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16600664"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7CE1F447"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036552B7"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6122E0F7"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121D3D33" w14:textId="77777777" w:rsidR="00861989" w:rsidRDefault="00861989" w:rsidP="00EA09C7">
            <w:pPr>
              <w:spacing w:before="240" w:after="240" w:line="240" w:lineRule="auto"/>
              <w:ind w:left="100"/>
              <w:jc w:val="right"/>
              <w:rPr>
                <w:sz w:val="20"/>
                <w:szCs w:val="20"/>
              </w:rPr>
            </w:pPr>
            <w:r>
              <w:rPr>
                <w:sz w:val="20"/>
                <w:szCs w:val="20"/>
              </w:rPr>
              <w:t>X.X</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06C17C5D" w14:textId="77777777" w:rsidR="00861989" w:rsidRDefault="00861989" w:rsidP="00EA09C7">
            <w:pPr>
              <w:spacing w:before="240" w:after="240" w:line="240" w:lineRule="auto"/>
              <w:ind w:left="100"/>
              <w:rPr>
                <w:sz w:val="20"/>
                <w:szCs w:val="20"/>
              </w:rPr>
            </w:pPr>
            <w:r>
              <w:rPr>
                <w:sz w:val="20"/>
                <w:szCs w:val="20"/>
              </w:rPr>
              <w:t>...</w:t>
            </w:r>
          </w:p>
        </w:tc>
      </w:tr>
    </w:tbl>
    <w:p w14:paraId="0FB1EE71" w14:textId="77777777" w:rsidR="00861989" w:rsidRDefault="00861989" w:rsidP="00861989">
      <w:pPr>
        <w:spacing w:before="240" w:after="240" w:line="240" w:lineRule="auto"/>
      </w:pPr>
      <w:r>
        <w:t xml:space="preserve"> </w:t>
      </w:r>
    </w:p>
    <w:p w14:paraId="38151C0D" w14:textId="77777777" w:rsidR="00861989" w:rsidRDefault="00861989" w:rsidP="00861989">
      <w:pPr>
        <w:spacing w:before="240" w:after="240" w:line="240" w:lineRule="auto"/>
      </w:pPr>
      <w:r>
        <w:t>Fixed (Continued): Gender (base = female)</w:t>
      </w:r>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3120"/>
        <w:gridCol w:w="3105"/>
        <w:gridCol w:w="3105"/>
      </w:tblGrid>
      <w:tr w:rsidR="00861989" w14:paraId="1A533042" w14:textId="77777777" w:rsidTr="00EA09C7">
        <w:trPr>
          <w:trHeight w:val="49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1DEA4" w14:textId="77777777" w:rsidR="00861989" w:rsidRDefault="00861989" w:rsidP="00EA09C7">
            <w:pPr>
              <w:spacing w:before="240" w:after="240" w:line="240" w:lineRule="auto"/>
              <w:ind w:left="100"/>
              <w:rPr>
                <w:sz w:val="20"/>
                <w:szCs w:val="20"/>
              </w:rPr>
            </w:pPr>
            <w:r>
              <w:rPr>
                <w:sz w:val="20"/>
                <w:szCs w:val="20"/>
              </w:rPr>
              <w:t xml:space="preserve"> </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26EABC" w14:textId="77777777" w:rsidR="00861989" w:rsidRDefault="00861989" w:rsidP="00EA09C7">
            <w:pPr>
              <w:spacing w:before="240" w:after="240" w:line="240" w:lineRule="auto"/>
              <w:ind w:left="100"/>
              <w:jc w:val="right"/>
              <w:rPr>
                <w:sz w:val="20"/>
                <w:szCs w:val="20"/>
              </w:rPr>
            </w:pPr>
            <w:r>
              <w:rPr>
                <w:sz w:val="20"/>
                <w:szCs w:val="20"/>
              </w:rPr>
              <w:t>Male</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07E7C5" w14:textId="77777777" w:rsidR="00861989" w:rsidRDefault="00861989" w:rsidP="00EA09C7">
            <w:pPr>
              <w:spacing w:before="240" w:after="240" w:line="240" w:lineRule="auto"/>
              <w:ind w:left="100"/>
              <w:rPr>
                <w:sz w:val="20"/>
                <w:szCs w:val="20"/>
              </w:rPr>
            </w:pPr>
            <w:r>
              <w:rPr>
                <w:sz w:val="20"/>
                <w:szCs w:val="20"/>
              </w:rPr>
              <w:t xml:space="preserve"> </w:t>
            </w:r>
          </w:p>
        </w:tc>
      </w:tr>
      <w:tr w:rsidR="00861989" w14:paraId="58FE49D3" w14:textId="77777777" w:rsidTr="00EA09C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6F1697" w14:textId="77777777" w:rsidR="00861989" w:rsidRDefault="00861989" w:rsidP="00EA09C7">
            <w:pPr>
              <w:spacing w:before="240" w:after="240" w:line="240" w:lineRule="auto"/>
              <w:ind w:left="100"/>
              <w:rPr>
                <w:sz w:val="20"/>
                <w:szCs w:val="20"/>
              </w:rPr>
            </w:pPr>
            <w:r>
              <w:rPr>
                <w:sz w:val="20"/>
                <w:szCs w:val="20"/>
              </w:rPr>
              <w:t>Model</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34C264B1" w14:textId="77777777" w:rsidR="00861989" w:rsidRDefault="00861989" w:rsidP="00EA09C7">
            <w:pPr>
              <w:spacing w:before="240" w:after="240" w:line="240" w:lineRule="auto"/>
              <w:ind w:left="100"/>
              <w:jc w:val="right"/>
              <w:rPr>
                <w:sz w:val="20"/>
                <w:szCs w:val="20"/>
              </w:rPr>
            </w:pPr>
            <w:r>
              <w:rPr>
                <w:sz w:val="20"/>
                <w:szCs w:val="20"/>
              </w:rPr>
              <w:t>Est.</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209D98DE" w14:textId="77777777" w:rsidR="00861989" w:rsidRDefault="00861989" w:rsidP="00EA09C7">
            <w:pPr>
              <w:spacing w:before="240" w:after="240" w:line="240" w:lineRule="auto"/>
              <w:ind w:left="100"/>
              <w:jc w:val="right"/>
              <w:rPr>
                <w:sz w:val="20"/>
                <w:szCs w:val="20"/>
              </w:rPr>
            </w:pPr>
            <w:r>
              <w:rPr>
                <w:sz w:val="20"/>
                <w:szCs w:val="20"/>
              </w:rPr>
              <w:t>s.e.</w:t>
            </w:r>
          </w:p>
        </w:tc>
      </w:tr>
      <w:tr w:rsidR="00861989" w14:paraId="02B70864" w14:textId="77777777" w:rsidTr="00EA09C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6300F1" w14:textId="77777777" w:rsidR="00861989" w:rsidRDefault="00861989" w:rsidP="00EA09C7">
            <w:pPr>
              <w:spacing w:before="240" w:after="240" w:line="240" w:lineRule="auto"/>
              <w:ind w:left="100"/>
              <w:rPr>
                <w:sz w:val="20"/>
                <w:szCs w:val="20"/>
              </w:rPr>
            </w:pPr>
            <w:r>
              <w:rPr>
                <w:sz w:val="20"/>
                <w:szCs w:val="20"/>
              </w:rPr>
              <w:t>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2727D680" w14:textId="77777777" w:rsidR="00861989" w:rsidRDefault="00861989" w:rsidP="00EA09C7">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3E5CA1C6"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218C6581" w14:textId="77777777" w:rsidTr="00EA09C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C9A78A" w14:textId="77777777" w:rsidR="00861989" w:rsidRDefault="00861989" w:rsidP="00EA09C7">
            <w:pPr>
              <w:spacing w:before="240" w:after="240" w:line="240" w:lineRule="auto"/>
              <w:ind w:left="100"/>
              <w:rPr>
                <w:sz w:val="20"/>
                <w:szCs w:val="20"/>
              </w:rPr>
            </w:pPr>
            <w:r>
              <w:rPr>
                <w:sz w:val="20"/>
                <w:szCs w:val="20"/>
              </w:rPr>
              <w:t>II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4D2D305A" w14:textId="77777777" w:rsidR="00861989" w:rsidRDefault="00861989" w:rsidP="00EA09C7">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59A4C7A8"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54D0496F" w14:textId="77777777" w:rsidTr="00EA09C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1EC7CD" w14:textId="77777777" w:rsidR="00861989" w:rsidRDefault="00861989" w:rsidP="00EA09C7">
            <w:pPr>
              <w:spacing w:before="240" w:after="240" w:line="240" w:lineRule="auto"/>
              <w:ind w:left="100"/>
              <w:rPr>
                <w:sz w:val="20"/>
                <w:szCs w:val="20"/>
              </w:rPr>
            </w:pPr>
            <w:r>
              <w:rPr>
                <w:sz w:val="20"/>
                <w:szCs w:val="20"/>
              </w:rPr>
              <w:t>III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11E3D752" w14:textId="77777777" w:rsidR="00861989" w:rsidRDefault="00861989" w:rsidP="00EA09C7">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6CC82214"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5644E8E7" w14:textId="77777777" w:rsidTr="00EA09C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9DFE04" w14:textId="77777777" w:rsidR="00861989" w:rsidRDefault="00861989" w:rsidP="00EA09C7">
            <w:pPr>
              <w:spacing w:before="240" w:after="240" w:line="240" w:lineRule="auto"/>
              <w:ind w:left="100"/>
              <w:rPr>
                <w:sz w:val="20"/>
                <w:szCs w:val="20"/>
              </w:rPr>
            </w:pPr>
            <w:r>
              <w:rPr>
                <w:sz w:val="20"/>
                <w:szCs w:val="20"/>
              </w:rPr>
              <w:t>IV</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2926BF5D" w14:textId="77777777" w:rsidR="00861989" w:rsidRDefault="00861989" w:rsidP="00EA09C7">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4E881971"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20AFDD15" w14:textId="77777777" w:rsidTr="00EA09C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A7D27E" w14:textId="77777777" w:rsidR="00861989" w:rsidRDefault="00861989" w:rsidP="00EA09C7">
            <w:pPr>
              <w:spacing w:before="240" w:after="240" w:line="240" w:lineRule="auto"/>
              <w:ind w:left="100"/>
              <w:rPr>
                <w:sz w:val="20"/>
                <w:szCs w:val="20"/>
              </w:rPr>
            </w:pPr>
            <w:r>
              <w:rPr>
                <w:sz w:val="20"/>
                <w:szCs w:val="20"/>
              </w:rPr>
              <w:t>V</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3D42E6D1" w14:textId="77777777" w:rsidR="00861989" w:rsidRDefault="00861989" w:rsidP="00EA09C7">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4A9DBEDC"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082EA519" w14:textId="77777777" w:rsidTr="00EA09C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C13C55" w14:textId="77777777" w:rsidR="00861989" w:rsidRDefault="00861989" w:rsidP="00EA09C7">
            <w:pPr>
              <w:spacing w:before="240" w:after="240" w:line="240" w:lineRule="auto"/>
              <w:ind w:left="100"/>
              <w:rPr>
                <w:sz w:val="20"/>
                <w:szCs w:val="20"/>
              </w:rPr>
            </w:pPr>
            <w:r>
              <w:rPr>
                <w:sz w:val="20"/>
                <w:szCs w:val="20"/>
              </w:rPr>
              <w:lastRenderedPageBreak/>
              <w:t>VI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31344A38" w14:textId="77777777" w:rsidR="00861989" w:rsidRDefault="00861989" w:rsidP="00EA09C7">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3E1008CE" w14:textId="77777777" w:rsidR="00861989" w:rsidRDefault="00861989" w:rsidP="00EA09C7">
            <w:pPr>
              <w:spacing w:before="240" w:after="240" w:line="240" w:lineRule="auto"/>
              <w:ind w:left="100"/>
              <w:jc w:val="right"/>
              <w:rPr>
                <w:sz w:val="20"/>
                <w:szCs w:val="20"/>
              </w:rPr>
            </w:pPr>
            <w:r>
              <w:rPr>
                <w:sz w:val="20"/>
                <w:szCs w:val="20"/>
              </w:rPr>
              <w:t>X.X</w:t>
            </w:r>
          </w:p>
        </w:tc>
      </w:tr>
    </w:tbl>
    <w:p w14:paraId="008076E5" w14:textId="77777777" w:rsidR="00861989" w:rsidRDefault="00861989" w:rsidP="00861989">
      <w:pPr>
        <w:spacing w:before="240" w:after="240" w:line="240" w:lineRule="auto"/>
      </w:pPr>
      <w:r>
        <w:t xml:space="preserve"> </w:t>
      </w:r>
    </w:p>
    <w:p w14:paraId="5B5DD541" w14:textId="77777777" w:rsidR="00861989" w:rsidRDefault="00861989" w:rsidP="00861989">
      <w:pPr>
        <w:spacing w:before="240" w:after="240" w:line="240" w:lineRule="auto"/>
      </w:pPr>
      <w:r>
        <w:t>Random</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908"/>
        <w:gridCol w:w="1102"/>
        <w:gridCol w:w="745"/>
        <w:gridCol w:w="729"/>
        <w:gridCol w:w="1339"/>
        <w:gridCol w:w="729"/>
        <w:gridCol w:w="714"/>
        <w:gridCol w:w="758"/>
        <w:gridCol w:w="744"/>
        <w:gridCol w:w="729"/>
        <w:gridCol w:w="863"/>
      </w:tblGrid>
      <w:tr w:rsidR="00861989" w14:paraId="7F34F20B" w14:textId="77777777" w:rsidTr="00EA09C7">
        <w:trPr>
          <w:trHeight w:val="765"/>
        </w:trPr>
        <w:tc>
          <w:tcPr>
            <w:tcW w:w="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B02F2"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1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3CC52C" w14:textId="77777777" w:rsidR="00861989" w:rsidRDefault="00861989" w:rsidP="00EA09C7">
            <w:pPr>
              <w:spacing w:before="240" w:after="240" w:line="240" w:lineRule="auto"/>
              <w:ind w:left="100"/>
              <w:jc w:val="right"/>
              <w:rPr>
                <w:sz w:val="20"/>
                <w:szCs w:val="20"/>
              </w:rPr>
            </w:pPr>
            <w:r>
              <w:rPr>
                <w:sz w:val="20"/>
                <w:szCs w:val="20"/>
              </w:rPr>
              <w:t>Vignette</w:t>
            </w:r>
          </w:p>
        </w:tc>
        <w:tc>
          <w:tcPr>
            <w:tcW w:w="7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64F8DD"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72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ABDB86"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3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118816" w14:textId="77777777" w:rsidR="00861989" w:rsidRDefault="00861989" w:rsidP="00EA09C7">
            <w:pPr>
              <w:spacing w:before="240" w:after="240" w:line="240" w:lineRule="auto"/>
              <w:ind w:left="100"/>
              <w:jc w:val="right"/>
              <w:rPr>
                <w:sz w:val="20"/>
                <w:szCs w:val="20"/>
              </w:rPr>
            </w:pPr>
            <w:r>
              <w:rPr>
                <w:sz w:val="20"/>
                <w:szCs w:val="20"/>
              </w:rPr>
              <w:t>Participant</w:t>
            </w:r>
          </w:p>
        </w:tc>
        <w:tc>
          <w:tcPr>
            <w:tcW w:w="72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9E8DD5"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71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B3F60D"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7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F32A1D" w14:textId="77777777" w:rsidR="00861989" w:rsidRDefault="00861989" w:rsidP="00EA09C7">
            <w:pPr>
              <w:spacing w:before="240" w:after="240" w:line="240" w:lineRule="auto"/>
              <w:ind w:left="100"/>
              <w:jc w:val="right"/>
              <w:rPr>
                <w:sz w:val="20"/>
                <w:szCs w:val="20"/>
              </w:rPr>
            </w:pPr>
            <w:r>
              <w:rPr>
                <w:sz w:val="20"/>
                <w:szCs w:val="20"/>
              </w:rPr>
              <w:t>Lab</w:t>
            </w:r>
          </w:p>
        </w:tc>
        <w:tc>
          <w:tcPr>
            <w:tcW w:w="7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A368C3"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72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F6CC97"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8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13AF33" w14:textId="77777777" w:rsidR="00861989" w:rsidRDefault="00861989" w:rsidP="00EA09C7">
            <w:pPr>
              <w:spacing w:before="240" w:after="240" w:line="240" w:lineRule="auto"/>
              <w:ind w:left="100"/>
              <w:jc w:val="right"/>
              <w:rPr>
                <w:sz w:val="20"/>
                <w:szCs w:val="20"/>
              </w:rPr>
            </w:pPr>
            <w:r>
              <w:rPr>
                <w:sz w:val="20"/>
                <w:szCs w:val="20"/>
              </w:rPr>
              <w:t>Log-Lik</w:t>
            </w:r>
          </w:p>
        </w:tc>
      </w:tr>
      <w:tr w:rsidR="00861989" w14:paraId="0013D612" w14:textId="77777777" w:rsidTr="00EA09C7">
        <w:trPr>
          <w:trHeight w:val="495"/>
        </w:trPr>
        <w:tc>
          <w:tcPr>
            <w:tcW w:w="9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368AE1" w14:textId="77777777" w:rsidR="00861989" w:rsidRDefault="00861989" w:rsidP="00EA09C7">
            <w:pPr>
              <w:spacing w:before="240" w:after="240" w:line="240" w:lineRule="auto"/>
              <w:ind w:left="100"/>
              <w:rPr>
                <w:sz w:val="20"/>
                <w:szCs w:val="20"/>
              </w:rPr>
            </w:pPr>
            <w:r>
              <w:rPr>
                <w:sz w:val="20"/>
                <w:szCs w:val="20"/>
              </w:rPr>
              <w:t>Model</w:t>
            </w:r>
          </w:p>
        </w:tc>
        <w:tc>
          <w:tcPr>
            <w:tcW w:w="1101" w:type="dxa"/>
            <w:tcBorders>
              <w:top w:val="nil"/>
              <w:left w:val="nil"/>
              <w:bottom w:val="single" w:sz="8" w:space="0" w:color="000000"/>
              <w:right w:val="single" w:sz="8" w:space="0" w:color="000000"/>
            </w:tcBorders>
            <w:tcMar>
              <w:top w:w="100" w:type="dxa"/>
              <w:left w:w="100" w:type="dxa"/>
              <w:bottom w:w="100" w:type="dxa"/>
              <w:right w:w="100" w:type="dxa"/>
            </w:tcMar>
          </w:tcPr>
          <w:p w14:paraId="207AAF62" w14:textId="77777777" w:rsidR="00861989" w:rsidRDefault="00861989" w:rsidP="00EA09C7">
            <w:pPr>
              <w:spacing w:before="240" w:after="240" w:line="240" w:lineRule="auto"/>
              <w:ind w:left="100"/>
              <w:jc w:val="right"/>
              <w:rPr>
                <w:sz w:val="20"/>
                <w:szCs w:val="20"/>
              </w:rPr>
            </w:pPr>
            <w:r>
              <w:rPr>
                <w:sz w:val="20"/>
                <w:szCs w:val="20"/>
              </w:rPr>
              <w:t>Var.</w:t>
            </w:r>
          </w:p>
        </w:tc>
        <w:tc>
          <w:tcPr>
            <w:tcW w:w="744" w:type="dxa"/>
            <w:tcBorders>
              <w:top w:val="nil"/>
              <w:left w:val="nil"/>
              <w:bottom w:val="single" w:sz="8" w:space="0" w:color="000000"/>
              <w:right w:val="single" w:sz="8" w:space="0" w:color="000000"/>
            </w:tcBorders>
            <w:tcMar>
              <w:top w:w="100" w:type="dxa"/>
              <w:left w:w="100" w:type="dxa"/>
              <w:bottom w:w="100" w:type="dxa"/>
              <w:right w:w="100" w:type="dxa"/>
            </w:tcMar>
          </w:tcPr>
          <w:p w14:paraId="1DA70DAF" w14:textId="77777777" w:rsidR="00861989" w:rsidRDefault="00861989" w:rsidP="00EA09C7">
            <w:pPr>
              <w:spacing w:before="240" w:after="240" w:line="240" w:lineRule="auto"/>
              <w:ind w:left="100"/>
              <w:jc w:val="right"/>
              <w:rPr>
                <w:sz w:val="20"/>
                <w:szCs w:val="20"/>
              </w:rPr>
            </w:pPr>
            <w:r>
              <w:rPr>
                <w:sz w:val="20"/>
                <w:szCs w:val="20"/>
              </w:rPr>
              <w:t>s.e.</w:t>
            </w:r>
          </w:p>
        </w:tc>
        <w:tc>
          <w:tcPr>
            <w:tcW w:w="729" w:type="dxa"/>
            <w:tcBorders>
              <w:top w:val="nil"/>
              <w:left w:val="nil"/>
              <w:bottom w:val="single" w:sz="8" w:space="0" w:color="000000"/>
              <w:right w:val="single" w:sz="8" w:space="0" w:color="000000"/>
            </w:tcBorders>
            <w:tcMar>
              <w:top w:w="100" w:type="dxa"/>
              <w:left w:w="100" w:type="dxa"/>
              <w:bottom w:w="100" w:type="dxa"/>
              <w:right w:w="100" w:type="dxa"/>
            </w:tcMar>
          </w:tcPr>
          <w:p w14:paraId="2CC4A634" w14:textId="77777777" w:rsidR="00861989" w:rsidRDefault="00861989" w:rsidP="00EA09C7">
            <w:pPr>
              <w:spacing w:before="240" w:after="240" w:line="240" w:lineRule="auto"/>
              <w:ind w:left="100"/>
              <w:jc w:val="right"/>
              <w:rPr>
                <w:sz w:val="20"/>
                <w:szCs w:val="20"/>
              </w:rPr>
            </w:pPr>
            <w:r>
              <w:rPr>
                <w:sz w:val="20"/>
                <w:szCs w:val="20"/>
              </w:rPr>
              <w:t>s.d.</w:t>
            </w:r>
          </w:p>
        </w:tc>
        <w:tc>
          <w:tcPr>
            <w:tcW w:w="1339" w:type="dxa"/>
            <w:tcBorders>
              <w:top w:val="nil"/>
              <w:left w:val="nil"/>
              <w:bottom w:val="single" w:sz="8" w:space="0" w:color="000000"/>
              <w:right w:val="single" w:sz="8" w:space="0" w:color="000000"/>
            </w:tcBorders>
            <w:tcMar>
              <w:top w:w="100" w:type="dxa"/>
              <w:left w:w="100" w:type="dxa"/>
              <w:bottom w:w="100" w:type="dxa"/>
              <w:right w:w="100" w:type="dxa"/>
            </w:tcMar>
          </w:tcPr>
          <w:p w14:paraId="0F28D224" w14:textId="77777777" w:rsidR="00861989" w:rsidRDefault="00861989" w:rsidP="00EA09C7">
            <w:pPr>
              <w:spacing w:before="240" w:after="240" w:line="240" w:lineRule="auto"/>
              <w:ind w:left="100"/>
              <w:jc w:val="right"/>
              <w:rPr>
                <w:sz w:val="20"/>
                <w:szCs w:val="20"/>
              </w:rPr>
            </w:pPr>
            <w:r>
              <w:rPr>
                <w:sz w:val="20"/>
                <w:szCs w:val="20"/>
              </w:rPr>
              <w:t>Var.</w:t>
            </w:r>
          </w:p>
        </w:tc>
        <w:tc>
          <w:tcPr>
            <w:tcW w:w="729" w:type="dxa"/>
            <w:tcBorders>
              <w:top w:val="nil"/>
              <w:left w:val="nil"/>
              <w:bottom w:val="single" w:sz="8" w:space="0" w:color="000000"/>
              <w:right w:val="single" w:sz="8" w:space="0" w:color="000000"/>
            </w:tcBorders>
            <w:tcMar>
              <w:top w:w="100" w:type="dxa"/>
              <w:left w:w="100" w:type="dxa"/>
              <w:bottom w:w="100" w:type="dxa"/>
              <w:right w:w="100" w:type="dxa"/>
            </w:tcMar>
          </w:tcPr>
          <w:p w14:paraId="2C1259DD" w14:textId="77777777" w:rsidR="00861989" w:rsidRDefault="00861989" w:rsidP="00EA09C7">
            <w:pPr>
              <w:spacing w:before="240" w:after="240" w:line="240" w:lineRule="auto"/>
              <w:ind w:left="100"/>
              <w:jc w:val="right"/>
              <w:rPr>
                <w:sz w:val="20"/>
                <w:szCs w:val="20"/>
              </w:rPr>
            </w:pPr>
            <w:r>
              <w:rPr>
                <w:sz w:val="20"/>
                <w:szCs w:val="20"/>
              </w:rPr>
              <w:t>s.e.</w:t>
            </w:r>
          </w:p>
        </w:tc>
        <w:tc>
          <w:tcPr>
            <w:tcW w:w="714" w:type="dxa"/>
            <w:tcBorders>
              <w:top w:val="nil"/>
              <w:left w:val="nil"/>
              <w:bottom w:val="single" w:sz="8" w:space="0" w:color="000000"/>
              <w:right w:val="single" w:sz="8" w:space="0" w:color="000000"/>
            </w:tcBorders>
            <w:tcMar>
              <w:top w:w="100" w:type="dxa"/>
              <w:left w:w="100" w:type="dxa"/>
              <w:bottom w:w="100" w:type="dxa"/>
              <w:right w:w="100" w:type="dxa"/>
            </w:tcMar>
          </w:tcPr>
          <w:p w14:paraId="570E4242" w14:textId="77777777" w:rsidR="00861989" w:rsidRDefault="00861989" w:rsidP="00EA09C7">
            <w:pPr>
              <w:spacing w:before="240" w:after="240" w:line="240" w:lineRule="auto"/>
              <w:ind w:left="100"/>
              <w:jc w:val="right"/>
              <w:rPr>
                <w:sz w:val="20"/>
                <w:szCs w:val="20"/>
              </w:rPr>
            </w:pPr>
            <w:r>
              <w:rPr>
                <w:sz w:val="20"/>
                <w:szCs w:val="20"/>
              </w:rPr>
              <w:t>s.d.</w:t>
            </w:r>
          </w:p>
        </w:tc>
        <w:tc>
          <w:tcPr>
            <w:tcW w:w="758" w:type="dxa"/>
            <w:tcBorders>
              <w:top w:val="nil"/>
              <w:left w:val="nil"/>
              <w:bottom w:val="single" w:sz="8" w:space="0" w:color="000000"/>
              <w:right w:val="single" w:sz="8" w:space="0" w:color="000000"/>
            </w:tcBorders>
            <w:tcMar>
              <w:top w:w="100" w:type="dxa"/>
              <w:left w:w="100" w:type="dxa"/>
              <w:bottom w:w="100" w:type="dxa"/>
              <w:right w:w="100" w:type="dxa"/>
            </w:tcMar>
          </w:tcPr>
          <w:p w14:paraId="5910C90C" w14:textId="77777777" w:rsidR="00861989" w:rsidRDefault="00861989" w:rsidP="00EA09C7">
            <w:pPr>
              <w:spacing w:before="240" w:after="240" w:line="240" w:lineRule="auto"/>
              <w:ind w:left="100"/>
              <w:jc w:val="right"/>
              <w:rPr>
                <w:sz w:val="20"/>
                <w:szCs w:val="20"/>
              </w:rPr>
            </w:pPr>
            <w:r>
              <w:rPr>
                <w:sz w:val="20"/>
                <w:szCs w:val="20"/>
              </w:rPr>
              <w:t>Var.</w:t>
            </w:r>
          </w:p>
        </w:tc>
        <w:tc>
          <w:tcPr>
            <w:tcW w:w="744" w:type="dxa"/>
            <w:tcBorders>
              <w:top w:val="nil"/>
              <w:left w:val="nil"/>
              <w:bottom w:val="single" w:sz="8" w:space="0" w:color="000000"/>
              <w:right w:val="single" w:sz="8" w:space="0" w:color="000000"/>
            </w:tcBorders>
            <w:tcMar>
              <w:top w:w="100" w:type="dxa"/>
              <w:left w:w="100" w:type="dxa"/>
              <w:bottom w:w="100" w:type="dxa"/>
              <w:right w:w="100" w:type="dxa"/>
            </w:tcMar>
          </w:tcPr>
          <w:p w14:paraId="73FDC0DA" w14:textId="77777777" w:rsidR="00861989" w:rsidRDefault="00861989" w:rsidP="00EA09C7">
            <w:pPr>
              <w:spacing w:before="240" w:after="240" w:line="240" w:lineRule="auto"/>
              <w:ind w:left="100"/>
              <w:jc w:val="right"/>
              <w:rPr>
                <w:sz w:val="20"/>
                <w:szCs w:val="20"/>
              </w:rPr>
            </w:pPr>
            <w:r>
              <w:rPr>
                <w:sz w:val="20"/>
                <w:szCs w:val="20"/>
              </w:rPr>
              <w:t>s.e.</w:t>
            </w:r>
          </w:p>
        </w:tc>
        <w:tc>
          <w:tcPr>
            <w:tcW w:w="729" w:type="dxa"/>
            <w:tcBorders>
              <w:top w:val="nil"/>
              <w:left w:val="nil"/>
              <w:bottom w:val="single" w:sz="8" w:space="0" w:color="000000"/>
              <w:right w:val="single" w:sz="8" w:space="0" w:color="000000"/>
            </w:tcBorders>
            <w:tcMar>
              <w:top w:w="100" w:type="dxa"/>
              <w:left w:w="100" w:type="dxa"/>
              <w:bottom w:w="100" w:type="dxa"/>
              <w:right w:w="100" w:type="dxa"/>
            </w:tcMar>
          </w:tcPr>
          <w:p w14:paraId="68DC4FD2" w14:textId="77777777" w:rsidR="00861989" w:rsidRDefault="00861989" w:rsidP="00EA09C7">
            <w:pPr>
              <w:spacing w:before="240" w:after="240" w:line="240" w:lineRule="auto"/>
              <w:ind w:left="100"/>
              <w:jc w:val="right"/>
              <w:rPr>
                <w:sz w:val="20"/>
                <w:szCs w:val="20"/>
              </w:rPr>
            </w:pPr>
            <w:r>
              <w:rPr>
                <w:sz w:val="20"/>
                <w:szCs w:val="20"/>
              </w:rPr>
              <w:t>s.d.</w:t>
            </w:r>
          </w:p>
        </w:tc>
        <w:tc>
          <w:tcPr>
            <w:tcW w:w="863" w:type="dxa"/>
            <w:tcBorders>
              <w:top w:val="nil"/>
              <w:left w:val="nil"/>
              <w:bottom w:val="single" w:sz="8" w:space="0" w:color="000000"/>
              <w:right w:val="single" w:sz="8" w:space="0" w:color="000000"/>
            </w:tcBorders>
            <w:tcMar>
              <w:top w:w="100" w:type="dxa"/>
              <w:left w:w="100" w:type="dxa"/>
              <w:bottom w:w="100" w:type="dxa"/>
              <w:right w:w="100" w:type="dxa"/>
            </w:tcMar>
          </w:tcPr>
          <w:p w14:paraId="66EF2964" w14:textId="77777777" w:rsidR="00861989" w:rsidRDefault="00861989" w:rsidP="00EA09C7">
            <w:pPr>
              <w:spacing w:before="240" w:after="240" w:line="240" w:lineRule="auto"/>
              <w:ind w:left="100"/>
              <w:jc w:val="right"/>
              <w:rPr>
                <w:sz w:val="20"/>
                <w:szCs w:val="20"/>
              </w:rPr>
            </w:pPr>
            <w:r>
              <w:rPr>
                <w:sz w:val="20"/>
                <w:szCs w:val="20"/>
              </w:rPr>
              <w:t xml:space="preserve"> </w:t>
            </w:r>
          </w:p>
        </w:tc>
      </w:tr>
      <w:tr w:rsidR="00861989" w14:paraId="55AC17DC" w14:textId="77777777" w:rsidTr="00EA09C7">
        <w:trPr>
          <w:trHeight w:val="495"/>
        </w:trPr>
        <w:tc>
          <w:tcPr>
            <w:tcW w:w="9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0823DE" w14:textId="77777777" w:rsidR="00861989" w:rsidRDefault="00861989" w:rsidP="00EA09C7">
            <w:pPr>
              <w:spacing w:before="240" w:after="240" w:line="240" w:lineRule="auto"/>
              <w:ind w:left="100"/>
              <w:rPr>
                <w:sz w:val="20"/>
                <w:szCs w:val="20"/>
              </w:rPr>
            </w:pPr>
            <w:r>
              <w:rPr>
                <w:sz w:val="20"/>
                <w:szCs w:val="20"/>
              </w:rPr>
              <w:t>I</w:t>
            </w:r>
          </w:p>
        </w:tc>
        <w:tc>
          <w:tcPr>
            <w:tcW w:w="1101" w:type="dxa"/>
            <w:tcBorders>
              <w:top w:val="nil"/>
              <w:left w:val="nil"/>
              <w:bottom w:val="single" w:sz="8" w:space="0" w:color="000000"/>
              <w:right w:val="single" w:sz="8" w:space="0" w:color="000000"/>
            </w:tcBorders>
            <w:tcMar>
              <w:top w:w="100" w:type="dxa"/>
              <w:left w:w="100" w:type="dxa"/>
              <w:bottom w:w="100" w:type="dxa"/>
              <w:right w:w="100" w:type="dxa"/>
            </w:tcMar>
          </w:tcPr>
          <w:p w14:paraId="1754BF63" w14:textId="77777777" w:rsidR="00861989" w:rsidRDefault="00861989" w:rsidP="00EA09C7">
            <w:pPr>
              <w:spacing w:before="240" w:after="240" w:line="240" w:lineRule="auto"/>
              <w:ind w:left="100"/>
              <w:jc w:val="right"/>
              <w:rPr>
                <w:sz w:val="20"/>
                <w:szCs w:val="20"/>
              </w:rPr>
            </w:pPr>
            <w:r>
              <w:rPr>
                <w:sz w:val="20"/>
                <w:szCs w:val="20"/>
              </w:rPr>
              <w:t>X.X</w:t>
            </w:r>
          </w:p>
        </w:tc>
        <w:tc>
          <w:tcPr>
            <w:tcW w:w="744" w:type="dxa"/>
            <w:tcBorders>
              <w:top w:val="nil"/>
              <w:left w:val="nil"/>
              <w:bottom w:val="single" w:sz="8" w:space="0" w:color="000000"/>
              <w:right w:val="single" w:sz="8" w:space="0" w:color="000000"/>
            </w:tcBorders>
            <w:tcMar>
              <w:top w:w="100" w:type="dxa"/>
              <w:left w:w="100" w:type="dxa"/>
              <w:bottom w:w="100" w:type="dxa"/>
              <w:right w:w="100" w:type="dxa"/>
            </w:tcMar>
          </w:tcPr>
          <w:p w14:paraId="293F01E4" w14:textId="77777777" w:rsidR="00861989" w:rsidRDefault="00861989" w:rsidP="00EA09C7">
            <w:pPr>
              <w:spacing w:before="240" w:after="240" w:line="240" w:lineRule="auto"/>
              <w:ind w:left="100"/>
              <w:jc w:val="right"/>
              <w:rPr>
                <w:sz w:val="20"/>
                <w:szCs w:val="20"/>
              </w:rPr>
            </w:pPr>
            <w:r>
              <w:rPr>
                <w:sz w:val="20"/>
                <w:szCs w:val="20"/>
              </w:rPr>
              <w:t>X.X</w:t>
            </w:r>
          </w:p>
        </w:tc>
        <w:tc>
          <w:tcPr>
            <w:tcW w:w="729" w:type="dxa"/>
            <w:tcBorders>
              <w:top w:val="nil"/>
              <w:left w:val="nil"/>
              <w:bottom w:val="single" w:sz="8" w:space="0" w:color="000000"/>
              <w:right w:val="single" w:sz="8" w:space="0" w:color="000000"/>
            </w:tcBorders>
            <w:tcMar>
              <w:top w:w="100" w:type="dxa"/>
              <w:left w:w="100" w:type="dxa"/>
              <w:bottom w:w="100" w:type="dxa"/>
              <w:right w:w="100" w:type="dxa"/>
            </w:tcMar>
          </w:tcPr>
          <w:p w14:paraId="71384FB3" w14:textId="77777777" w:rsidR="00861989" w:rsidRDefault="00861989" w:rsidP="00EA09C7">
            <w:pPr>
              <w:spacing w:before="240" w:after="240" w:line="240" w:lineRule="auto"/>
              <w:ind w:left="100"/>
              <w:jc w:val="right"/>
              <w:rPr>
                <w:sz w:val="20"/>
                <w:szCs w:val="20"/>
              </w:rPr>
            </w:pPr>
            <w:r>
              <w:rPr>
                <w:sz w:val="20"/>
                <w:szCs w:val="20"/>
              </w:rPr>
              <w:t>X.X</w:t>
            </w:r>
          </w:p>
        </w:tc>
        <w:tc>
          <w:tcPr>
            <w:tcW w:w="1339" w:type="dxa"/>
            <w:tcBorders>
              <w:top w:val="nil"/>
              <w:left w:val="nil"/>
              <w:bottom w:val="single" w:sz="8" w:space="0" w:color="000000"/>
              <w:right w:val="single" w:sz="8" w:space="0" w:color="000000"/>
            </w:tcBorders>
            <w:tcMar>
              <w:top w:w="100" w:type="dxa"/>
              <w:left w:w="100" w:type="dxa"/>
              <w:bottom w:w="100" w:type="dxa"/>
              <w:right w:w="100" w:type="dxa"/>
            </w:tcMar>
          </w:tcPr>
          <w:p w14:paraId="185685C8" w14:textId="77777777" w:rsidR="00861989" w:rsidRDefault="00861989" w:rsidP="00EA09C7">
            <w:pPr>
              <w:spacing w:before="240" w:after="240" w:line="240" w:lineRule="auto"/>
              <w:ind w:left="100"/>
              <w:jc w:val="right"/>
              <w:rPr>
                <w:sz w:val="20"/>
                <w:szCs w:val="20"/>
              </w:rPr>
            </w:pPr>
            <w:r>
              <w:rPr>
                <w:sz w:val="20"/>
                <w:szCs w:val="20"/>
              </w:rPr>
              <w:t>X.X</w:t>
            </w:r>
          </w:p>
        </w:tc>
        <w:tc>
          <w:tcPr>
            <w:tcW w:w="729" w:type="dxa"/>
            <w:tcBorders>
              <w:top w:val="nil"/>
              <w:left w:val="nil"/>
              <w:bottom w:val="single" w:sz="8" w:space="0" w:color="000000"/>
              <w:right w:val="single" w:sz="8" w:space="0" w:color="000000"/>
            </w:tcBorders>
            <w:tcMar>
              <w:top w:w="100" w:type="dxa"/>
              <w:left w:w="100" w:type="dxa"/>
              <w:bottom w:w="100" w:type="dxa"/>
              <w:right w:w="100" w:type="dxa"/>
            </w:tcMar>
          </w:tcPr>
          <w:p w14:paraId="4A5717F5" w14:textId="77777777" w:rsidR="00861989" w:rsidRDefault="00861989" w:rsidP="00EA09C7">
            <w:pPr>
              <w:spacing w:before="240" w:after="240" w:line="240" w:lineRule="auto"/>
              <w:ind w:left="100"/>
              <w:jc w:val="right"/>
              <w:rPr>
                <w:sz w:val="20"/>
                <w:szCs w:val="20"/>
              </w:rPr>
            </w:pPr>
            <w:r>
              <w:rPr>
                <w:sz w:val="20"/>
                <w:szCs w:val="20"/>
              </w:rPr>
              <w:t>X.X</w:t>
            </w:r>
          </w:p>
        </w:tc>
        <w:tc>
          <w:tcPr>
            <w:tcW w:w="714" w:type="dxa"/>
            <w:tcBorders>
              <w:top w:val="nil"/>
              <w:left w:val="nil"/>
              <w:bottom w:val="single" w:sz="8" w:space="0" w:color="000000"/>
              <w:right w:val="single" w:sz="8" w:space="0" w:color="000000"/>
            </w:tcBorders>
            <w:tcMar>
              <w:top w:w="100" w:type="dxa"/>
              <w:left w:w="100" w:type="dxa"/>
              <w:bottom w:w="100" w:type="dxa"/>
              <w:right w:w="100" w:type="dxa"/>
            </w:tcMar>
          </w:tcPr>
          <w:p w14:paraId="0A3EE4BA" w14:textId="77777777" w:rsidR="00861989" w:rsidRDefault="00861989" w:rsidP="00EA09C7">
            <w:pPr>
              <w:spacing w:before="240" w:after="240" w:line="240" w:lineRule="auto"/>
              <w:ind w:left="100"/>
              <w:jc w:val="right"/>
              <w:rPr>
                <w:sz w:val="20"/>
                <w:szCs w:val="20"/>
              </w:rPr>
            </w:pPr>
            <w:r>
              <w:rPr>
                <w:sz w:val="20"/>
                <w:szCs w:val="20"/>
              </w:rPr>
              <w:t>X.X</w:t>
            </w:r>
          </w:p>
        </w:tc>
        <w:tc>
          <w:tcPr>
            <w:tcW w:w="758" w:type="dxa"/>
            <w:tcBorders>
              <w:top w:val="nil"/>
              <w:left w:val="nil"/>
              <w:bottom w:val="single" w:sz="8" w:space="0" w:color="000000"/>
              <w:right w:val="single" w:sz="8" w:space="0" w:color="000000"/>
            </w:tcBorders>
            <w:tcMar>
              <w:top w:w="100" w:type="dxa"/>
              <w:left w:w="100" w:type="dxa"/>
              <w:bottom w:w="100" w:type="dxa"/>
              <w:right w:w="100" w:type="dxa"/>
            </w:tcMar>
          </w:tcPr>
          <w:p w14:paraId="29D97B6E" w14:textId="77777777" w:rsidR="00861989" w:rsidRDefault="00861989" w:rsidP="00EA09C7">
            <w:pPr>
              <w:spacing w:before="240" w:after="240" w:line="240" w:lineRule="auto"/>
              <w:ind w:left="100"/>
              <w:jc w:val="right"/>
              <w:rPr>
                <w:sz w:val="20"/>
                <w:szCs w:val="20"/>
              </w:rPr>
            </w:pPr>
            <w:r>
              <w:rPr>
                <w:sz w:val="20"/>
                <w:szCs w:val="20"/>
              </w:rPr>
              <w:t>X.X</w:t>
            </w:r>
          </w:p>
        </w:tc>
        <w:tc>
          <w:tcPr>
            <w:tcW w:w="744" w:type="dxa"/>
            <w:tcBorders>
              <w:top w:val="nil"/>
              <w:left w:val="nil"/>
              <w:bottom w:val="single" w:sz="8" w:space="0" w:color="000000"/>
              <w:right w:val="single" w:sz="8" w:space="0" w:color="000000"/>
            </w:tcBorders>
            <w:tcMar>
              <w:top w:w="100" w:type="dxa"/>
              <w:left w:w="100" w:type="dxa"/>
              <w:bottom w:w="100" w:type="dxa"/>
              <w:right w:w="100" w:type="dxa"/>
            </w:tcMar>
          </w:tcPr>
          <w:p w14:paraId="1760E5DB" w14:textId="77777777" w:rsidR="00861989" w:rsidRDefault="00861989" w:rsidP="00EA09C7">
            <w:pPr>
              <w:spacing w:before="240" w:after="240" w:line="240" w:lineRule="auto"/>
              <w:ind w:left="100"/>
              <w:jc w:val="right"/>
              <w:rPr>
                <w:sz w:val="20"/>
                <w:szCs w:val="20"/>
              </w:rPr>
            </w:pPr>
            <w:r>
              <w:rPr>
                <w:sz w:val="20"/>
                <w:szCs w:val="20"/>
              </w:rPr>
              <w:t>X.X</w:t>
            </w:r>
          </w:p>
        </w:tc>
        <w:tc>
          <w:tcPr>
            <w:tcW w:w="729" w:type="dxa"/>
            <w:tcBorders>
              <w:top w:val="nil"/>
              <w:left w:val="nil"/>
              <w:bottom w:val="single" w:sz="8" w:space="0" w:color="000000"/>
              <w:right w:val="single" w:sz="8" w:space="0" w:color="000000"/>
            </w:tcBorders>
            <w:tcMar>
              <w:top w:w="100" w:type="dxa"/>
              <w:left w:w="100" w:type="dxa"/>
              <w:bottom w:w="100" w:type="dxa"/>
              <w:right w:w="100" w:type="dxa"/>
            </w:tcMar>
          </w:tcPr>
          <w:p w14:paraId="7B5ED38E" w14:textId="77777777" w:rsidR="00861989" w:rsidRDefault="00861989" w:rsidP="00EA09C7">
            <w:pPr>
              <w:spacing w:before="240" w:after="240" w:line="240" w:lineRule="auto"/>
              <w:ind w:left="100"/>
              <w:jc w:val="right"/>
              <w:rPr>
                <w:sz w:val="20"/>
                <w:szCs w:val="20"/>
              </w:rPr>
            </w:pPr>
            <w:r>
              <w:rPr>
                <w:sz w:val="20"/>
                <w:szCs w:val="20"/>
              </w:rPr>
              <w:t>X.X</w:t>
            </w:r>
          </w:p>
        </w:tc>
        <w:tc>
          <w:tcPr>
            <w:tcW w:w="863" w:type="dxa"/>
            <w:tcBorders>
              <w:top w:val="nil"/>
              <w:left w:val="nil"/>
              <w:bottom w:val="single" w:sz="8" w:space="0" w:color="000000"/>
              <w:right w:val="single" w:sz="8" w:space="0" w:color="000000"/>
            </w:tcBorders>
            <w:tcMar>
              <w:top w:w="100" w:type="dxa"/>
              <w:left w:w="100" w:type="dxa"/>
              <w:bottom w:w="100" w:type="dxa"/>
              <w:right w:w="100" w:type="dxa"/>
            </w:tcMar>
          </w:tcPr>
          <w:p w14:paraId="7FE6D5FC"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69675D00" w14:textId="77777777" w:rsidTr="00EA09C7">
        <w:trPr>
          <w:trHeight w:val="495"/>
        </w:trPr>
        <w:tc>
          <w:tcPr>
            <w:tcW w:w="9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1C41BE" w14:textId="77777777" w:rsidR="00861989" w:rsidRDefault="00861989" w:rsidP="00EA09C7">
            <w:pPr>
              <w:spacing w:before="240" w:after="240" w:line="240" w:lineRule="auto"/>
              <w:ind w:left="100"/>
              <w:rPr>
                <w:sz w:val="20"/>
                <w:szCs w:val="20"/>
              </w:rPr>
            </w:pPr>
            <w:r>
              <w:rPr>
                <w:sz w:val="20"/>
                <w:szCs w:val="20"/>
              </w:rPr>
              <w:t>II</w:t>
            </w:r>
          </w:p>
        </w:tc>
        <w:tc>
          <w:tcPr>
            <w:tcW w:w="1101" w:type="dxa"/>
            <w:tcBorders>
              <w:top w:val="nil"/>
              <w:left w:val="nil"/>
              <w:bottom w:val="single" w:sz="8" w:space="0" w:color="000000"/>
              <w:right w:val="single" w:sz="8" w:space="0" w:color="000000"/>
            </w:tcBorders>
            <w:tcMar>
              <w:top w:w="100" w:type="dxa"/>
              <w:left w:w="100" w:type="dxa"/>
              <w:bottom w:w="100" w:type="dxa"/>
              <w:right w:w="100" w:type="dxa"/>
            </w:tcMar>
          </w:tcPr>
          <w:p w14:paraId="4512E24D" w14:textId="77777777" w:rsidR="00861989" w:rsidRDefault="00861989" w:rsidP="00EA09C7">
            <w:pPr>
              <w:spacing w:before="240" w:after="240" w:line="240" w:lineRule="auto"/>
              <w:ind w:left="100"/>
              <w:jc w:val="right"/>
              <w:rPr>
                <w:sz w:val="20"/>
                <w:szCs w:val="20"/>
              </w:rPr>
            </w:pPr>
            <w:r>
              <w:rPr>
                <w:sz w:val="20"/>
                <w:szCs w:val="20"/>
              </w:rPr>
              <w:t>X.X</w:t>
            </w:r>
          </w:p>
        </w:tc>
        <w:tc>
          <w:tcPr>
            <w:tcW w:w="744" w:type="dxa"/>
            <w:tcBorders>
              <w:top w:val="nil"/>
              <w:left w:val="nil"/>
              <w:bottom w:val="single" w:sz="8" w:space="0" w:color="000000"/>
              <w:right w:val="single" w:sz="8" w:space="0" w:color="000000"/>
            </w:tcBorders>
            <w:tcMar>
              <w:top w:w="100" w:type="dxa"/>
              <w:left w:w="100" w:type="dxa"/>
              <w:bottom w:w="100" w:type="dxa"/>
              <w:right w:w="100" w:type="dxa"/>
            </w:tcMar>
          </w:tcPr>
          <w:p w14:paraId="00807A5F" w14:textId="77777777" w:rsidR="00861989" w:rsidRDefault="00861989" w:rsidP="00EA09C7">
            <w:pPr>
              <w:spacing w:before="240" w:after="240" w:line="240" w:lineRule="auto"/>
              <w:ind w:left="100"/>
              <w:jc w:val="right"/>
              <w:rPr>
                <w:sz w:val="20"/>
                <w:szCs w:val="20"/>
              </w:rPr>
            </w:pPr>
            <w:r>
              <w:rPr>
                <w:sz w:val="20"/>
                <w:szCs w:val="20"/>
              </w:rPr>
              <w:t>X.X</w:t>
            </w:r>
          </w:p>
        </w:tc>
        <w:tc>
          <w:tcPr>
            <w:tcW w:w="729" w:type="dxa"/>
            <w:tcBorders>
              <w:top w:val="nil"/>
              <w:left w:val="nil"/>
              <w:bottom w:val="single" w:sz="8" w:space="0" w:color="000000"/>
              <w:right w:val="single" w:sz="8" w:space="0" w:color="000000"/>
            </w:tcBorders>
            <w:tcMar>
              <w:top w:w="100" w:type="dxa"/>
              <w:left w:w="100" w:type="dxa"/>
              <w:bottom w:w="100" w:type="dxa"/>
              <w:right w:w="100" w:type="dxa"/>
            </w:tcMar>
          </w:tcPr>
          <w:p w14:paraId="5BE32C2F" w14:textId="77777777" w:rsidR="00861989" w:rsidRDefault="00861989" w:rsidP="00EA09C7">
            <w:pPr>
              <w:spacing w:before="240" w:after="240" w:line="240" w:lineRule="auto"/>
              <w:ind w:left="100"/>
              <w:jc w:val="right"/>
              <w:rPr>
                <w:sz w:val="20"/>
                <w:szCs w:val="20"/>
              </w:rPr>
            </w:pPr>
            <w:r>
              <w:rPr>
                <w:sz w:val="20"/>
                <w:szCs w:val="20"/>
              </w:rPr>
              <w:t>X.X</w:t>
            </w:r>
          </w:p>
        </w:tc>
        <w:tc>
          <w:tcPr>
            <w:tcW w:w="1339" w:type="dxa"/>
            <w:tcBorders>
              <w:top w:val="nil"/>
              <w:left w:val="nil"/>
              <w:bottom w:val="single" w:sz="8" w:space="0" w:color="000000"/>
              <w:right w:val="single" w:sz="8" w:space="0" w:color="000000"/>
            </w:tcBorders>
            <w:tcMar>
              <w:top w:w="100" w:type="dxa"/>
              <w:left w:w="100" w:type="dxa"/>
              <w:bottom w:w="100" w:type="dxa"/>
              <w:right w:w="100" w:type="dxa"/>
            </w:tcMar>
          </w:tcPr>
          <w:p w14:paraId="3522DE38" w14:textId="77777777" w:rsidR="00861989" w:rsidRDefault="00861989" w:rsidP="00EA09C7">
            <w:pPr>
              <w:spacing w:before="240" w:after="240" w:line="240" w:lineRule="auto"/>
              <w:ind w:left="100"/>
              <w:jc w:val="right"/>
              <w:rPr>
                <w:sz w:val="20"/>
                <w:szCs w:val="20"/>
              </w:rPr>
            </w:pPr>
            <w:r>
              <w:rPr>
                <w:sz w:val="20"/>
                <w:szCs w:val="20"/>
              </w:rPr>
              <w:t>X.X</w:t>
            </w:r>
          </w:p>
        </w:tc>
        <w:tc>
          <w:tcPr>
            <w:tcW w:w="729" w:type="dxa"/>
            <w:tcBorders>
              <w:top w:val="nil"/>
              <w:left w:val="nil"/>
              <w:bottom w:val="single" w:sz="8" w:space="0" w:color="000000"/>
              <w:right w:val="single" w:sz="8" w:space="0" w:color="000000"/>
            </w:tcBorders>
            <w:tcMar>
              <w:top w:w="100" w:type="dxa"/>
              <w:left w:w="100" w:type="dxa"/>
              <w:bottom w:w="100" w:type="dxa"/>
              <w:right w:w="100" w:type="dxa"/>
            </w:tcMar>
          </w:tcPr>
          <w:p w14:paraId="15B3D2CD" w14:textId="77777777" w:rsidR="00861989" w:rsidRDefault="00861989" w:rsidP="00EA09C7">
            <w:pPr>
              <w:spacing w:before="240" w:after="240" w:line="240" w:lineRule="auto"/>
              <w:ind w:left="100"/>
              <w:jc w:val="right"/>
              <w:rPr>
                <w:sz w:val="20"/>
                <w:szCs w:val="20"/>
              </w:rPr>
            </w:pPr>
            <w:r>
              <w:rPr>
                <w:sz w:val="20"/>
                <w:szCs w:val="20"/>
              </w:rPr>
              <w:t>X.X</w:t>
            </w:r>
          </w:p>
        </w:tc>
        <w:tc>
          <w:tcPr>
            <w:tcW w:w="714" w:type="dxa"/>
            <w:tcBorders>
              <w:top w:val="nil"/>
              <w:left w:val="nil"/>
              <w:bottom w:val="single" w:sz="8" w:space="0" w:color="000000"/>
              <w:right w:val="single" w:sz="8" w:space="0" w:color="000000"/>
            </w:tcBorders>
            <w:tcMar>
              <w:top w:w="100" w:type="dxa"/>
              <w:left w:w="100" w:type="dxa"/>
              <w:bottom w:w="100" w:type="dxa"/>
              <w:right w:w="100" w:type="dxa"/>
            </w:tcMar>
          </w:tcPr>
          <w:p w14:paraId="2EAACEC0" w14:textId="77777777" w:rsidR="00861989" w:rsidRDefault="00861989" w:rsidP="00EA09C7">
            <w:pPr>
              <w:spacing w:before="240" w:after="240" w:line="240" w:lineRule="auto"/>
              <w:ind w:left="100"/>
              <w:jc w:val="right"/>
              <w:rPr>
                <w:sz w:val="20"/>
                <w:szCs w:val="20"/>
              </w:rPr>
            </w:pPr>
            <w:r>
              <w:rPr>
                <w:sz w:val="20"/>
                <w:szCs w:val="20"/>
              </w:rPr>
              <w:t>X.X</w:t>
            </w:r>
          </w:p>
        </w:tc>
        <w:tc>
          <w:tcPr>
            <w:tcW w:w="758" w:type="dxa"/>
            <w:tcBorders>
              <w:top w:val="nil"/>
              <w:left w:val="nil"/>
              <w:bottom w:val="single" w:sz="8" w:space="0" w:color="000000"/>
              <w:right w:val="single" w:sz="8" w:space="0" w:color="000000"/>
            </w:tcBorders>
            <w:tcMar>
              <w:top w:w="100" w:type="dxa"/>
              <w:left w:w="100" w:type="dxa"/>
              <w:bottom w:w="100" w:type="dxa"/>
              <w:right w:w="100" w:type="dxa"/>
            </w:tcMar>
          </w:tcPr>
          <w:p w14:paraId="69CA7224" w14:textId="77777777" w:rsidR="00861989" w:rsidRDefault="00861989" w:rsidP="00EA09C7">
            <w:pPr>
              <w:spacing w:before="240" w:after="240" w:line="240" w:lineRule="auto"/>
              <w:ind w:left="100"/>
              <w:jc w:val="right"/>
              <w:rPr>
                <w:sz w:val="20"/>
                <w:szCs w:val="20"/>
              </w:rPr>
            </w:pPr>
            <w:r>
              <w:rPr>
                <w:sz w:val="20"/>
                <w:szCs w:val="20"/>
              </w:rPr>
              <w:t>X.X</w:t>
            </w:r>
          </w:p>
        </w:tc>
        <w:tc>
          <w:tcPr>
            <w:tcW w:w="744" w:type="dxa"/>
            <w:tcBorders>
              <w:top w:val="nil"/>
              <w:left w:val="nil"/>
              <w:bottom w:val="single" w:sz="8" w:space="0" w:color="000000"/>
              <w:right w:val="single" w:sz="8" w:space="0" w:color="000000"/>
            </w:tcBorders>
            <w:tcMar>
              <w:top w:w="100" w:type="dxa"/>
              <w:left w:w="100" w:type="dxa"/>
              <w:bottom w:w="100" w:type="dxa"/>
              <w:right w:w="100" w:type="dxa"/>
            </w:tcMar>
          </w:tcPr>
          <w:p w14:paraId="1689B97B" w14:textId="77777777" w:rsidR="00861989" w:rsidRDefault="00861989" w:rsidP="00EA09C7">
            <w:pPr>
              <w:spacing w:before="240" w:after="240" w:line="240" w:lineRule="auto"/>
              <w:ind w:left="100"/>
              <w:jc w:val="right"/>
              <w:rPr>
                <w:sz w:val="20"/>
                <w:szCs w:val="20"/>
              </w:rPr>
            </w:pPr>
            <w:r>
              <w:rPr>
                <w:sz w:val="20"/>
                <w:szCs w:val="20"/>
              </w:rPr>
              <w:t>X.X</w:t>
            </w:r>
          </w:p>
        </w:tc>
        <w:tc>
          <w:tcPr>
            <w:tcW w:w="729" w:type="dxa"/>
            <w:tcBorders>
              <w:top w:val="nil"/>
              <w:left w:val="nil"/>
              <w:bottom w:val="single" w:sz="8" w:space="0" w:color="000000"/>
              <w:right w:val="single" w:sz="8" w:space="0" w:color="000000"/>
            </w:tcBorders>
            <w:tcMar>
              <w:top w:w="100" w:type="dxa"/>
              <w:left w:w="100" w:type="dxa"/>
              <w:bottom w:w="100" w:type="dxa"/>
              <w:right w:w="100" w:type="dxa"/>
            </w:tcMar>
          </w:tcPr>
          <w:p w14:paraId="3C9D5476" w14:textId="77777777" w:rsidR="00861989" w:rsidRDefault="00861989" w:rsidP="00EA09C7">
            <w:pPr>
              <w:spacing w:before="240" w:after="240" w:line="240" w:lineRule="auto"/>
              <w:ind w:left="100"/>
              <w:jc w:val="right"/>
              <w:rPr>
                <w:sz w:val="20"/>
                <w:szCs w:val="20"/>
              </w:rPr>
            </w:pPr>
            <w:r>
              <w:rPr>
                <w:sz w:val="20"/>
                <w:szCs w:val="20"/>
              </w:rPr>
              <w:t>X.X</w:t>
            </w:r>
          </w:p>
        </w:tc>
        <w:tc>
          <w:tcPr>
            <w:tcW w:w="863" w:type="dxa"/>
            <w:tcBorders>
              <w:top w:val="nil"/>
              <w:left w:val="nil"/>
              <w:bottom w:val="single" w:sz="8" w:space="0" w:color="000000"/>
              <w:right w:val="single" w:sz="8" w:space="0" w:color="000000"/>
            </w:tcBorders>
            <w:tcMar>
              <w:top w:w="100" w:type="dxa"/>
              <w:left w:w="100" w:type="dxa"/>
              <w:bottom w:w="100" w:type="dxa"/>
              <w:right w:w="100" w:type="dxa"/>
            </w:tcMar>
          </w:tcPr>
          <w:p w14:paraId="7ABE1638"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16075695" w14:textId="77777777" w:rsidTr="00EA09C7">
        <w:trPr>
          <w:trHeight w:val="495"/>
        </w:trPr>
        <w:tc>
          <w:tcPr>
            <w:tcW w:w="9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67B02D" w14:textId="77777777" w:rsidR="00861989" w:rsidRDefault="00861989" w:rsidP="00EA09C7">
            <w:pPr>
              <w:spacing w:before="240" w:after="240" w:line="240" w:lineRule="auto"/>
              <w:ind w:left="100"/>
              <w:rPr>
                <w:sz w:val="20"/>
                <w:szCs w:val="20"/>
              </w:rPr>
            </w:pPr>
            <w:r>
              <w:rPr>
                <w:sz w:val="20"/>
                <w:szCs w:val="20"/>
              </w:rPr>
              <w:t>III</w:t>
            </w:r>
          </w:p>
        </w:tc>
        <w:tc>
          <w:tcPr>
            <w:tcW w:w="1101" w:type="dxa"/>
            <w:tcBorders>
              <w:top w:val="nil"/>
              <w:left w:val="nil"/>
              <w:bottom w:val="single" w:sz="8" w:space="0" w:color="000000"/>
              <w:right w:val="single" w:sz="8" w:space="0" w:color="000000"/>
            </w:tcBorders>
            <w:tcMar>
              <w:top w:w="100" w:type="dxa"/>
              <w:left w:w="100" w:type="dxa"/>
              <w:bottom w:w="100" w:type="dxa"/>
              <w:right w:w="100" w:type="dxa"/>
            </w:tcMar>
          </w:tcPr>
          <w:p w14:paraId="4DDE8CC2" w14:textId="77777777" w:rsidR="00861989" w:rsidRDefault="00861989" w:rsidP="00EA09C7">
            <w:pPr>
              <w:spacing w:before="240" w:after="240" w:line="240" w:lineRule="auto"/>
              <w:ind w:left="100"/>
              <w:jc w:val="right"/>
              <w:rPr>
                <w:sz w:val="20"/>
                <w:szCs w:val="20"/>
              </w:rPr>
            </w:pPr>
            <w:r>
              <w:rPr>
                <w:sz w:val="20"/>
                <w:szCs w:val="20"/>
              </w:rPr>
              <w:t>X.X</w:t>
            </w:r>
          </w:p>
        </w:tc>
        <w:tc>
          <w:tcPr>
            <w:tcW w:w="744" w:type="dxa"/>
            <w:tcBorders>
              <w:top w:val="nil"/>
              <w:left w:val="nil"/>
              <w:bottom w:val="single" w:sz="8" w:space="0" w:color="000000"/>
              <w:right w:val="single" w:sz="8" w:space="0" w:color="000000"/>
            </w:tcBorders>
            <w:tcMar>
              <w:top w:w="100" w:type="dxa"/>
              <w:left w:w="100" w:type="dxa"/>
              <w:bottom w:w="100" w:type="dxa"/>
              <w:right w:w="100" w:type="dxa"/>
            </w:tcMar>
          </w:tcPr>
          <w:p w14:paraId="6DCAC338" w14:textId="77777777" w:rsidR="00861989" w:rsidRDefault="00861989" w:rsidP="00EA09C7">
            <w:pPr>
              <w:spacing w:before="240" w:after="240" w:line="240" w:lineRule="auto"/>
              <w:ind w:left="100"/>
              <w:jc w:val="right"/>
              <w:rPr>
                <w:sz w:val="20"/>
                <w:szCs w:val="20"/>
              </w:rPr>
            </w:pPr>
            <w:r>
              <w:rPr>
                <w:sz w:val="20"/>
                <w:szCs w:val="20"/>
              </w:rPr>
              <w:t>X.X</w:t>
            </w:r>
          </w:p>
        </w:tc>
        <w:tc>
          <w:tcPr>
            <w:tcW w:w="729" w:type="dxa"/>
            <w:tcBorders>
              <w:top w:val="nil"/>
              <w:left w:val="nil"/>
              <w:bottom w:val="single" w:sz="8" w:space="0" w:color="000000"/>
              <w:right w:val="single" w:sz="8" w:space="0" w:color="000000"/>
            </w:tcBorders>
            <w:tcMar>
              <w:top w:w="100" w:type="dxa"/>
              <w:left w:w="100" w:type="dxa"/>
              <w:bottom w:w="100" w:type="dxa"/>
              <w:right w:w="100" w:type="dxa"/>
            </w:tcMar>
          </w:tcPr>
          <w:p w14:paraId="16B025E5" w14:textId="77777777" w:rsidR="00861989" w:rsidRDefault="00861989" w:rsidP="00EA09C7">
            <w:pPr>
              <w:spacing w:before="240" w:after="240" w:line="240" w:lineRule="auto"/>
              <w:ind w:left="100"/>
              <w:jc w:val="right"/>
              <w:rPr>
                <w:sz w:val="20"/>
                <w:szCs w:val="20"/>
              </w:rPr>
            </w:pPr>
            <w:r>
              <w:rPr>
                <w:sz w:val="20"/>
                <w:szCs w:val="20"/>
              </w:rPr>
              <w:t>X.X</w:t>
            </w:r>
          </w:p>
        </w:tc>
        <w:tc>
          <w:tcPr>
            <w:tcW w:w="1339" w:type="dxa"/>
            <w:tcBorders>
              <w:top w:val="nil"/>
              <w:left w:val="nil"/>
              <w:bottom w:val="single" w:sz="8" w:space="0" w:color="000000"/>
              <w:right w:val="single" w:sz="8" w:space="0" w:color="000000"/>
            </w:tcBorders>
            <w:tcMar>
              <w:top w:w="100" w:type="dxa"/>
              <w:left w:w="100" w:type="dxa"/>
              <w:bottom w:w="100" w:type="dxa"/>
              <w:right w:w="100" w:type="dxa"/>
            </w:tcMar>
          </w:tcPr>
          <w:p w14:paraId="7EAA810E" w14:textId="77777777" w:rsidR="00861989" w:rsidRDefault="00861989" w:rsidP="00EA09C7">
            <w:pPr>
              <w:spacing w:before="240" w:after="240" w:line="240" w:lineRule="auto"/>
              <w:ind w:left="100"/>
              <w:jc w:val="right"/>
              <w:rPr>
                <w:sz w:val="20"/>
                <w:szCs w:val="20"/>
              </w:rPr>
            </w:pPr>
            <w:r>
              <w:rPr>
                <w:sz w:val="20"/>
                <w:szCs w:val="20"/>
              </w:rPr>
              <w:t>X.X</w:t>
            </w:r>
          </w:p>
        </w:tc>
        <w:tc>
          <w:tcPr>
            <w:tcW w:w="729" w:type="dxa"/>
            <w:tcBorders>
              <w:top w:val="nil"/>
              <w:left w:val="nil"/>
              <w:bottom w:val="single" w:sz="8" w:space="0" w:color="000000"/>
              <w:right w:val="single" w:sz="8" w:space="0" w:color="000000"/>
            </w:tcBorders>
            <w:tcMar>
              <w:top w:w="100" w:type="dxa"/>
              <w:left w:w="100" w:type="dxa"/>
              <w:bottom w:w="100" w:type="dxa"/>
              <w:right w:w="100" w:type="dxa"/>
            </w:tcMar>
          </w:tcPr>
          <w:p w14:paraId="6E25DF22" w14:textId="77777777" w:rsidR="00861989" w:rsidRDefault="00861989" w:rsidP="00EA09C7">
            <w:pPr>
              <w:spacing w:before="240" w:after="240" w:line="240" w:lineRule="auto"/>
              <w:ind w:left="100"/>
              <w:jc w:val="right"/>
              <w:rPr>
                <w:sz w:val="20"/>
                <w:szCs w:val="20"/>
              </w:rPr>
            </w:pPr>
            <w:r>
              <w:rPr>
                <w:sz w:val="20"/>
                <w:szCs w:val="20"/>
              </w:rPr>
              <w:t>X.X</w:t>
            </w:r>
          </w:p>
        </w:tc>
        <w:tc>
          <w:tcPr>
            <w:tcW w:w="714" w:type="dxa"/>
            <w:tcBorders>
              <w:top w:val="nil"/>
              <w:left w:val="nil"/>
              <w:bottom w:val="single" w:sz="8" w:space="0" w:color="000000"/>
              <w:right w:val="single" w:sz="8" w:space="0" w:color="000000"/>
            </w:tcBorders>
            <w:tcMar>
              <w:top w:w="100" w:type="dxa"/>
              <w:left w:w="100" w:type="dxa"/>
              <w:bottom w:w="100" w:type="dxa"/>
              <w:right w:w="100" w:type="dxa"/>
            </w:tcMar>
          </w:tcPr>
          <w:p w14:paraId="3DEE0EAB" w14:textId="77777777" w:rsidR="00861989" w:rsidRDefault="00861989" w:rsidP="00EA09C7">
            <w:pPr>
              <w:spacing w:before="240" w:after="240" w:line="240" w:lineRule="auto"/>
              <w:ind w:left="100"/>
              <w:jc w:val="right"/>
              <w:rPr>
                <w:sz w:val="20"/>
                <w:szCs w:val="20"/>
              </w:rPr>
            </w:pPr>
            <w:r>
              <w:rPr>
                <w:sz w:val="20"/>
                <w:szCs w:val="20"/>
              </w:rPr>
              <w:t>X.X</w:t>
            </w:r>
          </w:p>
        </w:tc>
        <w:tc>
          <w:tcPr>
            <w:tcW w:w="758" w:type="dxa"/>
            <w:tcBorders>
              <w:top w:val="nil"/>
              <w:left w:val="nil"/>
              <w:bottom w:val="single" w:sz="8" w:space="0" w:color="000000"/>
              <w:right w:val="single" w:sz="8" w:space="0" w:color="000000"/>
            </w:tcBorders>
            <w:tcMar>
              <w:top w:w="100" w:type="dxa"/>
              <w:left w:w="100" w:type="dxa"/>
              <w:bottom w:w="100" w:type="dxa"/>
              <w:right w:w="100" w:type="dxa"/>
            </w:tcMar>
          </w:tcPr>
          <w:p w14:paraId="70B57E93" w14:textId="77777777" w:rsidR="00861989" w:rsidRDefault="00861989" w:rsidP="00EA09C7">
            <w:pPr>
              <w:spacing w:before="240" w:after="240" w:line="240" w:lineRule="auto"/>
              <w:ind w:left="100"/>
              <w:jc w:val="right"/>
              <w:rPr>
                <w:sz w:val="20"/>
                <w:szCs w:val="20"/>
              </w:rPr>
            </w:pPr>
            <w:r>
              <w:rPr>
                <w:sz w:val="20"/>
                <w:szCs w:val="20"/>
              </w:rPr>
              <w:t>X.X</w:t>
            </w:r>
          </w:p>
        </w:tc>
        <w:tc>
          <w:tcPr>
            <w:tcW w:w="744" w:type="dxa"/>
            <w:tcBorders>
              <w:top w:val="nil"/>
              <w:left w:val="nil"/>
              <w:bottom w:val="single" w:sz="8" w:space="0" w:color="000000"/>
              <w:right w:val="single" w:sz="8" w:space="0" w:color="000000"/>
            </w:tcBorders>
            <w:tcMar>
              <w:top w:w="100" w:type="dxa"/>
              <w:left w:w="100" w:type="dxa"/>
              <w:bottom w:w="100" w:type="dxa"/>
              <w:right w:w="100" w:type="dxa"/>
            </w:tcMar>
          </w:tcPr>
          <w:p w14:paraId="7DC5C00A" w14:textId="77777777" w:rsidR="00861989" w:rsidRDefault="00861989" w:rsidP="00EA09C7">
            <w:pPr>
              <w:spacing w:before="240" w:after="240" w:line="240" w:lineRule="auto"/>
              <w:ind w:left="100"/>
              <w:jc w:val="right"/>
              <w:rPr>
                <w:sz w:val="20"/>
                <w:szCs w:val="20"/>
              </w:rPr>
            </w:pPr>
            <w:r>
              <w:rPr>
                <w:sz w:val="20"/>
                <w:szCs w:val="20"/>
              </w:rPr>
              <w:t>X.X</w:t>
            </w:r>
          </w:p>
        </w:tc>
        <w:tc>
          <w:tcPr>
            <w:tcW w:w="729" w:type="dxa"/>
            <w:tcBorders>
              <w:top w:val="nil"/>
              <w:left w:val="nil"/>
              <w:bottom w:val="single" w:sz="8" w:space="0" w:color="000000"/>
              <w:right w:val="single" w:sz="8" w:space="0" w:color="000000"/>
            </w:tcBorders>
            <w:tcMar>
              <w:top w:w="100" w:type="dxa"/>
              <w:left w:w="100" w:type="dxa"/>
              <w:bottom w:w="100" w:type="dxa"/>
              <w:right w:w="100" w:type="dxa"/>
            </w:tcMar>
          </w:tcPr>
          <w:p w14:paraId="26653C8A" w14:textId="77777777" w:rsidR="00861989" w:rsidRDefault="00861989" w:rsidP="00EA09C7">
            <w:pPr>
              <w:spacing w:before="240" w:after="240" w:line="240" w:lineRule="auto"/>
              <w:ind w:left="100"/>
              <w:jc w:val="right"/>
              <w:rPr>
                <w:sz w:val="20"/>
                <w:szCs w:val="20"/>
              </w:rPr>
            </w:pPr>
            <w:r>
              <w:rPr>
                <w:sz w:val="20"/>
                <w:szCs w:val="20"/>
              </w:rPr>
              <w:t>X.X</w:t>
            </w:r>
          </w:p>
        </w:tc>
        <w:tc>
          <w:tcPr>
            <w:tcW w:w="863" w:type="dxa"/>
            <w:tcBorders>
              <w:top w:val="nil"/>
              <w:left w:val="nil"/>
              <w:bottom w:val="single" w:sz="8" w:space="0" w:color="000000"/>
              <w:right w:val="single" w:sz="8" w:space="0" w:color="000000"/>
            </w:tcBorders>
            <w:tcMar>
              <w:top w:w="100" w:type="dxa"/>
              <w:left w:w="100" w:type="dxa"/>
              <w:bottom w:w="100" w:type="dxa"/>
              <w:right w:w="100" w:type="dxa"/>
            </w:tcMar>
          </w:tcPr>
          <w:p w14:paraId="14D04C2F"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7394DB37" w14:textId="77777777" w:rsidTr="00EA09C7">
        <w:trPr>
          <w:trHeight w:val="495"/>
        </w:trPr>
        <w:tc>
          <w:tcPr>
            <w:tcW w:w="9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914BC0" w14:textId="77777777" w:rsidR="00861989" w:rsidRDefault="00861989" w:rsidP="00EA09C7">
            <w:pPr>
              <w:spacing w:before="240" w:after="240" w:line="240" w:lineRule="auto"/>
              <w:ind w:left="100"/>
              <w:rPr>
                <w:sz w:val="20"/>
                <w:szCs w:val="20"/>
              </w:rPr>
            </w:pPr>
            <w:r>
              <w:rPr>
                <w:sz w:val="20"/>
                <w:szCs w:val="20"/>
              </w:rPr>
              <w:t>IV</w:t>
            </w:r>
          </w:p>
        </w:tc>
        <w:tc>
          <w:tcPr>
            <w:tcW w:w="1101" w:type="dxa"/>
            <w:tcBorders>
              <w:top w:val="nil"/>
              <w:left w:val="nil"/>
              <w:bottom w:val="single" w:sz="8" w:space="0" w:color="000000"/>
              <w:right w:val="single" w:sz="8" w:space="0" w:color="000000"/>
            </w:tcBorders>
            <w:tcMar>
              <w:top w:w="100" w:type="dxa"/>
              <w:left w:w="100" w:type="dxa"/>
              <w:bottom w:w="100" w:type="dxa"/>
              <w:right w:w="100" w:type="dxa"/>
            </w:tcMar>
          </w:tcPr>
          <w:p w14:paraId="0B13D261" w14:textId="77777777" w:rsidR="00861989" w:rsidRDefault="00861989" w:rsidP="00EA09C7">
            <w:pPr>
              <w:spacing w:before="240" w:after="240" w:line="240" w:lineRule="auto"/>
              <w:ind w:left="100"/>
              <w:jc w:val="right"/>
              <w:rPr>
                <w:sz w:val="20"/>
                <w:szCs w:val="20"/>
              </w:rPr>
            </w:pPr>
            <w:r>
              <w:rPr>
                <w:sz w:val="20"/>
                <w:szCs w:val="20"/>
              </w:rPr>
              <w:t>X.X</w:t>
            </w:r>
          </w:p>
        </w:tc>
        <w:tc>
          <w:tcPr>
            <w:tcW w:w="744" w:type="dxa"/>
            <w:tcBorders>
              <w:top w:val="nil"/>
              <w:left w:val="nil"/>
              <w:bottom w:val="single" w:sz="8" w:space="0" w:color="000000"/>
              <w:right w:val="single" w:sz="8" w:space="0" w:color="000000"/>
            </w:tcBorders>
            <w:tcMar>
              <w:top w:w="100" w:type="dxa"/>
              <w:left w:w="100" w:type="dxa"/>
              <w:bottom w:w="100" w:type="dxa"/>
              <w:right w:w="100" w:type="dxa"/>
            </w:tcMar>
          </w:tcPr>
          <w:p w14:paraId="127A8D9C" w14:textId="77777777" w:rsidR="00861989" w:rsidRDefault="00861989" w:rsidP="00EA09C7">
            <w:pPr>
              <w:spacing w:before="240" w:after="240" w:line="240" w:lineRule="auto"/>
              <w:ind w:left="100"/>
              <w:jc w:val="right"/>
              <w:rPr>
                <w:sz w:val="20"/>
                <w:szCs w:val="20"/>
              </w:rPr>
            </w:pPr>
            <w:r>
              <w:rPr>
                <w:sz w:val="20"/>
                <w:szCs w:val="20"/>
              </w:rPr>
              <w:t>X.X</w:t>
            </w:r>
          </w:p>
        </w:tc>
        <w:tc>
          <w:tcPr>
            <w:tcW w:w="729" w:type="dxa"/>
            <w:tcBorders>
              <w:top w:val="nil"/>
              <w:left w:val="nil"/>
              <w:bottom w:val="single" w:sz="8" w:space="0" w:color="000000"/>
              <w:right w:val="single" w:sz="8" w:space="0" w:color="000000"/>
            </w:tcBorders>
            <w:tcMar>
              <w:top w:w="100" w:type="dxa"/>
              <w:left w:w="100" w:type="dxa"/>
              <w:bottom w:w="100" w:type="dxa"/>
              <w:right w:w="100" w:type="dxa"/>
            </w:tcMar>
          </w:tcPr>
          <w:p w14:paraId="02976042" w14:textId="77777777" w:rsidR="00861989" w:rsidRDefault="00861989" w:rsidP="00EA09C7">
            <w:pPr>
              <w:spacing w:before="240" w:after="240" w:line="240" w:lineRule="auto"/>
              <w:ind w:left="100"/>
              <w:jc w:val="right"/>
              <w:rPr>
                <w:sz w:val="20"/>
                <w:szCs w:val="20"/>
              </w:rPr>
            </w:pPr>
            <w:r>
              <w:rPr>
                <w:sz w:val="20"/>
                <w:szCs w:val="20"/>
              </w:rPr>
              <w:t>X.X</w:t>
            </w:r>
          </w:p>
        </w:tc>
        <w:tc>
          <w:tcPr>
            <w:tcW w:w="1339" w:type="dxa"/>
            <w:tcBorders>
              <w:top w:val="nil"/>
              <w:left w:val="nil"/>
              <w:bottom w:val="single" w:sz="8" w:space="0" w:color="000000"/>
              <w:right w:val="single" w:sz="8" w:space="0" w:color="000000"/>
            </w:tcBorders>
            <w:tcMar>
              <w:top w:w="100" w:type="dxa"/>
              <w:left w:w="100" w:type="dxa"/>
              <w:bottom w:w="100" w:type="dxa"/>
              <w:right w:w="100" w:type="dxa"/>
            </w:tcMar>
          </w:tcPr>
          <w:p w14:paraId="04547B81" w14:textId="77777777" w:rsidR="00861989" w:rsidRDefault="00861989" w:rsidP="00EA09C7">
            <w:pPr>
              <w:spacing w:before="240" w:after="240" w:line="240" w:lineRule="auto"/>
              <w:ind w:left="100"/>
              <w:jc w:val="right"/>
              <w:rPr>
                <w:sz w:val="20"/>
                <w:szCs w:val="20"/>
              </w:rPr>
            </w:pPr>
            <w:r>
              <w:rPr>
                <w:sz w:val="20"/>
                <w:szCs w:val="20"/>
              </w:rPr>
              <w:t>X.X</w:t>
            </w:r>
          </w:p>
        </w:tc>
        <w:tc>
          <w:tcPr>
            <w:tcW w:w="729" w:type="dxa"/>
            <w:tcBorders>
              <w:top w:val="nil"/>
              <w:left w:val="nil"/>
              <w:bottom w:val="single" w:sz="8" w:space="0" w:color="000000"/>
              <w:right w:val="single" w:sz="8" w:space="0" w:color="000000"/>
            </w:tcBorders>
            <w:tcMar>
              <w:top w:w="100" w:type="dxa"/>
              <w:left w:w="100" w:type="dxa"/>
              <w:bottom w:w="100" w:type="dxa"/>
              <w:right w:w="100" w:type="dxa"/>
            </w:tcMar>
          </w:tcPr>
          <w:p w14:paraId="3812A7D5" w14:textId="77777777" w:rsidR="00861989" w:rsidRDefault="00861989" w:rsidP="00EA09C7">
            <w:pPr>
              <w:spacing w:before="240" w:after="240" w:line="240" w:lineRule="auto"/>
              <w:ind w:left="100"/>
              <w:jc w:val="right"/>
              <w:rPr>
                <w:sz w:val="20"/>
                <w:szCs w:val="20"/>
              </w:rPr>
            </w:pPr>
            <w:r>
              <w:rPr>
                <w:sz w:val="20"/>
                <w:szCs w:val="20"/>
              </w:rPr>
              <w:t>X.X</w:t>
            </w:r>
          </w:p>
        </w:tc>
        <w:tc>
          <w:tcPr>
            <w:tcW w:w="714" w:type="dxa"/>
            <w:tcBorders>
              <w:top w:val="nil"/>
              <w:left w:val="nil"/>
              <w:bottom w:val="single" w:sz="8" w:space="0" w:color="000000"/>
              <w:right w:val="single" w:sz="8" w:space="0" w:color="000000"/>
            </w:tcBorders>
            <w:tcMar>
              <w:top w:w="100" w:type="dxa"/>
              <w:left w:w="100" w:type="dxa"/>
              <w:bottom w:w="100" w:type="dxa"/>
              <w:right w:w="100" w:type="dxa"/>
            </w:tcMar>
          </w:tcPr>
          <w:p w14:paraId="3EBD680B" w14:textId="77777777" w:rsidR="00861989" w:rsidRDefault="00861989" w:rsidP="00EA09C7">
            <w:pPr>
              <w:spacing w:before="240" w:after="240" w:line="240" w:lineRule="auto"/>
              <w:ind w:left="100"/>
              <w:jc w:val="right"/>
              <w:rPr>
                <w:sz w:val="20"/>
                <w:szCs w:val="20"/>
              </w:rPr>
            </w:pPr>
            <w:r>
              <w:rPr>
                <w:sz w:val="20"/>
                <w:szCs w:val="20"/>
              </w:rPr>
              <w:t>X.X</w:t>
            </w:r>
          </w:p>
        </w:tc>
        <w:tc>
          <w:tcPr>
            <w:tcW w:w="758" w:type="dxa"/>
            <w:tcBorders>
              <w:top w:val="nil"/>
              <w:left w:val="nil"/>
              <w:bottom w:val="single" w:sz="8" w:space="0" w:color="000000"/>
              <w:right w:val="single" w:sz="8" w:space="0" w:color="000000"/>
            </w:tcBorders>
            <w:tcMar>
              <w:top w:w="100" w:type="dxa"/>
              <w:left w:w="100" w:type="dxa"/>
              <w:bottom w:w="100" w:type="dxa"/>
              <w:right w:w="100" w:type="dxa"/>
            </w:tcMar>
          </w:tcPr>
          <w:p w14:paraId="034D381B" w14:textId="77777777" w:rsidR="00861989" w:rsidRDefault="00861989" w:rsidP="00EA09C7">
            <w:pPr>
              <w:spacing w:before="240" w:after="240" w:line="240" w:lineRule="auto"/>
              <w:ind w:left="100"/>
              <w:jc w:val="right"/>
              <w:rPr>
                <w:sz w:val="20"/>
                <w:szCs w:val="20"/>
              </w:rPr>
            </w:pPr>
            <w:r>
              <w:rPr>
                <w:sz w:val="20"/>
                <w:szCs w:val="20"/>
              </w:rPr>
              <w:t>X.X</w:t>
            </w:r>
          </w:p>
        </w:tc>
        <w:tc>
          <w:tcPr>
            <w:tcW w:w="744" w:type="dxa"/>
            <w:tcBorders>
              <w:top w:val="nil"/>
              <w:left w:val="nil"/>
              <w:bottom w:val="single" w:sz="8" w:space="0" w:color="000000"/>
              <w:right w:val="single" w:sz="8" w:space="0" w:color="000000"/>
            </w:tcBorders>
            <w:tcMar>
              <w:top w:w="100" w:type="dxa"/>
              <w:left w:w="100" w:type="dxa"/>
              <w:bottom w:w="100" w:type="dxa"/>
              <w:right w:w="100" w:type="dxa"/>
            </w:tcMar>
          </w:tcPr>
          <w:p w14:paraId="446E0993" w14:textId="77777777" w:rsidR="00861989" w:rsidRDefault="00861989" w:rsidP="00EA09C7">
            <w:pPr>
              <w:spacing w:before="240" w:after="240" w:line="240" w:lineRule="auto"/>
              <w:ind w:left="100"/>
              <w:jc w:val="right"/>
              <w:rPr>
                <w:sz w:val="20"/>
                <w:szCs w:val="20"/>
              </w:rPr>
            </w:pPr>
            <w:r>
              <w:rPr>
                <w:sz w:val="20"/>
                <w:szCs w:val="20"/>
              </w:rPr>
              <w:t>X.X</w:t>
            </w:r>
          </w:p>
        </w:tc>
        <w:tc>
          <w:tcPr>
            <w:tcW w:w="729" w:type="dxa"/>
            <w:tcBorders>
              <w:top w:val="nil"/>
              <w:left w:val="nil"/>
              <w:bottom w:val="single" w:sz="8" w:space="0" w:color="000000"/>
              <w:right w:val="single" w:sz="8" w:space="0" w:color="000000"/>
            </w:tcBorders>
            <w:tcMar>
              <w:top w:w="100" w:type="dxa"/>
              <w:left w:w="100" w:type="dxa"/>
              <w:bottom w:w="100" w:type="dxa"/>
              <w:right w:w="100" w:type="dxa"/>
            </w:tcMar>
          </w:tcPr>
          <w:p w14:paraId="4C7214DC" w14:textId="77777777" w:rsidR="00861989" w:rsidRDefault="00861989" w:rsidP="00EA09C7">
            <w:pPr>
              <w:spacing w:before="240" w:after="240" w:line="240" w:lineRule="auto"/>
              <w:ind w:left="100"/>
              <w:jc w:val="right"/>
              <w:rPr>
                <w:sz w:val="20"/>
                <w:szCs w:val="20"/>
              </w:rPr>
            </w:pPr>
            <w:r>
              <w:rPr>
                <w:sz w:val="20"/>
                <w:szCs w:val="20"/>
              </w:rPr>
              <w:t>X.X</w:t>
            </w:r>
          </w:p>
        </w:tc>
        <w:tc>
          <w:tcPr>
            <w:tcW w:w="863" w:type="dxa"/>
            <w:tcBorders>
              <w:top w:val="nil"/>
              <w:left w:val="nil"/>
              <w:bottom w:val="single" w:sz="8" w:space="0" w:color="000000"/>
              <w:right w:val="single" w:sz="8" w:space="0" w:color="000000"/>
            </w:tcBorders>
            <w:tcMar>
              <w:top w:w="100" w:type="dxa"/>
              <w:left w:w="100" w:type="dxa"/>
              <w:bottom w:w="100" w:type="dxa"/>
              <w:right w:w="100" w:type="dxa"/>
            </w:tcMar>
          </w:tcPr>
          <w:p w14:paraId="4F971F34"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4A82B339" w14:textId="77777777" w:rsidTr="00EA09C7">
        <w:trPr>
          <w:trHeight w:val="495"/>
        </w:trPr>
        <w:tc>
          <w:tcPr>
            <w:tcW w:w="9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AAB834" w14:textId="77777777" w:rsidR="00861989" w:rsidRDefault="00861989" w:rsidP="00EA09C7">
            <w:pPr>
              <w:spacing w:before="240" w:after="240" w:line="240" w:lineRule="auto"/>
              <w:ind w:left="100"/>
              <w:rPr>
                <w:sz w:val="20"/>
                <w:szCs w:val="20"/>
              </w:rPr>
            </w:pPr>
            <w:r>
              <w:rPr>
                <w:sz w:val="20"/>
                <w:szCs w:val="20"/>
              </w:rPr>
              <w:t>V</w:t>
            </w:r>
          </w:p>
        </w:tc>
        <w:tc>
          <w:tcPr>
            <w:tcW w:w="1101" w:type="dxa"/>
            <w:tcBorders>
              <w:top w:val="nil"/>
              <w:left w:val="nil"/>
              <w:bottom w:val="single" w:sz="8" w:space="0" w:color="000000"/>
              <w:right w:val="single" w:sz="8" w:space="0" w:color="000000"/>
            </w:tcBorders>
            <w:tcMar>
              <w:top w:w="100" w:type="dxa"/>
              <w:left w:w="100" w:type="dxa"/>
              <w:bottom w:w="100" w:type="dxa"/>
              <w:right w:w="100" w:type="dxa"/>
            </w:tcMar>
          </w:tcPr>
          <w:p w14:paraId="20697A09" w14:textId="77777777" w:rsidR="00861989" w:rsidRDefault="00861989" w:rsidP="00EA09C7">
            <w:pPr>
              <w:spacing w:before="240" w:after="240" w:line="240" w:lineRule="auto"/>
              <w:ind w:left="100"/>
              <w:jc w:val="right"/>
              <w:rPr>
                <w:sz w:val="20"/>
                <w:szCs w:val="20"/>
              </w:rPr>
            </w:pPr>
            <w:r>
              <w:rPr>
                <w:sz w:val="20"/>
                <w:szCs w:val="20"/>
              </w:rPr>
              <w:t>X.X</w:t>
            </w:r>
          </w:p>
        </w:tc>
        <w:tc>
          <w:tcPr>
            <w:tcW w:w="744" w:type="dxa"/>
            <w:tcBorders>
              <w:top w:val="nil"/>
              <w:left w:val="nil"/>
              <w:bottom w:val="single" w:sz="8" w:space="0" w:color="000000"/>
              <w:right w:val="single" w:sz="8" w:space="0" w:color="000000"/>
            </w:tcBorders>
            <w:tcMar>
              <w:top w:w="100" w:type="dxa"/>
              <w:left w:w="100" w:type="dxa"/>
              <w:bottom w:w="100" w:type="dxa"/>
              <w:right w:w="100" w:type="dxa"/>
            </w:tcMar>
          </w:tcPr>
          <w:p w14:paraId="097B6844" w14:textId="77777777" w:rsidR="00861989" w:rsidRDefault="00861989" w:rsidP="00EA09C7">
            <w:pPr>
              <w:spacing w:before="240" w:after="240" w:line="240" w:lineRule="auto"/>
              <w:ind w:left="100"/>
              <w:jc w:val="right"/>
              <w:rPr>
                <w:sz w:val="20"/>
                <w:szCs w:val="20"/>
              </w:rPr>
            </w:pPr>
            <w:r>
              <w:rPr>
                <w:sz w:val="20"/>
                <w:szCs w:val="20"/>
              </w:rPr>
              <w:t>X.X</w:t>
            </w:r>
          </w:p>
        </w:tc>
        <w:tc>
          <w:tcPr>
            <w:tcW w:w="729" w:type="dxa"/>
            <w:tcBorders>
              <w:top w:val="nil"/>
              <w:left w:val="nil"/>
              <w:bottom w:val="single" w:sz="8" w:space="0" w:color="000000"/>
              <w:right w:val="single" w:sz="8" w:space="0" w:color="000000"/>
            </w:tcBorders>
            <w:tcMar>
              <w:top w:w="100" w:type="dxa"/>
              <w:left w:w="100" w:type="dxa"/>
              <w:bottom w:w="100" w:type="dxa"/>
              <w:right w:w="100" w:type="dxa"/>
            </w:tcMar>
          </w:tcPr>
          <w:p w14:paraId="5E5BA6A2" w14:textId="77777777" w:rsidR="00861989" w:rsidRDefault="00861989" w:rsidP="00EA09C7">
            <w:pPr>
              <w:spacing w:before="240" w:after="240" w:line="240" w:lineRule="auto"/>
              <w:ind w:left="100"/>
              <w:jc w:val="right"/>
              <w:rPr>
                <w:sz w:val="20"/>
                <w:szCs w:val="20"/>
              </w:rPr>
            </w:pPr>
            <w:r>
              <w:rPr>
                <w:sz w:val="20"/>
                <w:szCs w:val="20"/>
              </w:rPr>
              <w:t>X.X</w:t>
            </w:r>
          </w:p>
        </w:tc>
        <w:tc>
          <w:tcPr>
            <w:tcW w:w="1339" w:type="dxa"/>
            <w:tcBorders>
              <w:top w:val="nil"/>
              <w:left w:val="nil"/>
              <w:bottom w:val="single" w:sz="8" w:space="0" w:color="000000"/>
              <w:right w:val="single" w:sz="8" w:space="0" w:color="000000"/>
            </w:tcBorders>
            <w:tcMar>
              <w:top w:w="100" w:type="dxa"/>
              <w:left w:w="100" w:type="dxa"/>
              <w:bottom w:w="100" w:type="dxa"/>
              <w:right w:w="100" w:type="dxa"/>
            </w:tcMar>
          </w:tcPr>
          <w:p w14:paraId="7D147BF3" w14:textId="77777777" w:rsidR="00861989" w:rsidRDefault="00861989" w:rsidP="00EA09C7">
            <w:pPr>
              <w:spacing w:before="240" w:after="240" w:line="240" w:lineRule="auto"/>
              <w:ind w:left="100"/>
              <w:jc w:val="right"/>
              <w:rPr>
                <w:sz w:val="20"/>
                <w:szCs w:val="20"/>
              </w:rPr>
            </w:pPr>
            <w:r>
              <w:rPr>
                <w:sz w:val="20"/>
                <w:szCs w:val="20"/>
              </w:rPr>
              <w:t>X.X</w:t>
            </w:r>
          </w:p>
        </w:tc>
        <w:tc>
          <w:tcPr>
            <w:tcW w:w="729" w:type="dxa"/>
            <w:tcBorders>
              <w:top w:val="nil"/>
              <w:left w:val="nil"/>
              <w:bottom w:val="single" w:sz="8" w:space="0" w:color="000000"/>
              <w:right w:val="single" w:sz="8" w:space="0" w:color="000000"/>
            </w:tcBorders>
            <w:tcMar>
              <w:top w:w="100" w:type="dxa"/>
              <w:left w:w="100" w:type="dxa"/>
              <w:bottom w:w="100" w:type="dxa"/>
              <w:right w:w="100" w:type="dxa"/>
            </w:tcMar>
          </w:tcPr>
          <w:p w14:paraId="15E41716" w14:textId="77777777" w:rsidR="00861989" w:rsidRDefault="00861989" w:rsidP="00EA09C7">
            <w:pPr>
              <w:spacing w:before="240" w:after="240" w:line="240" w:lineRule="auto"/>
              <w:ind w:left="100"/>
              <w:jc w:val="right"/>
              <w:rPr>
                <w:sz w:val="20"/>
                <w:szCs w:val="20"/>
              </w:rPr>
            </w:pPr>
            <w:r>
              <w:rPr>
                <w:sz w:val="20"/>
                <w:szCs w:val="20"/>
              </w:rPr>
              <w:t>X.X</w:t>
            </w:r>
          </w:p>
        </w:tc>
        <w:tc>
          <w:tcPr>
            <w:tcW w:w="714" w:type="dxa"/>
            <w:tcBorders>
              <w:top w:val="nil"/>
              <w:left w:val="nil"/>
              <w:bottom w:val="single" w:sz="8" w:space="0" w:color="000000"/>
              <w:right w:val="single" w:sz="8" w:space="0" w:color="000000"/>
            </w:tcBorders>
            <w:tcMar>
              <w:top w:w="100" w:type="dxa"/>
              <w:left w:w="100" w:type="dxa"/>
              <w:bottom w:w="100" w:type="dxa"/>
              <w:right w:w="100" w:type="dxa"/>
            </w:tcMar>
          </w:tcPr>
          <w:p w14:paraId="6A565991" w14:textId="77777777" w:rsidR="00861989" w:rsidRDefault="00861989" w:rsidP="00EA09C7">
            <w:pPr>
              <w:spacing w:before="240" w:after="240" w:line="240" w:lineRule="auto"/>
              <w:ind w:left="100"/>
              <w:jc w:val="right"/>
              <w:rPr>
                <w:sz w:val="20"/>
                <w:szCs w:val="20"/>
              </w:rPr>
            </w:pPr>
            <w:r>
              <w:rPr>
                <w:sz w:val="20"/>
                <w:szCs w:val="20"/>
              </w:rPr>
              <w:t>X.X</w:t>
            </w:r>
          </w:p>
        </w:tc>
        <w:tc>
          <w:tcPr>
            <w:tcW w:w="758" w:type="dxa"/>
            <w:tcBorders>
              <w:top w:val="nil"/>
              <w:left w:val="nil"/>
              <w:bottom w:val="single" w:sz="8" w:space="0" w:color="000000"/>
              <w:right w:val="single" w:sz="8" w:space="0" w:color="000000"/>
            </w:tcBorders>
            <w:tcMar>
              <w:top w:w="100" w:type="dxa"/>
              <w:left w:w="100" w:type="dxa"/>
              <w:bottom w:w="100" w:type="dxa"/>
              <w:right w:w="100" w:type="dxa"/>
            </w:tcMar>
          </w:tcPr>
          <w:p w14:paraId="0DB700D2" w14:textId="77777777" w:rsidR="00861989" w:rsidRDefault="00861989" w:rsidP="00EA09C7">
            <w:pPr>
              <w:spacing w:before="240" w:after="240" w:line="240" w:lineRule="auto"/>
              <w:ind w:left="100"/>
              <w:jc w:val="right"/>
              <w:rPr>
                <w:sz w:val="20"/>
                <w:szCs w:val="20"/>
              </w:rPr>
            </w:pPr>
            <w:r>
              <w:rPr>
                <w:sz w:val="20"/>
                <w:szCs w:val="20"/>
              </w:rPr>
              <w:t>X.X</w:t>
            </w:r>
          </w:p>
        </w:tc>
        <w:tc>
          <w:tcPr>
            <w:tcW w:w="744" w:type="dxa"/>
            <w:tcBorders>
              <w:top w:val="nil"/>
              <w:left w:val="nil"/>
              <w:bottom w:val="single" w:sz="8" w:space="0" w:color="000000"/>
              <w:right w:val="single" w:sz="8" w:space="0" w:color="000000"/>
            </w:tcBorders>
            <w:tcMar>
              <w:top w:w="100" w:type="dxa"/>
              <w:left w:w="100" w:type="dxa"/>
              <w:bottom w:w="100" w:type="dxa"/>
              <w:right w:w="100" w:type="dxa"/>
            </w:tcMar>
          </w:tcPr>
          <w:p w14:paraId="40A73668" w14:textId="77777777" w:rsidR="00861989" w:rsidRDefault="00861989" w:rsidP="00EA09C7">
            <w:pPr>
              <w:spacing w:before="240" w:after="240" w:line="240" w:lineRule="auto"/>
              <w:ind w:left="100"/>
              <w:jc w:val="right"/>
              <w:rPr>
                <w:sz w:val="20"/>
                <w:szCs w:val="20"/>
              </w:rPr>
            </w:pPr>
            <w:r>
              <w:rPr>
                <w:sz w:val="20"/>
                <w:szCs w:val="20"/>
              </w:rPr>
              <w:t>X.X</w:t>
            </w:r>
          </w:p>
        </w:tc>
        <w:tc>
          <w:tcPr>
            <w:tcW w:w="729" w:type="dxa"/>
            <w:tcBorders>
              <w:top w:val="nil"/>
              <w:left w:val="nil"/>
              <w:bottom w:val="single" w:sz="8" w:space="0" w:color="000000"/>
              <w:right w:val="single" w:sz="8" w:space="0" w:color="000000"/>
            </w:tcBorders>
            <w:tcMar>
              <w:top w:w="100" w:type="dxa"/>
              <w:left w:w="100" w:type="dxa"/>
              <w:bottom w:w="100" w:type="dxa"/>
              <w:right w:w="100" w:type="dxa"/>
            </w:tcMar>
          </w:tcPr>
          <w:p w14:paraId="69DEFD82" w14:textId="77777777" w:rsidR="00861989" w:rsidRDefault="00861989" w:rsidP="00EA09C7">
            <w:pPr>
              <w:spacing w:before="240" w:after="240" w:line="240" w:lineRule="auto"/>
              <w:ind w:left="100"/>
              <w:jc w:val="right"/>
              <w:rPr>
                <w:sz w:val="20"/>
                <w:szCs w:val="20"/>
              </w:rPr>
            </w:pPr>
            <w:r>
              <w:rPr>
                <w:sz w:val="20"/>
                <w:szCs w:val="20"/>
              </w:rPr>
              <w:t>X.X</w:t>
            </w:r>
          </w:p>
        </w:tc>
        <w:tc>
          <w:tcPr>
            <w:tcW w:w="863" w:type="dxa"/>
            <w:tcBorders>
              <w:top w:val="nil"/>
              <w:left w:val="nil"/>
              <w:bottom w:val="single" w:sz="8" w:space="0" w:color="000000"/>
              <w:right w:val="single" w:sz="8" w:space="0" w:color="000000"/>
            </w:tcBorders>
            <w:tcMar>
              <w:top w:w="100" w:type="dxa"/>
              <w:left w:w="100" w:type="dxa"/>
              <w:bottom w:w="100" w:type="dxa"/>
              <w:right w:w="100" w:type="dxa"/>
            </w:tcMar>
          </w:tcPr>
          <w:p w14:paraId="2AB05A3E"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19A682A7" w14:textId="77777777" w:rsidTr="00EA09C7">
        <w:trPr>
          <w:trHeight w:val="495"/>
        </w:trPr>
        <w:tc>
          <w:tcPr>
            <w:tcW w:w="9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225C1D" w14:textId="77777777" w:rsidR="00861989" w:rsidRDefault="00861989" w:rsidP="00EA09C7">
            <w:pPr>
              <w:spacing w:before="240" w:after="240" w:line="240" w:lineRule="auto"/>
              <w:ind w:left="100"/>
              <w:rPr>
                <w:sz w:val="20"/>
                <w:szCs w:val="20"/>
              </w:rPr>
            </w:pPr>
            <w:r>
              <w:rPr>
                <w:sz w:val="20"/>
                <w:szCs w:val="20"/>
              </w:rPr>
              <w:t>VI</w:t>
            </w:r>
          </w:p>
        </w:tc>
        <w:tc>
          <w:tcPr>
            <w:tcW w:w="1101" w:type="dxa"/>
            <w:tcBorders>
              <w:top w:val="nil"/>
              <w:left w:val="nil"/>
              <w:bottom w:val="single" w:sz="8" w:space="0" w:color="000000"/>
              <w:right w:val="single" w:sz="8" w:space="0" w:color="000000"/>
            </w:tcBorders>
            <w:tcMar>
              <w:top w:w="100" w:type="dxa"/>
              <w:left w:w="100" w:type="dxa"/>
              <w:bottom w:w="100" w:type="dxa"/>
              <w:right w:w="100" w:type="dxa"/>
            </w:tcMar>
          </w:tcPr>
          <w:p w14:paraId="2834862D" w14:textId="77777777" w:rsidR="00861989" w:rsidRDefault="00861989" w:rsidP="00EA09C7">
            <w:pPr>
              <w:spacing w:before="240" w:after="240" w:line="240" w:lineRule="auto"/>
              <w:ind w:left="100"/>
              <w:jc w:val="right"/>
              <w:rPr>
                <w:sz w:val="20"/>
                <w:szCs w:val="20"/>
              </w:rPr>
            </w:pPr>
            <w:r>
              <w:rPr>
                <w:sz w:val="20"/>
                <w:szCs w:val="20"/>
              </w:rPr>
              <w:t>X.X</w:t>
            </w:r>
          </w:p>
        </w:tc>
        <w:tc>
          <w:tcPr>
            <w:tcW w:w="744" w:type="dxa"/>
            <w:tcBorders>
              <w:top w:val="nil"/>
              <w:left w:val="nil"/>
              <w:bottom w:val="single" w:sz="8" w:space="0" w:color="000000"/>
              <w:right w:val="single" w:sz="8" w:space="0" w:color="000000"/>
            </w:tcBorders>
            <w:tcMar>
              <w:top w:w="100" w:type="dxa"/>
              <w:left w:w="100" w:type="dxa"/>
              <w:bottom w:w="100" w:type="dxa"/>
              <w:right w:w="100" w:type="dxa"/>
            </w:tcMar>
          </w:tcPr>
          <w:p w14:paraId="020C2453" w14:textId="77777777" w:rsidR="00861989" w:rsidRDefault="00861989" w:rsidP="00EA09C7">
            <w:pPr>
              <w:spacing w:before="240" w:after="240" w:line="240" w:lineRule="auto"/>
              <w:ind w:left="100"/>
              <w:jc w:val="right"/>
              <w:rPr>
                <w:sz w:val="20"/>
                <w:szCs w:val="20"/>
              </w:rPr>
            </w:pPr>
            <w:r>
              <w:rPr>
                <w:sz w:val="20"/>
                <w:szCs w:val="20"/>
              </w:rPr>
              <w:t>X.X</w:t>
            </w:r>
          </w:p>
        </w:tc>
        <w:tc>
          <w:tcPr>
            <w:tcW w:w="729" w:type="dxa"/>
            <w:tcBorders>
              <w:top w:val="nil"/>
              <w:left w:val="nil"/>
              <w:bottom w:val="single" w:sz="8" w:space="0" w:color="000000"/>
              <w:right w:val="single" w:sz="8" w:space="0" w:color="000000"/>
            </w:tcBorders>
            <w:tcMar>
              <w:top w:w="100" w:type="dxa"/>
              <w:left w:w="100" w:type="dxa"/>
              <w:bottom w:w="100" w:type="dxa"/>
              <w:right w:w="100" w:type="dxa"/>
            </w:tcMar>
          </w:tcPr>
          <w:p w14:paraId="26DA2B91" w14:textId="77777777" w:rsidR="00861989" w:rsidRDefault="00861989" w:rsidP="00EA09C7">
            <w:pPr>
              <w:spacing w:before="240" w:after="240" w:line="240" w:lineRule="auto"/>
              <w:ind w:left="100"/>
              <w:jc w:val="right"/>
              <w:rPr>
                <w:sz w:val="20"/>
                <w:szCs w:val="20"/>
              </w:rPr>
            </w:pPr>
            <w:r>
              <w:rPr>
                <w:sz w:val="20"/>
                <w:szCs w:val="20"/>
              </w:rPr>
              <w:t>X.X</w:t>
            </w:r>
          </w:p>
        </w:tc>
        <w:tc>
          <w:tcPr>
            <w:tcW w:w="1339" w:type="dxa"/>
            <w:tcBorders>
              <w:top w:val="nil"/>
              <w:left w:val="nil"/>
              <w:bottom w:val="single" w:sz="8" w:space="0" w:color="000000"/>
              <w:right w:val="single" w:sz="8" w:space="0" w:color="000000"/>
            </w:tcBorders>
            <w:tcMar>
              <w:top w:w="100" w:type="dxa"/>
              <w:left w:w="100" w:type="dxa"/>
              <w:bottom w:w="100" w:type="dxa"/>
              <w:right w:w="100" w:type="dxa"/>
            </w:tcMar>
          </w:tcPr>
          <w:p w14:paraId="1AC621FD" w14:textId="77777777" w:rsidR="00861989" w:rsidRDefault="00861989" w:rsidP="00EA09C7">
            <w:pPr>
              <w:spacing w:before="240" w:after="240" w:line="240" w:lineRule="auto"/>
              <w:ind w:left="100"/>
              <w:jc w:val="right"/>
              <w:rPr>
                <w:sz w:val="20"/>
                <w:szCs w:val="20"/>
              </w:rPr>
            </w:pPr>
            <w:r>
              <w:rPr>
                <w:sz w:val="20"/>
                <w:szCs w:val="20"/>
              </w:rPr>
              <w:t>X.X</w:t>
            </w:r>
          </w:p>
        </w:tc>
        <w:tc>
          <w:tcPr>
            <w:tcW w:w="729" w:type="dxa"/>
            <w:tcBorders>
              <w:top w:val="nil"/>
              <w:left w:val="nil"/>
              <w:bottom w:val="single" w:sz="8" w:space="0" w:color="000000"/>
              <w:right w:val="single" w:sz="8" w:space="0" w:color="000000"/>
            </w:tcBorders>
            <w:tcMar>
              <w:top w:w="100" w:type="dxa"/>
              <w:left w:w="100" w:type="dxa"/>
              <w:bottom w:w="100" w:type="dxa"/>
              <w:right w:w="100" w:type="dxa"/>
            </w:tcMar>
          </w:tcPr>
          <w:p w14:paraId="3E1295E4" w14:textId="77777777" w:rsidR="00861989" w:rsidRDefault="00861989" w:rsidP="00EA09C7">
            <w:pPr>
              <w:spacing w:before="240" w:after="240" w:line="240" w:lineRule="auto"/>
              <w:ind w:left="100"/>
              <w:jc w:val="right"/>
              <w:rPr>
                <w:sz w:val="20"/>
                <w:szCs w:val="20"/>
              </w:rPr>
            </w:pPr>
            <w:r>
              <w:rPr>
                <w:sz w:val="20"/>
                <w:szCs w:val="20"/>
              </w:rPr>
              <w:t>X.X</w:t>
            </w:r>
          </w:p>
        </w:tc>
        <w:tc>
          <w:tcPr>
            <w:tcW w:w="714" w:type="dxa"/>
            <w:tcBorders>
              <w:top w:val="nil"/>
              <w:left w:val="nil"/>
              <w:bottom w:val="single" w:sz="8" w:space="0" w:color="000000"/>
              <w:right w:val="single" w:sz="8" w:space="0" w:color="000000"/>
            </w:tcBorders>
            <w:tcMar>
              <w:top w:w="100" w:type="dxa"/>
              <w:left w:w="100" w:type="dxa"/>
              <w:bottom w:w="100" w:type="dxa"/>
              <w:right w:w="100" w:type="dxa"/>
            </w:tcMar>
          </w:tcPr>
          <w:p w14:paraId="6A0D2165" w14:textId="77777777" w:rsidR="00861989" w:rsidRDefault="00861989" w:rsidP="00EA09C7">
            <w:pPr>
              <w:spacing w:before="240" w:after="240" w:line="240" w:lineRule="auto"/>
              <w:ind w:left="100"/>
              <w:jc w:val="right"/>
              <w:rPr>
                <w:sz w:val="20"/>
                <w:szCs w:val="20"/>
              </w:rPr>
            </w:pPr>
            <w:r>
              <w:rPr>
                <w:sz w:val="20"/>
                <w:szCs w:val="20"/>
              </w:rPr>
              <w:t>X.X</w:t>
            </w:r>
          </w:p>
        </w:tc>
        <w:tc>
          <w:tcPr>
            <w:tcW w:w="758" w:type="dxa"/>
            <w:tcBorders>
              <w:top w:val="nil"/>
              <w:left w:val="nil"/>
              <w:bottom w:val="single" w:sz="8" w:space="0" w:color="000000"/>
              <w:right w:val="single" w:sz="8" w:space="0" w:color="000000"/>
            </w:tcBorders>
            <w:tcMar>
              <w:top w:w="100" w:type="dxa"/>
              <w:left w:w="100" w:type="dxa"/>
              <w:bottom w:w="100" w:type="dxa"/>
              <w:right w:w="100" w:type="dxa"/>
            </w:tcMar>
          </w:tcPr>
          <w:p w14:paraId="14C70A2B" w14:textId="77777777" w:rsidR="00861989" w:rsidRDefault="00861989" w:rsidP="00EA09C7">
            <w:pPr>
              <w:spacing w:before="240" w:after="240" w:line="240" w:lineRule="auto"/>
              <w:ind w:left="100"/>
              <w:jc w:val="right"/>
              <w:rPr>
                <w:sz w:val="20"/>
                <w:szCs w:val="20"/>
              </w:rPr>
            </w:pPr>
            <w:r>
              <w:rPr>
                <w:sz w:val="20"/>
                <w:szCs w:val="20"/>
              </w:rPr>
              <w:t>X.X</w:t>
            </w:r>
          </w:p>
        </w:tc>
        <w:tc>
          <w:tcPr>
            <w:tcW w:w="744" w:type="dxa"/>
            <w:tcBorders>
              <w:top w:val="nil"/>
              <w:left w:val="nil"/>
              <w:bottom w:val="single" w:sz="8" w:space="0" w:color="000000"/>
              <w:right w:val="single" w:sz="8" w:space="0" w:color="000000"/>
            </w:tcBorders>
            <w:tcMar>
              <w:top w:w="100" w:type="dxa"/>
              <w:left w:w="100" w:type="dxa"/>
              <w:bottom w:w="100" w:type="dxa"/>
              <w:right w:w="100" w:type="dxa"/>
            </w:tcMar>
          </w:tcPr>
          <w:p w14:paraId="32DDCB5E" w14:textId="77777777" w:rsidR="00861989" w:rsidRDefault="00861989" w:rsidP="00EA09C7">
            <w:pPr>
              <w:spacing w:before="240" w:after="240" w:line="240" w:lineRule="auto"/>
              <w:ind w:left="100"/>
              <w:jc w:val="right"/>
              <w:rPr>
                <w:sz w:val="20"/>
                <w:szCs w:val="20"/>
              </w:rPr>
            </w:pPr>
            <w:r>
              <w:rPr>
                <w:sz w:val="20"/>
                <w:szCs w:val="20"/>
              </w:rPr>
              <w:t>X.X</w:t>
            </w:r>
          </w:p>
        </w:tc>
        <w:tc>
          <w:tcPr>
            <w:tcW w:w="729" w:type="dxa"/>
            <w:tcBorders>
              <w:top w:val="nil"/>
              <w:left w:val="nil"/>
              <w:bottom w:val="single" w:sz="8" w:space="0" w:color="000000"/>
              <w:right w:val="single" w:sz="8" w:space="0" w:color="000000"/>
            </w:tcBorders>
            <w:tcMar>
              <w:top w:w="100" w:type="dxa"/>
              <w:left w:w="100" w:type="dxa"/>
              <w:bottom w:w="100" w:type="dxa"/>
              <w:right w:w="100" w:type="dxa"/>
            </w:tcMar>
          </w:tcPr>
          <w:p w14:paraId="01CFB463" w14:textId="77777777" w:rsidR="00861989" w:rsidRDefault="00861989" w:rsidP="00EA09C7">
            <w:pPr>
              <w:spacing w:before="240" w:after="240" w:line="240" w:lineRule="auto"/>
              <w:ind w:left="100"/>
              <w:jc w:val="right"/>
              <w:rPr>
                <w:sz w:val="20"/>
                <w:szCs w:val="20"/>
              </w:rPr>
            </w:pPr>
            <w:r>
              <w:rPr>
                <w:sz w:val="20"/>
                <w:szCs w:val="20"/>
              </w:rPr>
              <w:t>X.X</w:t>
            </w:r>
          </w:p>
        </w:tc>
        <w:tc>
          <w:tcPr>
            <w:tcW w:w="863" w:type="dxa"/>
            <w:tcBorders>
              <w:top w:val="nil"/>
              <w:left w:val="nil"/>
              <w:bottom w:val="single" w:sz="8" w:space="0" w:color="000000"/>
              <w:right w:val="single" w:sz="8" w:space="0" w:color="000000"/>
            </w:tcBorders>
            <w:tcMar>
              <w:top w:w="100" w:type="dxa"/>
              <w:left w:w="100" w:type="dxa"/>
              <w:bottom w:w="100" w:type="dxa"/>
              <w:right w:w="100" w:type="dxa"/>
            </w:tcMar>
          </w:tcPr>
          <w:p w14:paraId="1847E846" w14:textId="77777777" w:rsidR="00861989" w:rsidRDefault="00861989" w:rsidP="00EA09C7">
            <w:pPr>
              <w:spacing w:before="240" w:after="240" w:line="240" w:lineRule="auto"/>
              <w:ind w:left="100"/>
              <w:jc w:val="right"/>
              <w:rPr>
                <w:sz w:val="20"/>
                <w:szCs w:val="20"/>
              </w:rPr>
            </w:pPr>
            <w:r>
              <w:rPr>
                <w:sz w:val="20"/>
                <w:szCs w:val="20"/>
              </w:rPr>
              <w:t>X.X</w:t>
            </w:r>
          </w:p>
        </w:tc>
      </w:tr>
    </w:tbl>
    <w:p w14:paraId="23EEF425" w14:textId="77777777" w:rsidR="00861989" w:rsidRDefault="00861989" w:rsidP="00861989">
      <w:pPr>
        <w:spacing w:before="240" w:after="240" w:line="240" w:lineRule="auto"/>
      </w:pPr>
      <w:r>
        <w:t xml:space="preserve"> </w:t>
      </w:r>
    </w:p>
    <w:p w14:paraId="2119011E" w14:textId="77777777" w:rsidR="00861989" w:rsidRDefault="00861989" w:rsidP="00861989">
      <w:pPr>
        <w:spacing w:before="240" w:after="240" w:line="240" w:lineRule="auto"/>
      </w:pPr>
      <w:r>
        <w:t xml:space="preserve">With the fixed-effects and random-effects specified, we then added in explanatory variables. In this phase, we wanted to test how knowledge attribution rates differ across vignettes and labs when also accounting for all predictors. That is, we wanted to know whether vignette and lab factors account for the random slope. For this purpose, we built a constrained and augmented intermediate model by adding level-2 predictors (belief condition, gender, age, and education), level-3 predictors (in group vs. individually and online vs. in person), and their cross-level interactions, and then performed a likelihood ratio test for the given outcome variable to determine whether considering the cluster-based (vignettes, participants, and labs) variation of </w:t>
      </w:r>
      <w:r>
        <w:lastRenderedPageBreak/>
        <w:t>the effect of the lower level variables improves the model fit (</w:t>
      </w:r>
      <w:r>
        <w:rPr>
          <w:i/>
        </w:rPr>
        <w:t>X</w:t>
      </w:r>
      <w:r>
        <w:t>(</w:t>
      </w:r>
      <w:r>
        <w:rPr>
          <w:i/>
        </w:rPr>
        <w:t>1</w:t>
      </w:r>
      <w:r>
        <w:t xml:space="preserve">) = X.XX, </w:t>
      </w:r>
      <w:r>
        <w:rPr>
          <w:i/>
        </w:rPr>
        <w:t>p</w:t>
      </w:r>
      <w:r>
        <w:t xml:space="preserve"> = .XX). The results were [non-significant/significant], suggesting that addition of the random slopes [did/did not] improve the fit of the model. Therefore, the [fixed/random-intercept/slope model] appears to be the best fit.</w:t>
      </w:r>
      <w:r>
        <w:rPr>
          <w:vertAlign w:val="superscript"/>
        </w:rPr>
        <w:footnoteReference w:id="52"/>
      </w:r>
    </w:p>
    <w:p w14:paraId="574C8EEC" w14:textId="77777777" w:rsidR="00861989" w:rsidRDefault="00861989" w:rsidP="00861989">
      <w:pPr>
        <w:spacing w:before="240" w:after="240" w:line="240" w:lineRule="auto"/>
      </w:pPr>
      <w:r>
        <w:t>In the last phase of this analysis, we created a final model based on our prior models by either including the random terms or not for each factor, and then we added the cross-level interactions for knowledge attribution. By doing this, we can infer whether the effects of the independent variables on the dependent variable are robust to covariates/interactions (i.e., sensitivity test). In terms of the level-2 effect, the first three models provide us with two terms of interest, the fixed slope [X] and the random slope variance [X] for each level. The fixed slope represents the general effect of the primary independent variable (belief condition) on knowledge attribution. Condition [did/did not] significantly predict knowledge attribution rates (</w:t>
      </w:r>
      <w:r>
        <w:rPr>
          <w:i/>
        </w:rPr>
        <w:t xml:space="preserve">B </w:t>
      </w:r>
      <w:r>
        <w:t xml:space="preserve">= XX.XX, </w:t>
      </w:r>
      <w:r>
        <w:rPr>
          <w:i/>
        </w:rPr>
        <w:t>β</w:t>
      </w:r>
      <w:r>
        <w:t xml:space="preserve"> = .XX, </w:t>
      </w:r>
      <w:r>
        <w:rPr>
          <w:i/>
        </w:rPr>
        <w:t>p</w:t>
      </w:r>
      <w:r>
        <w:t xml:space="preserve"> =.XXX) and [significantly accounted for X.XX% of the variance/did not significantly account for any of the variance], (</w:t>
      </w:r>
      <w:r>
        <w:rPr>
          <w:i/>
        </w:rPr>
        <w:t>R</w:t>
      </w:r>
      <w:r>
        <w:rPr>
          <w:i/>
          <w:vertAlign w:val="superscript"/>
        </w:rPr>
        <w:t>2</w:t>
      </w:r>
      <w:r>
        <w:t xml:space="preserve"> = .XX, </w:t>
      </w:r>
      <w:r>
        <w:rPr>
          <w:i/>
        </w:rPr>
        <w:t>F</w:t>
      </w:r>
      <w:r>
        <w:t xml:space="preserve">(X,XX) = X.XX, </w:t>
      </w:r>
      <w:r>
        <w:rPr>
          <w:i/>
        </w:rPr>
        <w:t>p</w:t>
      </w:r>
      <w:r>
        <w:t xml:space="preserve"> = .XX).</w:t>
      </w:r>
      <w:r>
        <w:rPr>
          <w:vertAlign w:val="superscript"/>
        </w:rPr>
        <w:footnoteReference w:id="53"/>
      </w:r>
    </w:p>
    <w:p w14:paraId="2F13E853" w14:textId="77777777" w:rsidR="00861989" w:rsidRDefault="00861989" w:rsidP="00861989">
      <w:pPr>
        <w:spacing w:before="240" w:after="240" w:line="240" w:lineRule="auto"/>
      </w:pPr>
      <w:r>
        <w:t xml:space="preserve">The residual term associated with the primary independent variable [X] provides a yardstick for determining the size of the effect variation and corresponds to the deviation of the specific effects of the primary independent variable across all vignettes and laboratories (Sommet &amp; Morselli, 2017). The random slope variance for vignettes was [X, </w:t>
      </w:r>
      <w:r>
        <w:rPr>
          <w:i/>
        </w:rPr>
        <w:t>p</w:t>
      </w:r>
      <w:r>
        <w:t xml:space="preserve"> = .XX], indicating that the variation of the effect of the primary independent variable (belief condition) from one vignette to another was [small/moderate/large/non-significant]. The random slope variance for labs was [X, </w:t>
      </w:r>
      <w:r>
        <w:rPr>
          <w:i/>
        </w:rPr>
        <w:t>p</w:t>
      </w:r>
      <w:r>
        <w:t xml:space="preserve"> = .XX], indicating that the variation of the effect of the primary independent variable (belief condition) from one lab to another was [small/moderate/large/nonsignificant] (see Figure 5 for visualization of lab variation).</w:t>
      </w:r>
      <w:r>
        <w:rPr>
          <w:vertAlign w:val="superscript"/>
        </w:rPr>
        <w:footnoteReference w:id="54"/>
      </w:r>
    </w:p>
    <w:p w14:paraId="29C483E8" w14:textId="77777777" w:rsidR="00861989" w:rsidRDefault="00861989" w:rsidP="00861989">
      <w:pPr>
        <w:spacing w:before="240" w:after="240" w:line="240" w:lineRule="auto"/>
      </w:pPr>
      <w:r>
        <w:rPr>
          <w:i/>
        </w:rPr>
        <w:t>Figure 5</w:t>
      </w:r>
      <w:r>
        <w:t>. Example plot using simulation data to visualize the knowledge attribution multilevel model that allows for a random intercept and random slope for labs, where 0 = Gettier cases, 1 = knowledge controls, and 2 = ignorance controls. Actual data will be plotted based on the model of best fit.</w:t>
      </w:r>
    </w:p>
    <w:p w14:paraId="73052741" w14:textId="77777777" w:rsidR="00861989" w:rsidRDefault="00861989" w:rsidP="00861989">
      <w:pPr>
        <w:spacing w:before="240" w:after="240" w:line="240" w:lineRule="auto"/>
      </w:pPr>
      <w:r>
        <w:t xml:space="preserve"> </w:t>
      </w:r>
    </w:p>
    <w:p w14:paraId="27BFEFDC" w14:textId="77777777" w:rsidR="00861989" w:rsidRDefault="00861989" w:rsidP="00861989">
      <w:pPr>
        <w:spacing w:before="240" w:after="240" w:line="240" w:lineRule="auto"/>
      </w:pPr>
      <w:r>
        <w:rPr>
          <w:b/>
        </w:rPr>
        <w:t xml:space="preserve"> </w:t>
      </w:r>
      <w:r>
        <w:rPr>
          <w:b/>
        </w:rPr>
        <w:tab/>
        <w:t xml:space="preserve">False discovery rate. </w:t>
      </w:r>
      <w:r>
        <w:t xml:space="preserve">To correct for family-wise error rates that arise from testing related dependent variables, we will use a corrected alpha cut-off criterion. In our MTurk pretest of US participants, the knowledge variable and the exploratory ability/luck variable were significantly correlated in each vignette (“Gerald”, </w:t>
      </w:r>
      <w:r>
        <w:rPr>
          <w:i/>
        </w:rPr>
        <w:t>r</w:t>
      </w:r>
      <w:r>
        <w:t xml:space="preserve"> = .476, </w:t>
      </w:r>
      <w:r>
        <w:rPr>
          <w:i/>
        </w:rPr>
        <w:t xml:space="preserve">p </w:t>
      </w:r>
      <w:r>
        <w:t xml:space="preserve">&lt; .001; “Emma”, </w:t>
      </w:r>
      <w:r>
        <w:rPr>
          <w:i/>
        </w:rPr>
        <w:t>r</w:t>
      </w:r>
      <w:r>
        <w:t xml:space="preserve"> = .434,</w:t>
      </w:r>
      <w:r>
        <w:rPr>
          <w:i/>
        </w:rPr>
        <w:t xml:space="preserve"> p </w:t>
      </w:r>
      <w:r>
        <w:t xml:space="preserve">&lt; .001; “Darrel”, </w:t>
      </w:r>
      <w:r>
        <w:rPr>
          <w:i/>
        </w:rPr>
        <w:t>r</w:t>
      </w:r>
      <w:r>
        <w:t xml:space="preserve"> </w:t>
      </w:r>
      <w:r>
        <w:lastRenderedPageBreak/>
        <w:t>= .592,</w:t>
      </w:r>
      <w:r>
        <w:rPr>
          <w:i/>
        </w:rPr>
        <w:t xml:space="preserve"> p </w:t>
      </w:r>
      <w:r>
        <w:t xml:space="preserve">&lt; .001). Whereas the knowledge dependent variable and reasonableness dependent variable were weakly significantly correlated in two of the vignettes (“Emma”, </w:t>
      </w:r>
      <w:r>
        <w:rPr>
          <w:i/>
        </w:rPr>
        <w:t>r</w:t>
      </w:r>
      <w:r>
        <w:t xml:space="preserve"> = .202, </w:t>
      </w:r>
      <w:r>
        <w:rPr>
          <w:i/>
        </w:rPr>
        <w:t>p</w:t>
      </w:r>
      <w:r>
        <w:t xml:space="preserve"> = .009; and “Darrel”, </w:t>
      </w:r>
      <w:r>
        <w:rPr>
          <w:i/>
        </w:rPr>
        <w:t>r</w:t>
      </w:r>
      <w:r>
        <w:t xml:space="preserve"> = .323, </w:t>
      </w:r>
      <w:r>
        <w:rPr>
          <w:i/>
        </w:rPr>
        <w:t>p</w:t>
      </w:r>
      <w:r>
        <w:t xml:space="preserve"> &lt; .001), and non-significant in the third (“Gerald”, </w:t>
      </w:r>
      <w:r>
        <w:rPr>
          <w:i/>
        </w:rPr>
        <w:t>r</w:t>
      </w:r>
      <w:r>
        <w:t xml:space="preserve"> = .128, </w:t>
      </w:r>
      <w:r>
        <w:rPr>
          <w:i/>
        </w:rPr>
        <w:t>p</w:t>
      </w:r>
      <w:r>
        <w:t xml:space="preserve"> = .099). These preliminary data demonstrate a need to lower our false discovery rate to correct for the family-wise error rate of three related tests which we will do by using the Benjamini–Hochberg procedure as well as performing bootstrapping to obtain confidence intervals for each correlation using Fisher's transformation.</w:t>
      </w:r>
      <w:r>
        <w:rPr>
          <w:vertAlign w:val="superscript"/>
        </w:rPr>
        <w:footnoteReference w:id="55"/>
      </w:r>
    </w:p>
    <w:p w14:paraId="09619F85" w14:textId="77777777" w:rsidR="00861989" w:rsidRDefault="00861989" w:rsidP="00861989">
      <w:pPr>
        <w:spacing w:before="240" w:after="240" w:line="240" w:lineRule="auto"/>
      </w:pPr>
      <w:r>
        <w:rPr>
          <w:b/>
        </w:rPr>
        <w:t xml:space="preserve">Covariate analysis plan. </w:t>
      </w:r>
      <w:r>
        <w:t xml:space="preserve">We then fit a covariance structure to this final model that specified the form of the variance-covariance matrix. We attempted fitting data with three common structures (variance components, diagonal, and unstructured) and tested differences between these fits with a goodness of fit test (BIC) to determine which covariance structure fits the data best (see Table 2); [results suggest that an unstructured covariance structure fits the data best, </w:t>
      </w:r>
      <w:r>
        <w:rPr>
          <w:i/>
        </w:rPr>
        <w:t>X</w:t>
      </w:r>
      <w:r>
        <w:t>(</w:t>
      </w:r>
      <w:r>
        <w:rPr>
          <w:i/>
        </w:rPr>
        <w:t>1</w:t>
      </w:r>
      <w:r>
        <w:t xml:space="preserve">) = X.XX, BIC = XX.XX, </w:t>
      </w:r>
      <w:r>
        <w:rPr>
          <w:i/>
        </w:rPr>
        <w:t>p</w:t>
      </w:r>
      <w:r>
        <w:t xml:space="preserve"> = .XXX.</w:t>
      </w:r>
      <w:r>
        <w:rPr>
          <w:vertAlign w:val="superscript"/>
        </w:rPr>
        <w:footnoteReference w:id="56"/>
      </w:r>
      <w:r>
        <w:t xml:space="preserve"> If the model has convergence problems, we will try to increase the number of iterations, change tolerance levels, change optimization methods (e.g., BOBYQA optimizer instead of the Nelder-Mead optimization routine), and simplify the model by removing the random effect of vignette and the random effect of lab, in that order.</w:t>
      </w:r>
    </w:p>
    <w:p w14:paraId="01316792" w14:textId="77777777" w:rsidR="00861989" w:rsidRDefault="00861989" w:rsidP="00861989">
      <w:pPr>
        <w:spacing w:before="240" w:after="240" w:line="240" w:lineRule="auto"/>
      </w:pPr>
    </w:p>
    <w:p w14:paraId="5F5EECA2" w14:textId="77777777" w:rsidR="00861989" w:rsidRDefault="00861989" w:rsidP="00861989">
      <w:pPr>
        <w:spacing w:before="240" w:after="240" w:line="240" w:lineRule="auto"/>
        <w:rPr>
          <w:i/>
        </w:rPr>
      </w:pPr>
      <w:r>
        <w:t xml:space="preserve">Table 2: </w:t>
      </w:r>
      <w:r>
        <w:rPr>
          <w:i/>
        </w:rPr>
        <w:t>Covariance Structure</w:t>
      </w:r>
    </w:p>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2415"/>
        <w:gridCol w:w="2310"/>
        <w:gridCol w:w="2310"/>
        <w:gridCol w:w="2310"/>
      </w:tblGrid>
      <w:tr w:rsidR="00861989" w14:paraId="4F9D84CF" w14:textId="77777777" w:rsidTr="00EA09C7">
        <w:trPr>
          <w:trHeight w:val="495"/>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8DD37" w14:textId="77777777" w:rsidR="00861989" w:rsidRDefault="00861989" w:rsidP="00EA09C7">
            <w:pPr>
              <w:spacing w:before="240" w:after="240" w:line="240" w:lineRule="auto"/>
              <w:ind w:left="100"/>
              <w:rPr>
                <w:sz w:val="20"/>
                <w:szCs w:val="20"/>
              </w:rPr>
            </w:pPr>
            <w:r>
              <w:rPr>
                <w:sz w:val="20"/>
                <w:szCs w:val="20"/>
              </w:rPr>
              <w:t>Covariance Structure</w:t>
            </w:r>
          </w:p>
        </w:tc>
        <w:tc>
          <w:tcPr>
            <w:tcW w:w="2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3B6E89" w14:textId="77777777" w:rsidR="00861989" w:rsidRDefault="00861989" w:rsidP="00EA09C7">
            <w:pPr>
              <w:spacing w:before="240" w:after="240" w:line="240" w:lineRule="auto"/>
              <w:ind w:left="100"/>
              <w:jc w:val="right"/>
              <w:rPr>
                <w:sz w:val="20"/>
                <w:szCs w:val="20"/>
              </w:rPr>
            </w:pPr>
            <w:r>
              <w:rPr>
                <w:sz w:val="20"/>
                <w:szCs w:val="20"/>
              </w:rPr>
              <w:t>(X)(1)</w:t>
            </w:r>
          </w:p>
        </w:tc>
        <w:tc>
          <w:tcPr>
            <w:tcW w:w="2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0C324B" w14:textId="77777777" w:rsidR="00861989" w:rsidRDefault="00861989" w:rsidP="00EA09C7">
            <w:pPr>
              <w:spacing w:before="240" w:after="240" w:line="240" w:lineRule="auto"/>
              <w:ind w:left="100"/>
              <w:jc w:val="right"/>
              <w:rPr>
                <w:sz w:val="20"/>
                <w:szCs w:val="20"/>
              </w:rPr>
            </w:pPr>
            <w:r>
              <w:rPr>
                <w:sz w:val="20"/>
                <w:szCs w:val="20"/>
              </w:rPr>
              <w:t>BIC</w:t>
            </w:r>
          </w:p>
        </w:tc>
        <w:tc>
          <w:tcPr>
            <w:tcW w:w="2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F24DC0" w14:textId="77777777" w:rsidR="00861989" w:rsidRDefault="00861989" w:rsidP="00EA09C7">
            <w:pPr>
              <w:spacing w:before="240" w:after="240" w:line="240" w:lineRule="auto"/>
              <w:ind w:left="100"/>
              <w:jc w:val="right"/>
              <w:rPr>
                <w:i/>
                <w:sz w:val="20"/>
                <w:szCs w:val="20"/>
              </w:rPr>
            </w:pPr>
            <w:r>
              <w:rPr>
                <w:i/>
                <w:sz w:val="20"/>
                <w:szCs w:val="20"/>
              </w:rPr>
              <w:t>p</w:t>
            </w:r>
          </w:p>
        </w:tc>
      </w:tr>
      <w:tr w:rsidR="00861989" w14:paraId="327E1D93" w14:textId="77777777" w:rsidTr="00EA09C7">
        <w:trPr>
          <w:trHeight w:val="495"/>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FCCCAB" w14:textId="77777777" w:rsidR="00861989" w:rsidRDefault="00861989" w:rsidP="00EA09C7">
            <w:pPr>
              <w:spacing w:before="240" w:after="240" w:line="240" w:lineRule="auto"/>
              <w:ind w:left="100"/>
              <w:rPr>
                <w:sz w:val="20"/>
                <w:szCs w:val="20"/>
              </w:rPr>
            </w:pPr>
            <w:r>
              <w:rPr>
                <w:sz w:val="20"/>
                <w:szCs w:val="20"/>
              </w:rPr>
              <w:t>variance components</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4544A34C" w14:textId="77777777" w:rsidR="00861989" w:rsidRDefault="00861989" w:rsidP="00EA09C7">
            <w:pPr>
              <w:spacing w:before="240" w:after="240" w:line="240" w:lineRule="auto"/>
              <w:ind w:left="100"/>
              <w:jc w:val="right"/>
              <w:rPr>
                <w:sz w:val="20"/>
                <w:szCs w:val="20"/>
              </w:rPr>
            </w:pPr>
            <w:r>
              <w:rPr>
                <w:sz w:val="20"/>
                <w:szCs w:val="20"/>
              </w:rPr>
              <w:t>X.XX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75397904" w14:textId="77777777" w:rsidR="00861989" w:rsidRDefault="00861989" w:rsidP="00EA09C7">
            <w:pPr>
              <w:spacing w:before="240" w:after="240" w:line="240" w:lineRule="auto"/>
              <w:ind w:left="100"/>
              <w:jc w:val="right"/>
              <w:rPr>
                <w:sz w:val="20"/>
                <w:szCs w:val="20"/>
              </w:rPr>
            </w:pPr>
            <w:r>
              <w:rPr>
                <w:sz w:val="20"/>
                <w:szCs w:val="20"/>
              </w:rPr>
              <w:t>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38E48990"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0238AF0F" w14:textId="77777777" w:rsidTr="00EA09C7">
        <w:trPr>
          <w:trHeight w:val="495"/>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415616" w14:textId="77777777" w:rsidR="00861989" w:rsidRDefault="00861989" w:rsidP="00EA09C7">
            <w:pPr>
              <w:spacing w:before="240" w:after="240" w:line="240" w:lineRule="auto"/>
              <w:ind w:left="100"/>
              <w:rPr>
                <w:sz w:val="20"/>
                <w:szCs w:val="20"/>
              </w:rPr>
            </w:pPr>
            <w:r>
              <w:rPr>
                <w:sz w:val="20"/>
                <w:szCs w:val="20"/>
              </w:rPr>
              <w:t>diagonal</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049060FD" w14:textId="77777777" w:rsidR="00861989" w:rsidRDefault="00861989" w:rsidP="00EA09C7">
            <w:pPr>
              <w:spacing w:before="240" w:after="240" w:line="240" w:lineRule="auto"/>
              <w:ind w:left="100"/>
              <w:jc w:val="right"/>
              <w:rPr>
                <w:sz w:val="20"/>
                <w:szCs w:val="20"/>
              </w:rPr>
            </w:pPr>
            <w:r>
              <w:rPr>
                <w:sz w:val="20"/>
                <w:szCs w:val="20"/>
              </w:rPr>
              <w:t>X.XX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31E578F7" w14:textId="77777777" w:rsidR="00861989" w:rsidRDefault="00861989" w:rsidP="00EA09C7">
            <w:pPr>
              <w:spacing w:before="240" w:after="240" w:line="240" w:lineRule="auto"/>
              <w:ind w:left="100"/>
              <w:jc w:val="right"/>
              <w:rPr>
                <w:sz w:val="20"/>
                <w:szCs w:val="20"/>
              </w:rPr>
            </w:pPr>
            <w:r>
              <w:rPr>
                <w:sz w:val="20"/>
                <w:szCs w:val="20"/>
              </w:rPr>
              <w:t>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4B5E7844"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41C9257F" w14:textId="77777777" w:rsidTr="00EA09C7">
        <w:trPr>
          <w:trHeight w:val="495"/>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A08A92" w14:textId="77777777" w:rsidR="00861989" w:rsidRDefault="00861989" w:rsidP="00EA09C7">
            <w:pPr>
              <w:spacing w:before="240" w:after="240" w:line="240" w:lineRule="auto"/>
              <w:ind w:left="100"/>
              <w:rPr>
                <w:sz w:val="20"/>
                <w:szCs w:val="20"/>
              </w:rPr>
            </w:pPr>
            <w:r>
              <w:rPr>
                <w:sz w:val="20"/>
                <w:szCs w:val="20"/>
              </w:rPr>
              <w:t>unstructured</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50F0DEC1" w14:textId="77777777" w:rsidR="00861989" w:rsidRDefault="00861989" w:rsidP="00EA09C7">
            <w:pPr>
              <w:spacing w:before="240" w:after="240" w:line="240" w:lineRule="auto"/>
              <w:ind w:left="100"/>
              <w:jc w:val="right"/>
              <w:rPr>
                <w:sz w:val="20"/>
                <w:szCs w:val="20"/>
              </w:rPr>
            </w:pPr>
            <w:r>
              <w:rPr>
                <w:sz w:val="20"/>
                <w:szCs w:val="20"/>
              </w:rPr>
              <w:t>X.XX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439E692E" w14:textId="77777777" w:rsidR="00861989" w:rsidRDefault="00861989" w:rsidP="00EA09C7">
            <w:pPr>
              <w:spacing w:before="240" w:after="240" w:line="240" w:lineRule="auto"/>
              <w:ind w:left="100"/>
              <w:jc w:val="right"/>
              <w:rPr>
                <w:sz w:val="20"/>
                <w:szCs w:val="20"/>
              </w:rPr>
            </w:pPr>
            <w:r>
              <w:rPr>
                <w:sz w:val="20"/>
                <w:szCs w:val="20"/>
              </w:rPr>
              <w:t>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2F35E619" w14:textId="77777777" w:rsidR="00861989" w:rsidRDefault="00861989" w:rsidP="00EA09C7">
            <w:pPr>
              <w:spacing w:before="240" w:after="240" w:line="240" w:lineRule="auto"/>
              <w:ind w:left="100"/>
              <w:jc w:val="right"/>
              <w:rPr>
                <w:sz w:val="20"/>
                <w:szCs w:val="20"/>
              </w:rPr>
            </w:pPr>
            <w:r>
              <w:rPr>
                <w:sz w:val="20"/>
                <w:szCs w:val="20"/>
              </w:rPr>
              <w:t>.XX</w:t>
            </w:r>
          </w:p>
        </w:tc>
      </w:tr>
    </w:tbl>
    <w:p w14:paraId="5CB05FDD" w14:textId="77777777" w:rsidR="00861989" w:rsidRDefault="00861989" w:rsidP="00861989">
      <w:pPr>
        <w:spacing w:before="240" w:after="240" w:line="240" w:lineRule="auto"/>
      </w:pPr>
      <w:r>
        <w:t xml:space="preserve"> </w:t>
      </w:r>
    </w:p>
    <w:p w14:paraId="755A7C3F" w14:textId="77777777" w:rsidR="00861989" w:rsidRDefault="00861989" w:rsidP="00861989">
      <w:pPr>
        <w:spacing w:before="240" w:after="240" w:line="240" w:lineRule="auto"/>
      </w:pPr>
      <w:r>
        <w:t xml:space="preserve">In a covariate analysis, we then added each covariate to the model and compare the models to determine whether each covariate improved the model or not (see Table 3 for model </w:t>
      </w:r>
      <w:r>
        <w:lastRenderedPageBreak/>
        <w:t>comparisons; see Table 4 for beta coefficient estimates for each predictor).</w:t>
      </w:r>
      <w:r>
        <w:rPr>
          <w:vertAlign w:val="superscript"/>
        </w:rPr>
        <w:footnoteReference w:id="57"/>
      </w:r>
      <w:r>
        <w:t xml:space="preserve"> However, because most of our site samples likely lacked adequate power to detect the effects of covariates and were not very representative or balanced regarding participant-level covariates, results from Table 3 and 4 should be interpreted carefully.</w:t>
      </w:r>
    </w:p>
    <w:p w14:paraId="2B5D6A5C" w14:textId="77777777" w:rsidR="00861989" w:rsidRDefault="00861989" w:rsidP="00861989">
      <w:pPr>
        <w:spacing w:before="240" w:after="240" w:line="240" w:lineRule="auto"/>
      </w:pPr>
      <w:r>
        <w:t xml:space="preserve"> </w:t>
      </w:r>
    </w:p>
    <w:p w14:paraId="39C60D6F" w14:textId="77777777" w:rsidR="00861989" w:rsidRDefault="00861989" w:rsidP="00861989">
      <w:pPr>
        <w:spacing w:before="240" w:after="240" w:line="240" w:lineRule="auto"/>
      </w:pPr>
      <w:r>
        <w:t>Table 3: Covariates – Model Comparisons</w:t>
      </w:r>
    </w:p>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2685"/>
        <w:gridCol w:w="2055"/>
        <w:gridCol w:w="2310"/>
        <w:gridCol w:w="2295"/>
      </w:tblGrid>
      <w:tr w:rsidR="00861989" w14:paraId="32F2F5AD" w14:textId="77777777" w:rsidTr="00EA09C7">
        <w:trPr>
          <w:trHeight w:val="495"/>
        </w:trPr>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E3622" w14:textId="77777777" w:rsidR="00861989" w:rsidRDefault="00861989" w:rsidP="00EA09C7">
            <w:pPr>
              <w:spacing w:before="240" w:after="240" w:line="240" w:lineRule="auto"/>
              <w:ind w:left="100"/>
              <w:rPr>
                <w:sz w:val="20"/>
                <w:szCs w:val="20"/>
              </w:rPr>
            </w:pPr>
            <w:r>
              <w:rPr>
                <w:sz w:val="20"/>
                <w:szCs w:val="20"/>
              </w:rPr>
              <w:t>Covariates</w:t>
            </w:r>
          </w:p>
        </w:tc>
        <w:tc>
          <w:tcPr>
            <w:tcW w:w="2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6FBC40" w14:textId="77777777" w:rsidR="00861989" w:rsidRDefault="00861989" w:rsidP="00EA09C7">
            <w:pPr>
              <w:spacing w:before="240" w:after="240" w:line="240" w:lineRule="auto"/>
              <w:ind w:left="100"/>
              <w:jc w:val="right"/>
            </w:pPr>
            <w:r>
              <w:t>(X)(1)</w:t>
            </w:r>
          </w:p>
        </w:tc>
        <w:tc>
          <w:tcPr>
            <w:tcW w:w="2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95AD82" w14:textId="77777777" w:rsidR="00861989" w:rsidRDefault="00861989" w:rsidP="00EA09C7">
            <w:pPr>
              <w:spacing w:before="240" w:after="240" w:line="240" w:lineRule="auto"/>
              <w:ind w:left="100"/>
              <w:jc w:val="right"/>
            </w:pPr>
            <w:r>
              <w:t>BIC</w:t>
            </w:r>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2E07ED" w14:textId="77777777" w:rsidR="00861989" w:rsidRDefault="00861989" w:rsidP="00EA09C7">
            <w:pPr>
              <w:spacing w:before="240" w:after="240" w:line="240" w:lineRule="auto"/>
              <w:ind w:left="100"/>
              <w:jc w:val="right"/>
              <w:rPr>
                <w:i/>
              </w:rPr>
            </w:pPr>
            <w:r>
              <w:rPr>
                <w:i/>
              </w:rPr>
              <w:t>p</w:t>
            </w:r>
          </w:p>
        </w:tc>
      </w:tr>
      <w:tr w:rsidR="00861989" w14:paraId="4256494A" w14:textId="77777777" w:rsidTr="00EA09C7">
        <w:trPr>
          <w:trHeight w:val="495"/>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C7BAE0" w14:textId="77777777" w:rsidR="00861989" w:rsidRDefault="00861989" w:rsidP="00EA09C7">
            <w:pPr>
              <w:spacing w:before="240" w:after="240" w:line="240" w:lineRule="auto"/>
              <w:ind w:left="100"/>
              <w:rPr>
                <w:b/>
                <w:sz w:val="20"/>
                <w:szCs w:val="20"/>
              </w:rPr>
            </w:pPr>
            <w:r>
              <w:rPr>
                <w:b/>
                <w:sz w:val="20"/>
                <w:szCs w:val="20"/>
              </w:rPr>
              <w:t>Participant Covariates</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258F2B9" w14:textId="77777777" w:rsidR="00861989" w:rsidRDefault="00861989" w:rsidP="00EA09C7">
            <w:pPr>
              <w:spacing w:before="240" w:after="240" w:line="240" w:lineRule="auto"/>
              <w:ind w:left="100"/>
              <w:jc w:val="right"/>
            </w:pPr>
            <w:r>
              <w:t xml:space="preserve"> </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09648AC3" w14:textId="77777777" w:rsidR="00861989" w:rsidRDefault="00861989" w:rsidP="00EA09C7">
            <w:pPr>
              <w:spacing w:before="240" w:after="240" w:line="240" w:lineRule="auto"/>
              <w:ind w:left="100"/>
              <w:jc w:val="right"/>
            </w:pPr>
            <w:r>
              <w:t xml:space="preserve"> </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712C0F5D" w14:textId="77777777" w:rsidR="00861989" w:rsidRDefault="00861989" w:rsidP="00EA09C7">
            <w:pPr>
              <w:spacing w:before="240" w:after="240" w:line="240" w:lineRule="auto"/>
              <w:ind w:left="100"/>
              <w:jc w:val="right"/>
            </w:pPr>
            <w:r>
              <w:t xml:space="preserve"> </w:t>
            </w:r>
          </w:p>
        </w:tc>
      </w:tr>
      <w:tr w:rsidR="00861989" w14:paraId="3F6C389E" w14:textId="77777777" w:rsidTr="00EA09C7">
        <w:trPr>
          <w:trHeight w:val="495"/>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4661F2" w14:textId="77777777" w:rsidR="00861989" w:rsidRDefault="00861989" w:rsidP="00EA09C7">
            <w:pPr>
              <w:spacing w:before="240" w:after="240" w:line="240" w:lineRule="auto"/>
              <w:ind w:left="100"/>
              <w:rPr>
                <w:sz w:val="20"/>
                <w:szCs w:val="20"/>
              </w:rPr>
            </w:pPr>
            <w:r>
              <w:rPr>
                <w:sz w:val="20"/>
                <w:szCs w:val="20"/>
              </w:rPr>
              <w:tab/>
              <w:t>Years of education</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E282E05" w14:textId="77777777" w:rsidR="00861989" w:rsidRDefault="00861989" w:rsidP="00EA09C7">
            <w:pPr>
              <w:spacing w:before="240" w:after="240" w:line="240" w:lineRule="auto"/>
              <w:ind w:left="100"/>
              <w:jc w:val="right"/>
            </w:pPr>
            <w:r>
              <w:t>X.XX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267A5CFF" w14:textId="77777777" w:rsidR="00861989" w:rsidRDefault="00861989" w:rsidP="00EA09C7">
            <w:pPr>
              <w:spacing w:before="240" w:after="240" w:line="240" w:lineRule="auto"/>
              <w:ind w:left="100"/>
              <w:jc w:val="right"/>
            </w:pPr>
            <w:r>
              <w:t>X</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3F4E71B0" w14:textId="77777777" w:rsidR="00861989" w:rsidRDefault="00861989" w:rsidP="00EA09C7">
            <w:pPr>
              <w:spacing w:before="240" w:after="240" w:line="240" w:lineRule="auto"/>
              <w:ind w:left="100"/>
              <w:jc w:val="right"/>
            </w:pPr>
            <w:r>
              <w:t>.XX</w:t>
            </w:r>
          </w:p>
        </w:tc>
      </w:tr>
      <w:tr w:rsidR="00861989" w14:paraId="475639EB" w14:textId="77777777" w:rsidTr="00EA09C7">
        <w:trPr>
          <w:trHeight w:val="495"/>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C4CA69" w14:textId="77777777" w:rsidR="00861989" w:rsidRDefault="00861989" w:rsidP="00EA09C7">
            <w:pPr>
              <w:spacing w:before="240" w:after="240" w:line="240" w:lineRule="auto"/>
              <w:ind w:left="100"/>
              <w:rPr>
                <w:sz w:val="20"/>
                <w:szCs w:val="20"/>
              </w:rPr>
            </w:pPr>
            <w:r>
              <w:rPr>
                <w:sz w:val="20"/>
                <w:szCs w:val="20"/>
              </w:rPr>
              <w:tab/>
              <w:t>Age</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995DCC9" w14:textId="77777777" w:rsidR="00861989" w:rsidRDefault="00861989" w:rsidP="00EA09C7">
            <w:pPr>
              <w:spacing w:before="240" w:after="240" w:line="240" w:lineRule="auto"/>
              <w:ind w:left="100"/>
              <w:jc w:val="right"/>
            </w:pPr>
            <w:r>
              <w:t>X.XX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6543DF29" w14:textId="77777777" w:rsidR="00861989" w:rsidRDefault="00861989" w:rsidP="00EA09C7">
            <w:pPr>
              <w:spacing w:before="240" w:after="240" w:line="240" w:lineRule="auto"/>
              <w:ind w:left="100"/>
              <w:jc w:val="right"/>
            </w:pPr>
            <w:r>
              <w:t>X</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77D5276B" w14:textId="77777777" w:rsidR="00861989" w:rsidRDefault="00861989" w:rsidP="00EA09C7">
            <w:pPr>
              <w:spacing w:before="240" w:after="240" w:line="240" w:lineRule="auto"/>
              <w:ind w:left="100"/>
              <w:jc w:val="right"/>
            </w:pPr>
            <w:r>
              <w:t>.XX</w:t>
            </w:r>
          </w:p>
        </w:tc>
      </w:tr>
      <w:tr w:rsidR="00861989" w14:paraId="041B58AB" w14:textId="77777777" w:rsidTr="00EA09C7">
        <w:trPr>
          <w:trHeight w:val="495"/>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F8C490" w14:textId="77777777" w:rsidR="00861989" w:rsidRDefault="00861989" w:rsidP="00EA09C7">
            <w:pPr>
              <w:spacing w:before="240" w:after="240" w:line="240" w:lineRule="auto"/>
              <w:ind w:left="100"/>
              <w:rPr>
                <w:sz w:val="20"/>
                <w:szCs w:val="20"/>
              </w:rPr>
            </w:pPr>
            <w:r>
              <w:rPr>
                <w:sz w:val="20"/>
                <w:szCs w:val="20"/>
              </w:rPr>
              <w:tab/>
              <w:t>Gender</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4F999A22" w14:textId="77777777" w:rsidR="00861989" w:rsidRDefault="00861989" w:rsidP="00EA09C7">
            <w:pPr>
              <w:spacing w:before="240" w:after="240" w:line="240" w:lineRule="auto"/>
              <w:ind w:left="100"/>
              <w:jc w:val="right"/>
            </w:pPr>
            <w:r>
              <w:t>X.XX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52BAF1AD" w14:textId="77777777" w:rsidR="00861989" w:rsidRDefault="00861989" w:rsidP="00EA09C7">
            <w:pPr>
              <w:spacing w:before="240" w:after="240" w:line="240" w:lineRule="auto"/>
              <w:ind w:left="100"/>
              <w:jc w:val="right"/>
            </w:pPr>
            <w:r>
              <w:t>X</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68D66631" w14:textId="77777777" w:rsidR="00861989" w:rsidRDefault="00861989" w:rsidP="00EA09C7">
            <w:pPr>
              <w:spacing w:before="240" w:after="240" w:line="240" w:lineRule="auto"/>
              <w:ind w:left="100"/>
              <w:jc w:val="right"/>
            </w:pPr>
            <w:r>
              <w:t>.XX</w:t>
            </w:r>
          </w:p>
        </w:tc>
      </w:tr>
      <w:tr w:rsidR="00861989" w14:paraId="08359A96" w14:textId="77777777" w:rsidTr="00EA09C7">
        <w:trPr>
          <w:trHeight w:val="495"/>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255D0F" w14:textId="77777777" w:rsidR="00861989" w:rsidRDefault="00861989" w:rsidP="00EA09C7">
            <w:pPr>
              <w:spacing w:before="240" w:after="240" w:line="240" w:lineRule="auto"/>
              <w:ind w:left="100"/>
              <w:rPr>
                <w:b/>
                <w:sz w:val="20"/>
                <w:szCs w:val="20"/>
              </w:rPr>
            </w:pPr>
            <w:r>
              <w:rPr>
                <w:b/>
                <w:sz w:val="20"/>
                <w:szCs w:val="20"/>
              </w:rPr>
              <w:t>Lab Covariates</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C6FC01F" w14:textId="77777777" w:rsidR="00861989" w:rsidRDefault="00861989" w:rsidP="00EA09C7">
            <w:pPr>
              <w:spacing w:before="240" w:after="240" w:line="240" w:lineRule="auto"/>
              <w:ind w:left="100"/>
              <w:jc w:val="right"/>
            </w:pPr>
            <w:r>
              <w:t xml:space="preserve"> </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262A3D87" w14:textId="77777777" w:rsidR="00861989" w:rsidRDefault="00861989" w:rsidP="00EA09C7">
            <w:pPr>
              <w:spacing w:before="240" w:after="240" w:line="240" w:lineRule="auto"/>
              <w:ind w:left="100"/>
              <w:jc w:val="right"/>
            </w:pPr>
            <w:r>
              <w:t xml:space="preserve"> </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3D873CD5" w14:textId="77777777" w:rsidR="00861989" w:rsidRDefault="00861989" w:rsidP="00EA09C7">
            <w:pPr>
              <w:spacing w:before="240" w:after="240" w:line="240" w:lineRule="auto"/>
              <w:ind w:left="100"/>
              <w:jc w:val="right"/>
            </w:pPr>
            <w:r>
              <w:t xml:space="preserve"> </w:t>
            </w:r>
          </w:p>
        </w:tc>
      </w:tr>
      <w:tr w:rsidR="00861989" w14:paraId="13973128" w14:textId="77777777" w:rsidTr="00EA09C7">
        <w:trPr>
          <w:trHeight w:val="495"/>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7832DA" w14:textId="77777777" w:rsidR="00861989" w:rsidRDefault="00861989" w:rsidP="00EA09C7">
            <w:pPr>
              <w:spacing w:before="240" w:after="240" w:line="240" w:lineRule="auto"/>
              <w:ind w:left="100"/>
              <w:rPr>
                <w:sz w:val="20"/>
                <w:szCs w:val="20"/>
              </w:rPr>
            </w:pPr>
            <w:r>
              <w:rPr>
                <w:sz w:val="20"/>
                <w:szCs w:val="20"/>
              </w:rPr>
              <w:tab/>
              <w:t>Online vs. In person</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D439E2E" w14:textId="77777777" w:rsidR="00861989" w:rsidRDefault="00861989" w:rsidP="00EA09C7">
            <w:pPr>
              <w:spacing w:before="240" w:after="240" w:line="240" w:lineRule="auto"/>
              <w:ind w:left="100"/>
              <w:jc w:val="right"/>
            </w:pPr>
            <w:r>
              <w:t>X.XX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4617FB0A" w14:textId="77777777" w:rsidR="00861989" w:rsidRDefault="00861989" w:rsidP="00EA09C7">
            <w:pPr>
              <w:spacing w:before="240" w:after="240" w:line="240" w:lineRule="auto"/>
              <w:ind w:left="100"/>
              <w:jc w:val="right"/>
            </w:pPr>
            <w:r>
              <w:t>X</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21068E8B" w14:textId="77777777" w:rsidR="00861989" w:rsidRDefault="00861989" w:rsidP="00EA09C7">
            <w:pPr>
              <w:spacing w:before="240" w:after="240" w:line="240" w:lineRule="auto"/>
              <w:ind w:left="100"/>
              <w:jc w:val="right"/>
            </w:pPr>
            <w:r>
              <w:t>.XX</w:t>
            </w:r>
          </w:p>
        </w:tc>
      </w:tr>
      <w:tr w:rsidR="00861989" w14:paraId="78C678A5" w14:textId="77777777" w:rsidTr="00EA09C7">
        <w:trPr>
          <w:trHeight w:val="495"/>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458A06" w14:textId="77777777" w:rsidR="00861989" w:rsidRDefault="00861989" w:rsidP="00EA09C7">
            <w:pPr>
              <w:spacing w:before="240" w:after="240" w:line="240" w:lineRule="auto"/>
              <w:ind w:left="100"/>
              <w:rPr>
                <w:sz w:val="20"/>
                <w:szCs w:val="20"/>
              </w:rPr>
            </w:pPr>
            <w:r>
              <w:rPr>
                <w:sz w:val="20"/>
                <w:szCs w:val="20"/>
              </w:rPr>
              <w:tab/>
              <w:t>Individual vs. In group</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48CCCE63" w14:textId="77777777" w:rsidR="00861989" w:rsidRDefault="00861989" w:rsidP="00EA09C7">
            <w:pPr>
              <w:spacing w:before="240" w:after="240" w:line="240" w:lineRule="auto"/>
              <w:ind w:left="100"/>
              <w:jc w:val="right"/>
            </w:pPr>
            <w:r>
              <w:t>X.XX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74168D5E" w14:textId="77777777" w:rsidR="00861989" w:rsidRDefault="00861989" w:rsidP="00EA09C7">
            <w:pPr>
              <w:spacing w:before="240" w:after="240" w:line="240" w:lineRule="auto"/>
              <w:ind w:left="100"/>
              <w:jc w:val="right"/>
            </w:pPr>
            <w:r>
              <w:t>X</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203A5473" w14:textId="77777777" w:rsidR="00861989" w:rsidRDefault="00861989" w:rsidP="00EA09C7">
            <w:pPr>
              <w:spacing w:before="240" w:after="240" w:line="240" w:lineRule="auto"/>
              <w:ind w:left="100"/>
              <w:jc w:val="right"/>
            </w:pPr>
            <w:r>
              <w:t>.XX</w:t>
            </w:r>
          </w:p>
        </w:tc>
      </w:tr>
      <w:tr w:rsidR="00861989" w14:paraId="128B1F9D" w14:textId="77777777" w:rsidTr="00EA09C7">
        <w:trPr>
          <w:trHeight w:val="495"/>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0F4CF9" w14:textId="77777777" w:rsidR="00861989" w:rsidRDefault="00861989" w:rsidP="00EA09C7">
            <w:pPr>
              <w:spacing w:before="240" w:after="240" w:line="240" w:lineRule="auto"/>
              <w:ind w:left="100"/>
              <w:jc w:val="center"/>
              <w:rPr>
                <w:sz w:val="20"/>
                <w:szCs w:val="20"/>
              </w:rPr>
            </w:pPr>
            <w:r>
              <w:rPr>
                <w:sz w:val="20"/>
                <w:szCs w:val="20"/>
              </w:rPr>
              <w:t>Compensated vs. Not</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308D02F" w14:textId="77777777" w:rsidR="00861989" w:rsidRDefault="00861989" w:rsidP="00EA09C7">
            <w:pPr>
              <w:spacing w:before="240" w:after="240" w:line="240" w:lineRule="auto"/>
              <w:ind w:left="100"/>
              <w:jc w:val="right"/>
            </w:pPr>
            <w:r>
              <w:t>X.XX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34279249" w14:textId="77777777" w:rsidR="00861989" w:rsidRDefault="00861989" w:rsidP="00EA09C7">
            <w:pPr>
              <w:spacing w:before="240" w:after="240" w:line="240" w:lineRule="auto"/>
              <w:ind w:left="100"/>
              <w:jc w:val="right"/>
            </w:pPr>
            <w:r>
              <w:t>X</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6D23D40E" w14:textId="77777777" w:rsidR="00861989" w:rsidRDefault="00861989" w:rsidP="00EA09C7">
            <w:pPr>
              <w:spacing w:before="240" w:after="240" w:line="240" w:lineRule="auto"/>
              <w:ind w:left="100"/>
              <w:jc w:val="right"/>
            </w:pPr>
            <w:r>
              <w:t>.XX</w:t>
            </w:r>
          </w:p>
        </w:tc>
      </w:tr>
    </w:tbl>
    <w:p w14:paraId="7E488DB1" w14:textId="77777777" w:rsidR="00861989" w:rsidRDefault="00861989" w:rsidP="00861989">
      <w:pPr>
        <w:spacing w:before="240" w:after="240" w:line="240" w:lineRule="auto"/>
      </w:pPr>
      <w:r>
        <w:lastRenderedPageBreak/>
        <w:t xml:space="preserve"> </w:t>
      </w:r>
    </w:p>
    <w:p w14:paraId="4070C054" w14:textId="77777777" w:rsidR="00861989" w:rsidRDefault="00861989" w:rsidP="00861989">
      <w:pPr>
        <w:spacing w:before="240" w:after="240" w:line="240" w:lineRule="auto"/>
      </w:pPr>
      <w:r>
        <w:t>Table 4: Covariates – Unstandardized (</w:t>
      </w:r>
      <w:r>
        <w:rPr>
          <w:i/>
        </w:rPr>
        <w:t>B</w:t>
      </w:r>
      <w:r>
        <w:t>) and Standardized (</w:t>
      </w:r>
      <w:r>
        <w:rPr>
          <w:i/>
        </w:rPr>
        <w:t>β</w:t>
      </w:r>
      <w:r>
        <w:t>) Beta Coefficients</w:t>
      </w:r>
    </w:p>
    <w:tbl>
      <w:tblPr>
        <w:tblW w:w="9359" w:type="dxa"/>
        <w:tblBorders>
          <w:top w:val="nil"/>
          <w:left w:val="nil"/>
          <w:bottom w:val="nil"/>
          <w:right w:val="nil"/>
          <w:insideH w:val="nil"/>
          <w:insideV w:val="nil"/>
        </w:tblBorders>
        <w:tblLayout w:type="fixed"/>
        <w:tblLook w:val="0600" w:firstRow="0" w:lastRow="0" w:firstColumn="0" w:lastColumn="0" w:noHBand="1" w:noVBand="1"/>
      </w:tblPr>
      <w:tblGrid>
        <w:gridCol w:w="2522"/>
        <w:gridCol w:w="1409"/>
        <w:gridCol w:w="1379"/>
        <w:gridCol w:w="1335"/>
        <w:gridCol w:w="1379"/>
        <w:gridCol w:w="1335"/>
      </w:tblGrid>
      <w:tr w:rsidR="00861989" w14:paraId="079EA074" w14:textId="77777777" w:rsidTr="00EA09C7">
        <w:trPr>
          <w:trHeight w:val="495"/>
        </w:trPr>
        <w:tc>
          <w:tcPr>
            <w:tcW w:w="2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F2843" w14:textId="77777777" w:rsidR="00861989" w:rsidRDefault="00861989" w:rsidP="00EA09C7">
            <w:pPr>
              <w:spacing w:before="240" w:after="240" w:line="240" w:lineRule="auto"/>
              <w:rPr>
                <w:sz w:val="20"/>
                <w:szCs w:val="20"/>
              </w:rPr>
            </w:pPr>
            <w:r>
              <w:rPr>
                <w:sz w:val="20"/>
                <w:szCs w:val="20"/>
              </w:rPr>
              <w:t>Covariate</w:t>
            </w:r>
          </w:p>
        </w:tc>
        <w:tc>
          <w:tcPr>
            <w:tcW w:w="14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0872B2" w14:textId="77777777" w:rsidR="00861989" w:rsidRDefault="00861989" w:rsidP="00EA09C7">
            <w:pPr>
              <w:spacing w:before="240" w:after="240" w:line="240" w:lineRule="auto"/>
              <w:jc w:val="right"/>
              <w:rPr>
                <w:i/>
                <w:sz w:val="20"/>
                <w:szCs w:val="20"/>
              </w:rPr>
            </w:pPr>
            <w:r>
              <w:rPr>
                <w:i/>
                <w:sz w:val="20"/>
                <w:szCs w:val="20"/>
              </w:rPr>
              <w:t>B</w:t>
            </w:r>
          </w:p>
        </w:tc>
        <w:tc>
          <w:tcPr>
            <w:tcW w:w="137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250722" w14:textId="77777777" w:rsidR="00861989" w:rsidRDefault="00861989" w:rsidP="00EA09C7">
            <w:pPr>
              <w:spacing w:before="240" w:after="240" w:line="240" w:lineRule="auto"/>
              <w:jc w:val="right"/>
              <w:rPr>
                <w:i/>
                <w:sz w:val="20"/>
                <w:szCs w:val="20"/>
              </w:rPr>
            </w:pPr>
            <w:r>
              <w:rPr>
                <w:i/>
                <w:sz w:val="20"/>
                <w:szCs w:val="20"/>
              </w:rPr>
              <w:t>SE B</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8F6F7B" w14:textId="77777777" w:rsidR="00861989" w:rsidRDefault="00861989" w:rsidP="00EA09C7">
            <w:pPr>
              <w:spacing w:before="240" w:after="240" w:line="240" w:lineRule="auto"/>
              <w:jc w:val="right"/>
              <w:rPr>
                <w:sz w:val="20"/>
                <w:szCs w:val="20"/>
              </w:rPr>
            </w:pPr>
            <w:r>
              <w:rPr>
                <w:sz w:val="20"/>
                <w:szCs w:val="20"/>
              </w:rPr>
              <w:t>β</w:t>
            </w:r>
          </w:p>
        </w:tc>
        <w:tc>
          <w:tcPr>
            <w:tcW w:w="137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B48A23" w14:textId="77777777" w:rsidR="00861989" w:rsidRDefault="00861989" w:rsidP="00EA09C7">
            <w:pPr>
              <w:spacing w:before="240" w:after="240" w:line="240" w:lineRule="auto"/>
              <w:jc w:val="right"/>
              <w:rPr>
                <w:i/>
                <w:sz w:val="20"/>
                <w:szCs w:val="20"/>
              </w:rPr>
            </w:pPr>
            <w:r>
              <w:rPr>
                <w:i/>
                <w:sz w:val="20"/>
                <w:szCs w:val="20"/>
              </w:rPr>
              <w:t>t</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24535B" w14:textId="77777777" w:rsidR="00861989" w:rsidRDefault="00861989" w:rsidP="00EA09C7">
            <w:pPr>
              <w:spacing w:before="240" w:after="240" w:line="240" w:lineRule="auto"/>
              <w:jc w:val="right"/>
              <w:rPr>
                <w:i/>
                <w:sz w:val="20"/>
                <w:szCs w:val="20"/>
              </w:rPr>
            </w:pPr>
            <w:r>
              <w:rPr>
                <w:i/>
                <w:sz w:val="20"/>
                <w:szCs w:val="20"/>
              </w:rPr>
              <w:t>p</w:t>
            </w:r>
          </w:p>
        </w:tc>
      </w:tr>
      <w:tr w:rsidR="00861989" w14:paraId="415A3E0D" w14:textId="77777777" w:rsidTr="00EA09C7">
        <w:trPr>
          <w:trHeight w:val="765"/>
        </w:trPr>
        <w:tc>
          <w:tcPr>
            <w:tcW w:w="2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7E462C" w14:textId="77777777" w:rsidR="00861989" w:rsidRDefault="00861989" w:rsidP="00EA09C7">
            <w:pPr>
              <w:spacing w:before="240" w:after="240" w:line="240" w:lineRule="auto"/>
              <w:rPr>
                <w:b/>
                <w:sz w:val="20"/>
                <w:szCs w:val="20"/>
              </w:rPr>
            </w:pPr>
            <w:r>
              <w:rPr>
                <w:b/>
                <w:sz w:val="20"/>
                <w:szCs w:val="20"/>
              </w:rPr>
              <w:t>Participant Covariates</w:t>
            </w:r>
          </w:p>
        </w:tc>
        <w:tc>
          <w:tcPr>
            <w:tcW w:w="1409" w:type="dxa"/>
            <w:tcBorders>
              <w:top w:val="nil"/>
              <w:left w:val="nil"/>
              <w:bottom w:val="single" w:sz="8" w:space="0" w:color="000000"/>
              <w:right w:val="single" w:sz="8" w:space="0" w:color="000000"/>
            </w:tcBorders>
            <w:tcMar>
              <w:top w:w="100" w:type="dxa"/>
              <w:left w:w="100" w:type="dxa"/>
              <w:bottom w:w="100" w:type="dxa"/>
              <w:right w:w="100" w:type="dxa"/>
            </w:tcMar>
          </w:tcPr>
          <w:p w14:paraId="6657037D" w14:textId="77777777" w:rsidR="00861989" w:rsidRDefault="00861989" w:rsidP="00EA09C7">
            <w:pPr>
              <w:spacing w:before="240" w:after="240" w:line="240" w:lineRule="auto"/>
              <w:jc w:val="right"/>
              <w:rPr>
                <w:sz w:val="20"/>
                <w:szCs w:val="20"/>
              </w:rPr>
            </w:pPr>
            <w:r>
              <w:rPr>
                <w:sz w:val="20"/>
                <w:szCs w:val="20"/>
              </w:rPr>
              <w:t xml:space="preserve"> </w:t>
            </w:r>
          </w:p>
        </w:tc>
        <w:tc>
          <w:tcPr>
            <w:tcW w:w="1379" w:type="dxa"/>
            <w:tcBorders>
              <w:top w:val="nil"/>
              <w:left w:val="nil"/>
              <w:bottom w:val="single" w:sz="8" w:space="0" w:color="000000"/>
              <w:right w:val="single" w:sz="8" w:space="0" w:color="000000"/>
            </w:tcBorders>
            <w:tcMar>
              <w:top w:w="100" w:type="dxa"/>
              <w:left w:w="100" w:type="dxa"/>
              <w:bottom w:w="100" w:type="dxa"/>
              <w:right w:w="100" w:type="dxa"/>
            </w:tcMar>
          </w:tcPr>
          <w:p w14:paraId="332DB5D7" w14:textId="77777777" w:rsidR="00861989" w:rsidRDefault="00861989" w:rsidP="00EA09C7">
            <w:pPr>
              <w:spacing w:before="240" w:after="240" w:line="240" w:lineRule="auto"/>
              <w:jc w:val="right"/>
              <w:rPr>
                <w:sz w:val="20"/>
                <w:szCs w:val="20"/>
              </w:rPr>
            </w:pPr>
            <w:r>
              <w:rPr>
                <w:sz w:val="20"/>
                <w:szCs w:val="20"/>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7BA5D45D" w14:textId="77777777" w:rsidR="00861989" w:rsidRDefault="00861989" w:rsidP="00EA09C7">
            <w:pPr>
              <w:spacing w:before="240" w:after="240" w:line="240" w:lineRule="auto"/>
              <w:jc w:val="right"/>
              <w:rPr>
                <w:sz w:val="20"/>
                <w:szCs w:val="20"/>
              </w:rPr>
            </w:pPr>
            <w:r>
              <w:rPr>
                <w:sz w:val="20"/>
                <w:szCs w:val="20"/>
              </w:rPr>
              <w:t xml:space="preserve"> </w:t>
            </w:r>
          </w:p>
        </w:tc>
        <w:tc>
          <w:tcPr>
            <w:tcW w:w="1379" w:type="dxa"/>
            <w:tcBorders>
              <w:top w:val="nil"/>
              <w:left w:val="nil"/>
              <w:bottom w:val="single" w:sz="8" w:space="0" w:color="000000"/>
              <w:right w:val="single" w:sz="8" w:space="0" w:color="000000"/>
            </w:tcBorders>
            <w:tcMar>
              <w:top w:w="100" w:type="dxa"/>
              <w:left w:w="100" w:type="dxa"/>
              <w:bottom w:w="100" w:type="dxa"/>
              <w:right w:w="100" w:type="dxa"/>
            </w:tcMar>
          </w:tcPr>
          <w:p w14:paraId="23D0FD21" w14:textId="77777777" w:rsidR="00861989" w:rsidRDefault="00861989" w:rsidP="00EA09C7">
            <w:pPr>
              <w:spacing w:before="240" w:after="240" w:line="240" w:lineRule="auto"/>
              <w:jc w:val="right"/>
              <w:rPr>
                <w:sz w:val="20"/>
                <w:szCs w:val="20"/>
              </w:rPr>
            </w:pPr>
            <w:r>
              <w:rPr>
                <w:sz w:val="20"/>
                <w:szCs w:val="20"/>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238BB2E2" w14:textId="77777777" w:rsidR="00861989" w:rsidRDefault="00861989" w:rsidP="00EA09C7">
            <w:pPr>
              <w:spacing w:before="240" w:after="240" w:line="240" w:lineRule="auto"/>
              <w:jc w:val="right"/>
              <w:rPr>
                <w:sz w:val="20"/>
                <w:szCs w:val="20"/>
              </w:rPr>
            </w:pPr>
            <w:r>
              <w:rPr>
                <w:sz w:val="20"/>
                <w:szCs w:val="20"/>
              </w:rPr>
              <w:t xml:space="preserve"> </w:t>
            </w:r>
          </w:p>
        </w:tc>
      </w:tr>
      <w:tr w:rsidR="00861989" w14:paraId="39BF0702" w14:textId="77777777" w:rsidTr="00EA09C7">
        <w:trPr>
          <w:trHeight w:val="495"/>
        </w:trPr>
        <w:tc>
          <w:tcPr>
            <w:tcW w:w="2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0B4A2C" w14:textId="77777777" w:rsidR="00861989" w:rsidRDefault="00861989" w:rsidP="00EA09C7">
            <w:pPr>
              <w:spacing w:before="240" w:after="240" w:line="240" w:lineRule="auto"/>
              <w:rPr>
                <w:sz w:val="20"/>
                <w:szCs w:val="20"/>
              </w:rPr>
            </w:pPr>
            <w:r>
              <w:rPr>
                <w:sz w:val="20"/>
                <w:szCs w:val="20"/>
              </w:rPr>
              <w:tab/>
              <w:t>Years of education</w:t>
            </w:r>
          </w:p>
        </w:tc>
        <w:tc>
          <w:tcPr>
            <w:tcW w:w="1409" w:type="dxa"/>
            <w:tcBorders>
              <w:top w:val="nil"/>
              <w:left w:val="nil"/>
              <w:bottom w:val="single" w:sz="8" w:space="0" w:color="000000"/>
              <w:right w:val="single" w:sz="8" w:space="0" w:color="000000"/>
            </w:tcBorders>
            <w:tcMar>
              <w:top w:w="100" w:type="dxa"/>
              <w:left w:w="100" w:type="dxa"/>
              <w:bottom w:w="100" w:type="dxa"/>
              <w:right w:w="100" w:type="dxa"/>
            </w:tcMar>
          </w:tcPr>
          <w:p w14:paraId="52293E78" w14:textId="77777777" w:rsidR="00861989" w:rsidRDefault="00861989" w:rsidP="00EA09C7">
            <w:pPr>
              <w:spacing w:before="240" w:after="240" w:line="240" w:lineRule="auto"/>
              <w:jc w:val="right"/>
              <w:rPr>
                <w:sz w:val="20"/>
                <w:szCs w:val="20"/>
              </w:rPr>
            </w:pPr>
            <w:r>
              <w:rPr>
                <w:sz w:val="20"/>
                <w:szCs w:val="20"/>
              </w:rPr>
              <w:t>XX.XX</w:t>
            </w:r>
          </w:p>
        </w:tc>
        <w:tc>
          <w:tcPr>
            <w:tcW w:w="1379" w:type="dxa"/>
            <w:tcBorders>
              <w:top w:val="nil"/>
              <w:left w:val="nil"/>
              <w:bottom w:val="single" w:sz="8" w:space="0" w:color="000000"/>
              <w:right w:val="single" w:sz="8" w:space="0" w:color="000000"/>
            </w:tcBorders>
            <w:tcMar>
              <w:top w:w="100" w:type="dxa"/>
              <w:left w:w="100" w:type="dxa"/>
              <w:bottom w:w="100" w:type="dxa"/>
              <w:right w:w="100" w:type="dxa"/>
            </w:tcMar>
          </w:tcPr>
          <w:p w14:paraId="134E5C2F" w14:textId="77777777" w:rsidR="00861989" w:rsidRDefault="00861989" w:rsidP="00EA09C7">
            <w:pPr>
              <w:spacing w:before="240" w:after="240" w:line="240" w:lineRule="auto"/>
              <w:jc w:val="right"/>
              <w:rPr>
                <w:sz w:val="20"/>
                <w:szCs w:val="20"/>
              </w:rPr>
            </w:pPr>
            <w:r>
              <w:rPr>
                <w:sz w:val="20"/>
                <w:szCs w:val="20"/>
              </w:rPr>
              <w:t>X.XX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03341B4" w14:textId="77777777" w:rsidR="00861989" w:rsidRDefault="00861989" w:rsidP="00EA09C7">
            <w:pPr>
              <w:spacing w:before="240" w:after="240" w:line="240" w:lineRule="auto"/>
              <w:jc w:val="right"/>
              <w:rPr>
                <w:sz w:val="20"/>
                <w:szCs w:val="20"/>
              </w:rPr>
            </w:pPr>
            <w:r>
              <w:rPr>
                <w:sz w:val="20"/>
                <w:szCs w:val="20"/>
              </w:rPr>
              <w:t>.XX</w:t>
            </w:r>
          </w:p>
        </w:tc>
        <w:tc>
          <w:tcPr>
            <w:tcW w:w="1379" w:type="dxa"/>
            <w:tcBorders>
              <w:top w:val="nil"/>
              <w:left w:val="nil"/>
              <w:bottom w:val="single" w:sz="8" w:space="0" w:color="000000"/>
              <w:right w:val="single" w:sz="8" w:space="0" w:color="000000"/>
            </w:tcBorders>
            <w:tcMar>
              <w:top w:w="100" w:type="dxa"/>
              <w:left w:w="100" w:type="dxa"/>
              <w:bottom w:w="100" w:type="dxa"/>
              <w:right w:w="100" w:type="dxa"/>
            </w:tcMar>
          </w:tcPr>
          <w:p w14:paraId="096C6CF0" w14:textId="77777777" w:rsidR="00861989" w:rsidRDefault="00861989" w:rsidP="00EA09C7">
            <w:pPr>
              <w:spacing w:before="240" w:after="240" w:line="240" w:lineRule="auto"/>
              <w:jc w:val="right"/>
              <w:rPr>
                <w:sz w:val="20"/>
                <w:szCs w:val="20"/>
              </w:rPr>
            </w:pPr>
            <w:r>
              <w:rPr>
                <w:sz w:val="20"/>
                <w:szCs w:val="20"/>
              </w:rPr>
              <w:t>X.XX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1F9BDECC" w14:textId="77777777" w:rsidR="00861989" w:rsidRDefault="00861989" w:rsidP="00EA09C7">
            <w:pPr>
              <w:spacing w:before="240" w:after="240" w:line="240" w:lineRule="auto"/>
              <w:jc w:val="right"/>
              <w:rPr>
                <w:sz w:val="20"/>
                <w:szCs w:val="20"/>
              </w:rPr>
            </w:pPr>
            <w:r>
              <w:rPr>
                <w:sz w:val="20"/>
                <w:szCs w:val="20"/>
              </w:rPr>
              <w:t>.XX</w:t>
            </w:r>
          </w:p>
        </w:tc>
      </w:tr>
      <w:tr w:rsidR="00861989" w14:paraId="2CA32C24" w14:textId="77777777" w:rsidTr="00EA09C7">
        <w:trPr>
          <w:trHeight w:val="495"/>
        </w:trPr>
        <w:tc>
          <w:tcPr>
            <w:tcW w:w="2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7CBBD4" w14:textId="77777777" w:rsidR="00861989" w:rsidRDefault="00861989" w:rsidP="00EA09C7">
            <w:pPr>
              <w:spacing w:before="240" w:after="240" w:line="240" w:lineRule="auto"/>
              <w:rPr>
                <w:sz w:val="20"/>
                <w:szCs w:val="20"/>
              </w:rPr>
            </w:pPr>
            <w:r>
              <w:rPr>
                <w:sz w:val="20"/>
                <w:szCs w:val="20"/>
              </w:rPr>
              <w:tab/>
              <w:t>Age</w:t>
            </w:r>
          </w:p>
        </w:tc>
        <w:tc>
          <w:tcPr>
            <w:tcW w:w="1409" w:type="dxa"/>
            <w:tcBorders>
              <w:top w:val="nil"/>
              <w:left w:val="nil"/>
              <w:bottom w:val="single" w:sz="8" w:space="0" w:color="000000"/>
              <w:right w:val="single" w:sz="8" w:space="0" w:color="000000"/>
            </w:tcBorders>
            <w:tcMar>
              <w:top w:w="100" w:type="dxa"/>
              <w:left w:w="100" w:type="dxa"/>
              <w:bottom w:w="100" w:type="dxa"/>
              <w:right w:w="100" w:type="dxa"/>
            </w:tcMar>
          </w:tcPr>
          <w:p w14:paraId="7C3EA7A0" w14:textId="77777777" w:rsidR="00861989" w:rsidRDefault="00861989" w:rsidP="00EA09C7">
            <w:pPr>
              <w:spacing w:before="240" w:after="240" w:line="240" w:lineRule="auto"/>
              <w:jc w:val="right"/>
              <w:rPr>
                <w:sz w:val="20"/>
                <w:szCs w:val="20"/>
              </w:rPr>
            </w:pPr>
            <w:r>
              <w:rPr>
                <w:sz w:val="20"/>
                <w:szCs w:val="20"/>
              </w:rPr>
              <w:t>XX.XX</w:t>
            </w:r>
          </w:p>
        </w:tc>
        <w:tc>
          <w:tcPr>
            <w:tcW w:w="1379" w:type="dxa"/>
            <w:tcBorders>
              <w:top w:val="nil"/>
              <w:left w:val="nil"/>
              <w:bottom w:val="single" w:sz="8" w:space="0" w:color="000000"/>
              <w:right w:val="single" w:sz="8" w:space="0" w:color="000000"/>
            </w:tcBorders>
            <w:tcMar>
              <w:top w:w="100" w:type="dxa"/>
              <w:left w:w="100" w:type="dxa"/>
              <w:bottom w:w="100" w:type="dxa"/>
              <w:right w:w="100" w:type="dxa"/>
            </w:tcMar>
          </w:tcPr>
          <w:p w14:paraId="0AB1AFD2" w14:textId="77777777" w:rsidR="00861989" w:rsidRDefault="00861989" w:rsidP="00EA09C7">
            <w:pPr>
              <w:spacing w:before="240" w:after="240" w:line="240" w:lineRule="auto"/>
              <w:jc w:val="right"/>
              <w:rPr>
                <w:sz w:val="20"/>
                <w:szCs w:val="20"/>
              </w:rPr>
            </w:pPr>
            <w:r>
              <w:rPr>
                <w:sz w:val="20"/>
                <w:szCs w:val="20"/>
              </w:rPr>
              <w:t>X.XX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5DB2C728" w14:textId="77777777" w:rsidR="00861989" w:rsidRDefault="00861989" w:rsidP="00EA09C7">
            <w:pPr>
              <w:spacing w:before="240" w:after="240" w:line="240" w:lineRule="auto"/>
              <w:jc w:val="right"/>
              <w:rPr>
                <w:sz w:val="20"/>
                <w:szCs w:val="20"/>
              </w:rPr>
            </w:pPr>
            <w:r>
              <w:rPr>
                <w:sz w:val="20"/>
                <w:szCs w:val="20"/>
              </w:rPr>
              <w:t>.XX</w:t>
            </w:r>
          </w:p>
        </w:tc>
        <w:tc>
          <w:tcPr>
            <w:tcW w:w="1379" w:type="dxa"/>
            <w:tcBorders>
              <w:top w:val="nil"/>
              <w:left w:val="nil"/>
              <w:bottom w:val="single" w:sz="8" w:space="0" w:color="000000"/>
              <w:right w:val="single" w:sz="8" w:space="0" w:color="000000"/>
            </w:tcBorders>
            <w:tcMar>
              <w:top w:w="100" w:type="dxa"/>
              <w:left w:w="100" w:type="dxa"/>
              <w:bottom w:w="100" w:type="dxa"/>
              <w:right w:w="100" w:type="dxa"/>
            </w:tcMar>
          </w:tcPr>
          <w:p w14:paraId="2E8F2864" w14:textId="77777777" w:rsidR="00861989" w:rsidRDefault="00861989" w:rsidP="00EA09C7">
            <w:pPr>
              <w:spacing w:before="240" w:after="240" w:line="240" w:lineRule="auto"/>
              <w:jc w:val="right"/>
              <w:rPr>
                <w:sz w:val="20"/>
                <w:szCs w:val="20"/>
              </w:rPr>
            </w:pPr>
            <w:r>
              <w:rPr>
                <w:sz w:val="20"/>
                <w:szCs w:val="20"/>
              </w:rPr>
              <w:t>X.XX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50D5C85" w14:textId="77777777" w:rsidR="00861989" w:rsidRDefault="00861989" w:rsidP="00EA09C7">
            <w:pPr>
              <w:spacing w:before="240" w:after="240" w:line="240" w:lineRule="auto"/>
              <w:jc w:val="right"/>
              <w:rPr>
                <w:sz w:val="20"/>
                <w:szCs w:val="20"/>
              </w:rPr>
            </w:pPr>
            <w:r>
              <w:rPr>
                <w:sz w:val="20"/>
                <w:szCs w:val="20"/>
              </w:rPr>
              <w:t>.XX</w:t>
            </w:r>
          </w:p>
        </w:tc>
      </w:tr>
      <w:tr w:rsidR="00861989" w14:paraId="002AD61F" w14:textId="77777777" w:rsidTr="00EA09C7">
        <w:trPr>
          <w:trHeight w:val="495"/>
        </w:trPr>
        <w:tc>
          <w:tcPr>
            <w:tcW w:w="2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E1220B" w14:textId="77777777" w:rsidR="00861989" w:rsidRDefault="00861989" w:rsidP="00EA09C7">
            <w:pPr>
              <w:spacing w:before="240" w:after="240" w:line="240" w:lineRule="auto"/>
              <w:rPr>
                <w:sz w:val="20"/>
                <w:szCs w:val="20"/>
              </w:rPr>
            </w:pPr>
            <w:r>
              <w:rPr>
                <w:sz w:val="20"/>
                <w:szCs w:val="20"/>
              </w:rPr>
              <w:tab/>
              <w:t>Gender</w:t>
            </w:r>
          </w:p>
        </w:tc>
        <w:tc>
          <w:tcPr>
            <w:tcW w:w="1409" w:type="dxa"/>
            <w:tcBorders>
              <w:top w:val="nil"/>
              <w:left w:val="nil"/>
              <w:bottom w:val="single" w:sz="8" w:space="0" w:color="000000"/>
              <w:right w:val="single" w:sz="8" w:space="0" w:color="000000"/>
            </w:tcBorders>
            <w:tcMar>
              <w:top w:w="100" w:type="dxa"/>
              <w:left w:w="100" w:type="dxa"/>
              <w:bottom w:w="100" w:type="dxa"/>
              <w:right w:w="100" w:type="dxa"/>
            </w:tcMar>
          </w:tcPr>
          <w:p w14:paraId="79E3C5FA" w14:textId="77777777" w:rsidR="00861989" w:rsidRDefault="00861989" w:rsidP="00EA09C7">
            <w:pPr>
              <w:spacing w:before="240" w:after="240" w:line="240" w:lineRule="auto"/>
              <w:jc w:val="right"/>
              <w:rPr>
                <w:sz w:val="20"/>
                <w:szCs w:val="20"/>
              </w:rPr>
            </w:pPr>
            <w:r>
              <w:rPr>
                <w:sz w:val="20"/>
                <w:szCs w:val="20"/>
              </w:rPr>
              <w:t>XX.XX</w:t>
            </w:r>
          </w:p>
        </w:tc>
        <w:tc>
          <w:tcPr>
            <w:tcW w:w="1379" w:type="dxa"/>
            <w:tcBorders>
              <w:top w:val="nil"/>
              <w:left w:val="nil"/>
              <w:bottom w:val="single" w:sz="8" w:space="0" w:color="000000"/>
              <w:right w:val="single" w:sz="8" w:space="0" w:color="000000"/>
            </w:tcBorders>
            <w:tcMar>
              <w:top w:w="100" w:type="dxa"/>
              <w:left w:w="100" w:type="dxa"/>
              <w:bottom w:w="100" w:type="dxa"/>
              <w:right w:w="100" w:type="dxa"/>
            </w:tcMar>
          </w:tcPr>
          <w:p w14:paraId="322EFAB0" w14:textId="77777777" w:rsidR="00861989" w:rsidRDefault="00861989" w:rsidP="00EA09C7">
            <w:pPr>
              <w:spacing w:before="240" w:after="240" w:line="240" w:lineRule="auto"/>
              <w:jc w:val="right"/>
              <w:rPr>
                <w:sz w:val="20"/>
                <w:szCs w:val="20"/>
              </w:rPr>
            </w:pPr>
            <w:r>
              <w:rPr>
                <w:sz w:val="20"/>
                <w:szCs w:val="20"/>
              </w:rPr>
              <w:t>X.XX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F53F6F2" w14:textId="77777777" w:rsidR="00861989" w:rsidRDefault="00861989" w:rsidP="00EA09C7">
            <w:pPr>
              <w:spacing w:before="240" w:after="240" w:line="240" w:lineRule="auto"/>
              <w:jc w:val="right"/>
              <w:rPr>
                <w:sz w:val="20"/>
                <w:szCs w:val="20"/>
              </w:rPr>
            </w:pPr>
            <w:r>
              <w:rPr>
                <w:sz w:val="20"/>
                <w:szCs w:val="20"/>
              </w:rPr>
              <w:t>.XX</w:t>
            </w:r>
          </w:p>
        </w:tc>
        <w:tc>
          <w:tcPr>
            <w:tcW w:w="1379" w:type="dxa"/>
            <w:tcBorders>
              <w:top w:val="nil"/>
              <w:left w:val="nil"/>
              <w:bottom w:val="single" w:sz="8" w:space="0" w:color="000000"/>
              <w:right w:val="single" w:sz="8" w:space="0" w:color="000000"/>
            </w:tcBorders>
            <w:tcMar>
              <w:top w:w="100" w:type="dxa"/>
              <w:left w:w="100" w:type="dxa"/>
              <w:bottom w:w="100" w:type="dxa"/>
              <w:right w:w="100" w:type="dxa"/>
            </w:tcMar>
          </w:tcPr>
          <w:p w14:paraId="633586EA" w14:textId="77777777" w:rsidR="00861989" w:rsidRDefault="00861989" w:rsidP="00EA09C7">
            <w:pPr>
              <w:spacing w:before="240" w:after="240" w:line="240" w:lineRule="auto"/>
              <w:jc w:val="right"/>
              <w:rPr>
                <w:sz w:val="20"/>
                <w:szCs w:val="20"/>
              </w:rPr>
            </w:pPr>
            <w:r>
              <w:rPr>
                <w:sz w:val="20"/>
                <w:szCs w:val="20"/>
              </w:rPr>
              <w:t>X.XX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1785B985" w14:textId="77777777" w:rsidR="00861989" w:rsidRDefault="00861989" w:rsidP="00EA09C7">
            <w:pPr>
              <w:spacing w:before="240" w:after="240" w:line="240" w:lineRule="auto"/>
              <w:jc w:val="right"/>
              <w:rPr>
                <w:sz w:val="20"/>
                <w:szCs w:val="20"/>
              </w:rPr>
            </w:pPr>
            <w:r>
              <w:rPr>
                <w:sz w:val="20"/>
                <w:szCs w:val="20"/>
              </w:rPr>
              <w:t>.XX</w:t>
            </w:r>
          </w:p>
        </w:tc>
      </w:tr>
      <w:tr w:rsidR="00861989" w14:paraId="1B841E4F" w14:textId="77777777" w:rsidTr="00EA09C7">
        <w:trPr>
          <w:trHeight w:val="495"/>
        </w:trPr>
        <w:tc>
          <w:tcPr>
            <w:tcW w:w="2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651C96" w14:textId="77777777" w:rsidR="00861989" w:rsidRDefault="00861989" w:rsidP="00EA09C7">
            <w:pPr>
              <w:spacing w:before="240" w:after="240" w:line="240" w:lineRule="auto"/>
              <w:rPr>
                <w:b/>
                <w:sz w:val="20"/>
                <w:szCs w:val="20"/>
              </w:rPr>
            </w:pPr>
            <w:r>
              <w:rPr>
                <w:b/>
                <w:sz w:val="20"/>
                <w:szCs w:val="20"/>
              </w:rPr>
              <w:t>Lab Covariates</w:t>
            </w:r>
          </w:p>
        </w:tc>
        <w:tc>
          <w:tcPr>
            <w:tcW w:w="1409" w:type="dxa"/>
            <w:tcBorders>
              <w:top w:val="nil"/>
              <w:left w:val="nil"/>
              <w:bottom w:val="single" w:sz="8" w:space="0" w:color="000000"/>
              <w:right w:val="single" w:sz="8" w:space="0" w:color="000000"/>
            </w:tcBorders>
            <w:tcMar>
              <w:top w:w="100" w:type="dxa"/>
              <w:left w:w="100" w:type="dxa"/>
              <w:bottom w:w="100" w:type="dxa"/>
              <w:right w:w="100" w:type="dxa"/>
            </w:tcMar>
          </w:tcPr>
          <w:p w14:paraId="7006583E" w14:textId="77777777" w:rsidR="00861989" w:rsidRDefault="00861989" w:rsidP="00EA09C7">
            <w:pPr>
              <w:spacing w:before="240" w:after="240" w:line="240" w:lineRule="auto"/>
              <w:jc w:val="right"/>
              <w:rPr>
                <w:sz w:val="20"/>
                <w:szCs w:val="20"/>
              </w:rPr>
            </w:pPr>
            <w:r>
              <w:rPr>
                <w:sz w:val="20"/>
                <w:szCs w:val="20"/>
              </w:rPr>
              <w:t xml:space="preserve"> </w:t>
            </w:r>
          </w:p>
        </w:tc>
        <w:tc>
          <w:tcPr>
            <w:tcW w:w="1379" w:type="dxa"/>
            <w:tcBorders>
              <w:top w:val="nil"/>
              <w:left w:val="nil"/>
              <w:bottom w:val="single" w:sz="8" w:space="0" w:color="000000"/>
              <w:right w:val="single" w:sz="8" w:space="0" w:color="000000"/>
            </w:tcBorders>
            <w:tcMar>
              <w:top w:w="100" w:type="dxa"/>
              <w:left w:w="100" w:type="dxa"/>
              <w:bottom w:w="100" w:type="dxa"/>
              <w:right w:w="100" w:type="dxa"/>
            </w:tcMar>
          </w:tcPr>
          <w:p w14:paraId="3E74421D" w14:textId="77777777" w:rsidR="00861989" w:rsidRDefault="00861989" w:rsidP="00EA09C7">
            <w:pPr>
              <w:spacing w:before="240" w:after="240" w:line="240" w:lineRule="auto"/>
              <w:jc w:val="right"/>
              <w:rPr>
                <w:sz w:val="20"/>
                <w:szCs w:val="20"/>
              </w:rPr>
            </w:pPr>
            <w:r>
              <w:rPr>
                <w:sz w:val="20"/>
                <w:szCs w:val="20"/>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0D192256" w14:textId="77777777" w:rsidR="00861989" w:rsidRDefault="00861989" w:rsidP="00EA09C7">
            <w:pPr>
              <w:spacing w:before="240" w:after="240" w:line="240" w:lineRule="auto"/>
              <w:jc w:val="right"/>
              <w:rPr>
                <w:sz w:val="20"/>
                <w:szCs w:val="20"/>
              </w:rPr>
            </w:pPr>
            <w:r>
              <w:rPr>
                <w:sz w:val="20"/>
                <w:szCs w:val="20"/>
              </w:rPr>
              <w:t xml:space="preserve"> </w:t>
            </w:r>
          </w:p>
        </w:tc>
        <w:tc>
          <w:tcPr>
            <w:tcW w:w="1379" w:type="dxa"/>
            <w:tcBorders>
              <w:top w:val="nil"/>
              <w:left w:val="nil"/>
              <w:bottom w:val="single" w:sz="8" w:space="0" w:color="000000"/>
              <w:right w:val="single" w:sz="8" w:space="0" w:color="000000"/>
            </w:tcBorders>
            <w:tcMar>
              <w:top w:w="100" w:type="dxa"/>
              <w:left w:w="100" w:type="dxa"/>
              <w:bottom w:w="100" w:type="dxa"/>
              <w:right w:w="100" w:type="dxa"/>
            </w:tcMar>
          </w:tcPr>
          <w:p w14:paraId="184701E1" w14:textId="77777777" w:rsidR="00861989" w:rsidRDefault="00861989" w:rsidP="00EA09C7">
            <w:pPr>
              <w:spacing w:before="240" w:after="240" w:line="240" w:lineRule="auto"/>
              <w:jc w:val="right"/>
              <w:rPr>
                <w:sz w:val="20"/>
                <w:szCs w:val="20"/>
              </w:rPr>
            </w:pPr>
            <w:r>
              <w:rPr>
                <w:sz w:val="20"/>
                <w:szCs w:val="20"/>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771FD6E6" w14:textId="77777777" w:rsidR="00861989" w:rsidRDefault="00861989" w:rsidP="00EA09C7">
            <w:pPr>
              <w:spacing w:before="240" w:after="240" w:line="240" w:lineRule="auto"/>
              <w:jc w:val="right"/>
              <w:rPr>
                <w:sz w:val="20"/>
                <w:szCs w:val="20"/>
              </w:rPr>
            </w:pPr>
            <w:r>
              <w:rPr>
                <w:sz w:val="20"/>
                <w:szCs w:val="20"/>
              </w:rPr>
              <w:t xml:space="preserve"> </w:t>
            </w:r>
          </w:p>
        </w:tc>
      </w:tr>
      <w:tr w:rsidR="00861989" w14:paraId="0B616792" w14:textId="77777777" w:rsidTr="00EA09C7">
        <w:trPr>
          <w:trHeight w:val="495"/>
        </w:trPr>
        <w:tc>
          <w:tcPr>
            <w:tcW w:w="2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8B6DC7" w14:textId="77777777" w:rsidR="00861989" w:rsidRDefault="00861989" w:rsidP="00EA09C7">
            <w:pPr>
              <w:spacing w:before="240" w:after="240" w:line="240" w:lineRule="auto"/>
              <w:rPr>
                <w:sz w:val="20"/>
                <w:szCs w:val="20"/>
              </w:rPr>
            </w:pPr>
            <w:r>
              <w:rPr>
                <w:sz w:val="20"/>
                <w:szCs w:val="20"/>
              </w:rPr>
              <w:tab/>
              <w:t>Online vs. In person</w:t>
            </w:r>
          </w:p>
        </w:tc>
        <w:tc>
          <w:tcPr>
            <w:tcW w:w="1409" w:type="dxa"/>
            <w:tcBorders>
              <w:top w:val="nil"/>
              <w:left w:val="nil"/>
              <w:bottom w:val="single" w:sz="8" w:space="0" w:color="000000"/>
              <w:right w:val="single" w:sz="8" w:space="0" w:color="000000"/>
            </w:tcBorders>
            <w:tcMar>
              <w:top w:w="100" w:type="dxa"/>
              <w:left w:w="100" w:type="dxa"/>
              <w:bottom w:w="100" w:type="dxa"/>
              <w:right w:w="100" w:type="dxa"/>
            </w:tcMar>
          </w:tcPr>
          <w:p w14:paraId="1DFF4429" w14:textId="77777777" w:rsidR="00861989" w:rsidRDefault="00861989" w:rsidP="00EA09C7">
            <w:pPr>
              <w:spacing w:before="240" w:after="240" w:line="240" w:lineRule="auto"/>
              <w:jc w:val="right"/>
              <w:rPr>
                <w:sz w:val="20"/>
                <w:szCs w:val="20"/>
              </w:rPr>
            </w:pPr>
            <w:r>
              <w:rPr>
                <w:sz w:val="20"/>
                <w:szCs w:val="20"/>
              </w:rPr>
              <w:t>XX.XX</w:t>
            </w:r>
          </w:p>
        </w:tc>
        <w:tc>
          <w:tcPr>
            <w:tcW w:w="1379" w:type="dxa"/>
            <w:tcBorders>
              <w:top w:val="nil"/>
              <w:left w:val="nil"/>
              <w:bottom w:val="single" w:sz="8" w:space="0" w:color="000000"/>
              <w:right w:val="single" w:sz="8" w:space="0" w:color="000000"/>
            </w:tcBorders>
            <w:tcMar>
              <w:top w:w="100" w:type="dxa"/>
              <w:left w:w="100" w:type="dxa"/>
              <w:bottom w:w="100" w:type="dxa"/>
              <w:right w:w="100" w:type="dxa"/>
            </w:tcMar>
          </w:tcPr>
          <w:p w14:paraId="64E69CB4" w14:textId="77777777" w:rsidR="00861989" w:rsidRDefault="00861989" w:rsidP="00EA09C7">
            <w:pPr>
              <w:spacing w:before="240" w:after="240" w:line="240" w:lineRule="auto"/>
              <w:jc w:val="right"/>
              <w:rPr>
                <w:sz w:val="20"/>
                <w:szCs w:val="20"/>
              </w:rPr>
            </w:pPr>
            <w:r>
              <w:rPr>
                <w:sz w:val="20"/>
                <w:szCs w:val="20"/>
              </w:rPr>
              <w:t>X.XX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7E168DFD" w14:textId="77777777" w:rsidR="00861989" w:rsidRDefault="00861989" w:rsidP="00EA09C7">
            <w:pPr>
              <w:spacing w:before="240" w:after="240" w:line="240" w:lineRule="auto"/>
              <w:jc w:val="right"/>
              <w:rPr>
                <w:sz w:val="20"/>
                <w:szCs w:val="20"/>
              </w:rPr>
            </w:pPr>
            <w:r>
              <w:rPr>
                <w:sz w:val="20"/>
                <w:szCs w:val="20"/>
              </w:rPr>
              <w:t>.XX</w:t>
            </w:r>
          </w:p>
        </w:tc>
        <w:tc>
          <w:tcPr>
            <w:tcW w:w="1379" w:type="dxa"/>
            <w:tcBorders>
              <w:top w:val="nil"/>
              <w:left w:val="nil"/>
              <w:bottom w:val="single" w:sz="8" w:space="0" w:color="000000"/>
              <w:right w:val="single" w:sz="8" w:space="0" w:color="000000"/>
            </w:tcBorders>
            <w:tcMar>
              <w:top w:w="100" w:type="dxa"/>
              <w:left w:w="100" w:type="dxa"/>
              <w:bottom w:w="100" w:type="dxa"/>
              <w:right w:w="100" w:type="dxa"/>
            </w:tcMar>
          </w:tcPr>
          <w:p w14:paraId="425212A1" w14:textId="77777777" w:rsidR="00861989" w:rsidRDefault="00861989" w:rsidP="00EA09C7">
            <w:pPr>
              <w:spacing w:before="240" w:after="240" w:line="240" w:lineRule="auto"/>
              <w:jc w:val="right"/>
              <w:rPr>
                <w:sz w:val="20"/>
                <w:szCs w:val="20"/>
              </w:rPr>
            </w:pPr>
            <w:r>
              <w:rPr>
                <w:sz w:val="20"/>
                <w:szCs w:val="20"/>
              </w:rPr>
              <w:t>X.XX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61A17DBB" w14:textId="77777777" w:rsidR="00861989" w:rsidRDefault="00861989" w:rsidP="00EA09C7">
            <w:pPr>
              <w:spacing w:before="240" w:after="240" w:line="240" w:lineRule="auto"/>
              <w:jc w:val="right"/>
              <w:rPr>
                <w:sz w:val="20"/>
                <w:szCs w:val="20"/>
              </w:rPr>
            </w:pPr>
            <w:r>
              <w:rPr>
                <w:sz w:val="20"/>
                <w:szCs w:val="20"/>
              </w:rPr>
              <w:t>.XX</w:t>
            </w:r>
          </w:p>
        </w:tc>
      </w:tr>
      <w:tr w:rsidR="00861989" w14:paraId="698ADF0B" w14:textId="77777777" w:rsidTr="00EA09C7">
        <w:trPr>
          <w:trHeight w:val="765"/>
        </w:trPr>
        <w:tc>
          <w:tcPr>
            <w:tcW w:w="2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CF1073" w14:textId="77777777" w:rsidR="00861989" w:rsidRDefault="00861989" w:rsidP="00EA09C7">
            <w:pPr>
              <w:spacing w:before="240" w:after="240" w:line="240" w:lineRule="auto"/>
              <w:rPr>
                <w:sz w:val="20"/>
                <w:szCs w:val="20"/>
              </w:rPr>
            </w:pPr>
            <w:r>
              <w:rPr>
                <w:sz w:val="20"/>
                <w:szCs w:val="20"/>
              </w:rPr>
              <w:tab/>
              <w:t>Individual vs. In group</w:t>
            </w:r>
          </w:p>
        </w:tc>
        <w:tc>
          <w:tcPr>
            <w:tcW w:w="1409" w:type="dxa"/>
            <w:tcBorders>
              <w:top w:val="nil"/>
              <w:left w:val="nil"/>
              <w:bottom w:val="single" w:sz="8" w:space="0" w:color="000000"/>
              <w:right w:val="single" w:sz="8" w:space="0" w:color="000000"/>
            </w:tcBorders>
            <w:tcMar>
              <w:top w:w="100" w:type="dxa"/>
              <w:left w:w="100" w:type="dxa"/>
              <w:bottom w:w="100" w:type="dxa"/>
              <w:right w:w="100" w:type="dxa"/>
            </w:tcMar>
          </w:tcPr>
          <w:p w14:paraId="4CB6DF66" w14:textId="77777777" w:rsidR="00861989" w:rsidRDefault="00861989" w:rsidP="00EA09C7">
            <w:pPr>
              <w:spacing w:before="240" w:after="240" w:line="240" w:lineRule="auto"/>
              <w:jc w:val="right"/>
              <w:rPr>
                <w:sz w:val="20"/>
                <w:szCs w:val="20"/>
              </w:rPr>
            </w:pPr>
            <w:r>
              <w:rPr>
                <w:sz w:val="20"/>
                <w:szCs w:val="20"/>
              </w:rPr>
              <w:t>XX.XX</w:t>
            </w:r>
          </w:p>
        </w:tc>
        <w:tc>
          <w:tcPr>
            <w:tcW w:w="1379" w:type="dxa"/>
            <w:tcBorders>
              <w:top w:val="nil"/>
              <w:left w:val="nil"/>
              <w:bottom w:val="single" w:sz="8" w:space="0" w:color="000000"/>
              <w:right w:val="single" w:sz="8" w:space="0" w:color="000000"/>
            </w:tcBorders>
            <w:tcMar>
              <w:top w:w="100" w:type="dxa"/>
              <w:left w:w="100" w:type="dxa"/>
              <w:bottom w:w="100" w:type="dxa"/>
              <w:right w:w="100" w:type="dxa"/>
            </w:tcMar>
          </w:tcPr>
          <w:p w14:paraId="1EA51ACF" w14:textId="77777777" w:rsidR="00861989" w:rsidRDefault="00861989" w:rsidP="00EA09C7">
            <w:pPr>
              <w:spacing w:before="240" w:after="240" w:line="240" w:lineRule="auto"/>
              <w:jc w:val="right"/>
              <w:rPr>
                <w:sz w:val="20"/>
                <w:szCs w:val="20"/>
              </w:rPr>
            </w:pPr>
            <w:r>
              <w:rPr>
                <w:sz w:val="20"/>
                <w:szCs w:val="20"/>
              </w:rPr>
              <w:t>X.XX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F022701" w14:textId="77777777" w:rsidR="00861989" w:rsidRDefault="00861989" w:rsidP="00EA09C7">
            <w:pPr>
              <w:spacing w:before="240" w:after="240" w:line="240" w:lineRule="auto"/>
              <w:jc w:val="right"/>
              <w:rPr>
                <w:sz w:val="20"/>
                <w:szCs w:val="20"/>
              </w:rPr>
            </w:pPr>
            <w:r>
              <w:rPr>
                <w:sz w:val="20"/>
                <w:szCs w:val="20"/>
              </w:rPr>
              <w:t>.XX</w:t>
            </w:r>
          </w:p>
        </w:tc>
        <w:tc>
          <w:tcPr>
            <w:tcW w:w="1379" w:type="dxa"/>
            <w:tcBorders>
              <w:top w:val="nil"/>
              <w:left w:val="nil"/>
              <w:bottom w:val="single" w:sz="8" w:space="0" w:color="000000"/>
              <w:right w:val="single" w:sz="8" w:space="0" w:color="000000"/>
            </w:tcBorders>
            <w:tcMar>
              <w:top w:w="100" w:type="dxa"/>
              <w:left w:w="100" w:type="dxa"/>
              <w:bottom w:w="100" w:type="dxa"/>
              <w:right w:w="100" w:type="dxa"/>
            </w:tcMar>
          </w:tcPr>
          <w:p w14:paraId="509F26DB" w14:textId="77777777" w:rsidR="00861989" w:rsidRDefault="00861989" w:rsidP="00EA09C7">
            <w:pPr>
              <w:spacing w:before="240" w:after="240" w:line="240" w:lineRule="auto"/>
              <w:jc w:val="right"/>
              <w:rPr>
                <w:sz w:val="20"/>
                <w:szCs w:val="20"/>
              </w:rPr>
            </w:pPr>
            <w:r>
              <w:rPr>
                <w:sz w:val="20"/>
                <w:szCs w:val="20"/>
              </w:rPr>
              <w:t>X.XX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04A28311" w14:textId="77777777" w:rsidR="00861989" w:rsidRDefault="00861989" w:rsidP="00EA09C7">
            <w:pPr>
              <w:spacing w:before="240" w:after="240" w:line="240" w:lineRule="auto"/>
              <w:jc w:val="right"/>
              <w:rPr>
                <w:sz w:val="20"/>
                <w:szCs w:val="20"/>
              </w:rPr>
            </w:pPr>
            <w:r>
              <w:rPr>
                <w:sz w:val="20"/>
                <w:szCs w:val="20"/>
              </w:rPr>
              <w:t>.XX</w:t>
            </w:r>
          </w:p>
        </w:tc>
      </w:tr>
      <w:tr w:rsidR="00861989" w14:paraId="43ECF97F" w14:textId="77777777" w:rsidTr="00EA09C7">
        <w:trPr>
          <w:trHeight w:val="495"/>
        </w:trPr>
        <w:tc>
          <w:tcPr>
            <w:tcW w:w="2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9B87DC" w14:textId="77777777" w:rsidR="00861989" w:rsidRDefault="00861989" w:rsidP="00EA09C7">
            <w:pPr>
              <w:spacing w:before="240" w:after="240" w:line="240" w:lineRule="auto"/>
              <w:rPr>
                <w:sz w:val="20"/>
                <w:szCs w:val="20"/>
              </w:rPr>
            </w:pPr>
            <w:r>
              <w:rPr>
                <w:sz w:val="20"/>
                <w:szCs w:val="20"/>
              </w:rPr>
              <w:tab/>
              <w:t>Compensated vs. Not</w:t>
            </w:r>
          </w:p>
        </w:tc>
        <w:tc>
          <w:tcPr>
            <w:tcW w:w="1409" w:type="dxa"/>
            <w:tcBorders>
              <w:top w:val="nil"/>
              <w:left w:val="nil"/>
              <w:bottom w:val="single" w:sz="8" w:space="0" w:color="000000"/>
              <w:right w:val="single" w:sz="8" w:space="0" w:color="000000"/>
            </w:tcBorders>
            <w:tcMar>
              <w:top w:w="100" w:type="dxa"/>
              <w:left w:w="100" w:type="dxa"/>
              <w:bottom w:w="100" w:type="dxa"/>
              <w:right w:w="100" w:type="dxa"/>
            </w:tcMar>
          </w:tcPr>
          <w:p w14:paraId="5CB7B4BF" w14:textId="77777777" w:rsidR="00861989" w:rsidRDefault="00861989" w:rsidP="00EA09C7">
            <w:pPr>
              <w:spacing w:before="240" w:after="240" w:line="240" w:lineRule="auto"/>
              <w:jc w:val="right"/>
              <w:rPr>
                <w:sz w:val="20"/>
                <w:szCs w:val="20"/>
              </w:rPr>
            </w:pPr>
            <w:r>
              <w:rPr>
                <w:sz w:val="20"/>
                <w:szCs w:val="20"/>
              </w:rPr>
              <w:t>XX.XX</w:t>
            </w:r>
          </w:p>
        </w:tc>
        <w:tc>
          <w:tcPr>
            <w:tcW w:w="1379" w:type="dxa"/>
            <w:tcBorders>
              <w:top w:val="nil"/>
              <w:left w:val="nil"/>
              <w:bottom w:val="single" w:sz="8" w:space="0" w:color="000000"/>
              <w:right w:val="single" w:sz="8" w:space="0" w:color="000000"/>
            </w:tcBorders>
            <w:tcMar>
              <w:top w:w="100" w:type="dxa"/>
              <w:left w:w="100" w:type="dxa"/>
              <w:bottom w:w="100" w:type="dxa"/>
              <w:right w:w="100" w:type="dxa"/>
            </w:tcMar>
          </w:tcPr>
          <w:p w14:paraId="0E9DFB93" w14:textId="77777777" w:rsidR="00861989" w:rsidRDefault="00861989" w:rsidP="00EA09C7">
            <w:pPr>
              <w:spacing w:before="240" w:after="240" w:line="240" w:lineRule="auto"/>
              <w:jc w:val="right"/>
              <w:rPr>
                <w:sz w:val="20"/>
                <w:szCs w:val="20"/>
              </w:rPr>
            </w:pPr>
            <w:r>
              <w:rPr>
                <w:sz w:val="20"/>
                <w:szCs w:val="20"/>
              </w:rPr>
              <w:t>X.XX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5DC8F75D" w14:textId="77777777" w:rsidR="00861989" w:rsidRDefault="00861989" w:rsidP="00EA09C7">
            <w:pPr>
              <w:spacing w:before="240" w:after="240" w:line="240" w:lineRule="auto"/>
              <w:jc w:val="right"/>
              <w:rPr>
                <w:sz w:val="20"/>
                <w:szCs w:val="20"/>
              </w:rPr>
            </w:pPr>
            <w:r>
              <w:rPr>
                <w:sz w:val="20"/>
                <w:szCs w:val="20"/>
              </w:rPr>
              <w:t>.XX</w:t>
            </w:r>
          </w:p>
        </w:tc>
        <w:tc>
          <w:tcPr>
            <w:tcW w:w="1379" w:type="dxa"/>
            <w:tcBorders>
              <w:top w:val="nil"/>
              <w:left w:val="nil"/>
              <w:bottom w:val="single" w:sz="8" w:space="0" w:color="000000"/>
              <w:right w:val="single" w:sz="8" w:space="0" w:color="000000"/>
            </w:tcBorders>
            <w:tcMar>
              <w:top w:w="100" w:type="dxa"/>
              <w:left w:w="100" w:type="dxa"/>
              <w:bottom w:w="100" w:type="dxa"/>
              <w:right w:w="100" w:type="dxa"/>
            </w:tcMar>
          </w:tcPr>
          <w:p w14:paraId="01C69723" w14:textId="77777777" w:rsidR="00861989" w:rsidRDefault="00861989" w:rsidP="00EA09C7">
            <w:pPr>
              <w:spacing w:before="240" w:after="240" w:line="240" w:lineRule="auto"/>
              <w:jc w:val="right"/>
              <w:rPr>
                <w:sz w:val="20"/>
                <w:szCs w:val="20"/>
              </w:rPr>
            </w:pPr>
            <w:r>
              <w:rPr>
                <w:sz w:val="20"/>
                <w:szCs w:val="20"/>
              </w:rPr>
              <w:t>X.XX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AA0BFDB" w14:textId="77777777" w:rsidR="00861989" w:rsidRDefault="00861989" w:rsidP="00EA09C7">
            <w:pPr>
              <w:spacing w:before="240" w:after="240" w:line="240" w:lineRule="auto"/>
              <w:jc w:val="right"/>
              <w:rPr>
                <w:sz w:val="20"/>
                <w:szCs w:val="20"/>
              </w:rPr>
            </w:pPr>
            <w:r>
              <w:rPr>
                <w:sz w:val="20"/>
                <w:szCs w:val="20"/>
              </w:rPr>
              <w:t>.XX</w:t>
            </w:r>
          </w:p>
        </w:tc>
      </w:tr>
    </w:tbl>
    <w:p w14:paraId="752C4BCF" w14:textId="77777777" w:rsidR="00861989" w:rsidRDefault="00861989" w:rsidP="00861989">
      <w:pPr>
        <w:spacing w:before="240" w:after="240" w:line="240" w:lineRule="auto"/>
      </w:pPr>
      <w:r>
        <w:t xml:space="preserve"> </w:t>
      </w:r>
    </w:p>
    <w:p w14:paraId="3F6539C3" w14:textId="77777777" w:rsidR="00861989" w:rsidRDefault="00861989" w:rsidP="00861989">
      <w:pPr>
        <w:spacing w:before="240" w:after="240" w:line="240" w:lineRule="auto"/>
      </w:pPr>
      <w:r>
        <w:rPr>
          <w:b/>
        </w:rPr>
        <w:t>Reasonableness attribution.</w:t>
      </w:r>
      <w:r>
        <w:t xml:space="preserve"> We then analyzed an identical multilevel model for the reasonableness attribution dependent variable. We found [no/ a small/medium/large] effect of condition on reasonableness attribution (see Table 5), indicating that differences in knowledge attribution rates [are/are not] due to perceived differences of what is reasonable for a given protagonist to believe. Condition [did not] significantly predicted reasonableness attribution rates (</w:t>
      </w:r>
      <w:r>
        <w:rPr>
          <w:i/>
        </w:rPr>
        <w:t xml:space="preserve">B </w:t>
      </w:r>
      <w:r>
        <w:t xml:space="preserve">= XX.XX, </w:t>
      </w:r>
      <w:r>
        <w:rPr>
          <w:i/>
        </w:rPr>
        <w:t>β</w:t>
      </w:r>
      <w:r>
        <w:t xml:space="preserve"> = .XX, </w:t>
      </w:r>
      <w:r>
        <w:rPr>
          <w:i/>
        </w:rPr>
        <w:t>p</w:t>
      </w:r>
      <w:r>
        <w:t xml:space="preserve"> =.XXX) and [did not] significantly account[ed] for [any/X.XX%] of the variance, (</w:t>
      </w:r>
      <w:r>
        <w:rPr>
          <w:i/>
        </w:rPr>
        <w:t>R</w:t>
      </w:r>
      <w:r>
        <w:rPr>
          <w:i/>
          <w:vertAlign w:val="superscript"/>
        </w:rPr>
        <w:t>2</w:t>
      </w:r>
      <w:r>
        <w:t xml:space="preserve"> = .XX, </w:t>
      </w:r>
      <w:r>
        <w:rPr>
          <w:i/>
        </w:rPr>
        <w:t>F</w:t>
      </w:r>
      <w:r>
        <w:t xml:space="preserve">(X,XX) = X.XX, </w:t>
      </w:r>
      <w:r>
        <w:rPr>
          <w:i/>
        </w:rPr>
        <w:t>p</w:t>
      </w:r>
      <w:r>
        <w:t xml:space="preserve"> = .XX). The residual term associated with the primary </w:t>
      </w:r>
      <w:r>
        <w:lastRenderedPageBreak/>
        <w:t xml:space="preserve">independent variable [X] provides a yardstick for determining the size of the effect variation and corresponds to the deviation of the specific effects of the primary independent variable across all vignettes and laboratories (Sommet &amp; Morselli, 2017). The random slope variance for vignettes was [X, </w:t>
      </w:r>
      <w:r>
        <w:rPr>
          <w:i/>
        </w:rPr>
        <w:t>p</w:t>
      </w:r>
      <w:r>
        <w:t xml:space="preserve"> = .XX], indicating that the variation of the effect of the primary independent variable (belief condition) from one vignette to another was [small/moderate/large/non-significant]. The random slope variance for labs was [X, </w:t>
      </w:r>
      <w:r>
        <w:rPr>
          <w:i/>
        </w:rPr>
        <w:t>p</w:t>
      </w:r>
      <w:r>
        <w:t xml:space="preserve"> = .XX], indicating that the variation of the effect of the primary independent variable (belief condition) from one lab to another was [small/moderate/large/nonsignificant] (see Figure 4 for visualization of lab variation).</w:t>
      </w:r>
      <w:r>
        <w:rPr>
          <w:vertAlign w:val="superscript"/>
        </w:rPr>
        <w:footnoteReference w:id="58"/>
      </w:r>
    </w:p>
    <w:p w14:paraId="2965C788" w14:textId="77777777" w:rsidR="00861989" w:rsidRDefault="00861989" w:rsidP="00861989">
      <w:pPr>
        <w:spacing w:before="240" w:after="240" w:line="240" w:lineRule="auto"/>
      </w:pPr>
      <w:r>
        <w:t xml:space="preserve"> </w:t>
      </w:r>
    </w:p>
    <w:p w14:paraId="40A47024" w14:textId="77777777" w:rsidR="00861989" w:rsidRDefault="00861989" w:rsidP="00861989">
      <w:pPr>
        <w:spacing w:before="240" w:after="240" w:line="240" w:lineRule="auto"/>
      </w:pPr>
      <w:r>
        <w:t>Table 5: Multilevel models reasonableness attribution;</w:t>
      </w:r>
    </w:p>
    <w:p w14:paraId="7F6EF6B5" w14:textId="77777777" w:rsidR="00861989" w:rsidRDefault="00861989" w:rsidP="00861989">
      <w:pPr>
        <w:spacing w:before="240" w:after="240" w:line="240" w:lineRule="auto"/>
      </w:pPr>
      <w:r>
        <w:t>(Dependent variable: Reasonableness attribution;</w:t>
      </w:r>
    </w:p>
    <w:p w14:paraId="5EFB7197" w14:textId="77777777" w:rsidR="00861989" w:rsidRDefault="00861989" w:rsidP="00861989">
      <w:pPr>
        <w:spacing w:before="240" w:after="240" w:line="240" w:lineRule="auto"/>
      </w:pPr>
      <w:r>
        <w:t>Fixed: intercept, belief condition (base = knowledge case))</w:t>
      </w:r>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1440"/>
        <w:gridCol w:w="1395"/>
        <w:gridCol w:w="1245"/>
        <w:gridCol w:w="1335"/>
        <w:gridCol w:w="1245"/>
        <w:gridCol w:w="1425"/>
        <w:gridCol w:w="1245"/>
      </w:tblGrid>
      <w:tr w:rsidR="00861989" w14:paraId="44B47686" w14:textId="77777777" w:rsidTr="00EA09C7">
        <w:trPr>
          <w:trHeight w:val="495"/>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1A729"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B6D305" w14:textId="77777777" w:rsidR="00861989" w:rsidRDefault="00861989" w:rsidP="00EA09C7">
            <w:pPr>
              <w:spacing w:before="240" w:after="240" w:line="240" w:lineRule="auto"/>
              <w:ind w:left="100"/>
              <w:jc w:val="right"/>
              <w:rPr>
                <w:sz w:val="20"/>
                <w:szCs w:val="20"/>
              </w:rPr>
            </w:pPr>
            <w:r>
              <w:rPr>
                <w:sz w:val="20"/>
                <w:szCs w:val="20"/>
              </w:rPr>
              <w:t>Constant</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CA3BDC"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6746FB" w14:textId="77777777" w:rsidR="00861989" w:rsidRDefault="00861989" w:rsidP="00EA09C7">
            <w:pPr>
              <w:spacing w:before="240" w:after="240" w:line="240" w:lineRule="auto"/>
              <w:ind w:left="100"/>
              <w:jc w:val="right"/>
              <w:rPr>
                <w:sz w:val="20"/>
                <w:szCs w:val="20"/>
              </w:rPr>
            </w:pPr>
            <w:r>
              <w:rPr>
                <w:sz w:val="20"/>
                <w:szCs w:val="20"/>
              </w:rPr>
              <w:t>Gettier</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1ADFC8"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07B1E8" w14:textId="77777777" w:rsidR="00861989" w:rsidRDefault="00861989" w:rsidP="00EA09C7">
            <w:pPr>
              <w:spacing w:before="240" w:after="240" w:line="240" w:lineRule="auto"/>
              <w:ind w:left="100"/>
              <w:jc w:val="right"/>
              <w:rPr>
                <w:sz w:val="20"/>
                <w:szCs w:val="20"/>
              </w:rPr>
            </w:pPr>
            <w:r>
              <w:rPr>
                <w:sz w:val="20"/>
                <w:szCs w:val="20"/>
              </w:rPr>
              <w:t>Ignorance</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40D83E" w14:textId="77777777" w:rsidR="00861989" w:rsidRDefault="00861989" w:rsidP="00EA09C7">
            <w:pPr>
              <w:spacing w:before="240" w:after="240" w:line="240" w:lineRule="auto"/>
              <w:ind w:left="100"/>
              <w:jc w:val="right"/>
              <w:rPr>
                <w:sz w:val="20"/>
                <w:szCs w:val="20"/>
              </w:rPr>
            </w:pPr>
            <w:r>
              <w:rPr>
                <w:sz w:val="20"/>
                <w:szCs w:val="20"/>
              </w:rPr>
              <w:t xml:space="preserve"> </w:t>
            </w:r>
          </w:p>
        </w:tc>
      </w:tr>
      <w:tr w:rsidR="00861989" w14:paraId="56143F71" w14:textId="77777777" w:rsidTr="00EA09C7">
        <w:trPr>
          <w:trHeight w:val="49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33CEC4" w14:textId="77777777" w:rsidR="00861989" w:rsidRDefault="00861989" w:rsidP="00EA09C7">
            <w:pPr>
              <w:spacing w:before="240" w:after="240" w:line="240" w:lineRule="auto"/>
              <w:ind w:left="100"/>
              <w:rPr>
                <w:sz w:val="20"/>
                <w:szCs w:val="20"/>
              </w:rPr>
            </w:pPr>
            <w:r>
              <w:rPr>
                <w:sz w:val="20"/>
                <w:szCs w:val="20"/>
              </w:rPr>
              <w:t>Model</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1090181D" w14:textId="77777777" w:rsidR="00861989" w:rsidRDefault="00861989" w:rsidP="00EA09C7">
            <w:pPr>
              <w:spacing w:before="240" w:after="240" w:line="240" w:lineRule="auto"/>
              <w:ind w:left="100"/>
              <w:jc w:val="right"/>
              <w:rPr>
                <w:sz w:val="20"/>
                <w:szCs w:val="20"/>
              </w:rPr>
            </w:pPr>
            <w:r>
              <w:rPr>
                <w:sz w:val="20"/>
                <w:szCs w:val="20"/>
              </w:rPr>
              <w:t>Est.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2F9BB06" w14:textId="77777777" w:rsidR="00861989" w:rsidRDefault="00861989" w:rsidP="00EA09C7">
            <w:pPr>
              <w:spacing w:before="240" w:after="240" w:line="240" w:lineRule="auto"/>
              <w:ind w:left="100"/>
              <w:jc w:val="right"/>
              <w:rPr>
                <w:sz w:val="20"/>
                <w:szCs w:val="20"/>
              </w:rPr>
            </w:pPr>
            <w:r>
              <w:rPr>
                <w:sz w:val="20"/>
                <w:szCs w:val="20"/>
              </w:rPr>
              <w:t>s.e.</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1888848" w14:textId="77777777" w:rsidR="00861989" w:rsidRDefault="00861989" w:rsidP="00EA09C7">
            <w:pPr>
              <w:spacing w:before="240" w:after="240" w:line="240" w:lineRule="auto"/>
              <w:ind w:left="100"/>
              <w:jc w:val="right"/>
              <w:rPr>
                <w:sz w:val="20"/>
                <w:szCs w:val="20"/>
              </w:rPr>
            </w:pPr>
            <w:r>
              <w:rPr>
                <w:sz w:val="20"/>
                <w:szCs w:val="20"/>
              </w:rPr>
              <w:t>Est.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DE1075A" w14:textId="77777777" w:rsidR="00861989" w:rsidRDefault="00861989" w:rsidP="00EA09C7">
            <w:pPr>
              <w:spacing w:before="240" w:after="240" w:line="240" w:lineRule="auto"/>
              <w:ind w:left="100"/>
              <w:jc w:val="right"/>
              <w:rPr>
                <w:sz w:val="20"/>
                <w:szCs w:val="20"/>
              </w:rPr>
            </w:pPr>
            <w:r>
              <w:rPr>
                <w:sz w:val="20"/>
                <w:szCs w:val="20"/>
              </w:rPr>
              <w:t>s.e.</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2CE3E655" w14:textId="77777777" w:rsidR="00861989" w:rsidRDefault="00861989" w:rsidP="00EA09C7">
            <w:pPr>
              <w:spacing w:before="240" w:after="240" w:line="240" w:lineRule="auto"/>
              <w:ind w:left="100"/>
              <w:jc w:val="right"/>
              <w:rPr>
                <w:sz w:val="20"/>
                <w:szCs w:val="20"/>
              </w:rPr>
            </w:pPr>
            <w:r>
              <w:rPr>
                <w:sz w:val="20"/>
                <w:szCs w:val="20"/>
              </w:rPr>
              <w:t>Est.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3E080E2A" w14:textId="77777777" w:rsidR="00861989" w:rsidRDefault="00861989" w:rsidP="00EA09C7">
            <w:pPr>
              <w:spacing w:before="240" w:after="240" w:line="240" w:lineRule="auto"/>
              <w:ind w:left="100"/>
              <w:jc w:val="right"/>
              <w:rPr>
                <w:sz w:val="20"/>
                <w:szCs w:val="20"/>
              </w:rPr>
            </w:pPr>
            <w:r>
              <w:rPr>
                <w:sz w:val="20"/>
                <w:szCs w:val="20"/>
              </w:rPr>
              <w:t>s.e.</w:t>
            </w:r>
          </w:p>
        </w:tc>
      </w:tr>
      <w:tr w:rsidR="00861989" w14:paraId="5E22B8A3" w14:textId="77777777" w:rsidTr="00EA09C7">
        <w:trPr>
          <w:trHeight w:val="1290"/>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D2B840" w14:textId="77777777" w:rsidR="00861989" w:rsidRDefault="00861989" w:rsidP="00EA09C7">
            <w:pPr>
              <w:spacing w:before="240" w:after="240" w:line="240" w:lineRule="auto"/>
              <w:ind w:left="100"/>
              <w:rPr>
                <w:sz w:val="20"/>
                <w:szCs w:val="20"/>
              </w:rPr>
            </w:pPr>
            <w:r>
              <w:rPr>
                <w:sz w:val="20"/>
                <w:szCs w:val="20"/>
              </w:rPr>
              <w:t>I = Null</w:t>
            </w:r>
          </w:p>
          <w:p w14:paraId="6BF36629" w14:textId="77777777" w:rsidR="00861989" w:rsidRDefault="00861989" w:rsidP="00EA09C7">
            <w:pPr>
              <w:spacing w:before="240" w:after="240" w:line="240" w:lineRule="auto"/>
              <w:ind w:left="100"/>
              <w:rPr>
                <w:sz w:val="20"/>
                <w:szCs w:val="20"/>
              </w:rPr>
            </w:pPr>
            <w:r>
              <w:rPr>
                <w:sz w:val="20"/>
                <w:szCs w:val="20"/>
              </w:rPr>
              <w:t>(includes condition)</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73A316D9" w14:textId="77777777" w:rsidR="00861989" w:rsidRDefault="00861989" w:rsidP="00EA09C7">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2B068A9" w14:textId="77777777" w:rsidR="00861989" w:rsidRDefault="00861989" w:rsidP="00EA09C7">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54ABEF8A" w14:textId="77777777" w:rsidR="00861989" w:rsidRDefault="00861989" w:rsidP="00EA09C7">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63115A4C" w14:textId="77777777" w:rsidR="00861989" w:rsidRDefault="00861989" w:rsidP="00EA09C7">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2BC1F54B" w14:textId="77777777" w:rsidR="00861989" w:rsidRDefault="00861989" w:rsidP="00EA09C7">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AEC165D"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00CC0B65" w14:textId="77777777" w:rsidTr="00EA09C7">
        <w:trPr>
          <w:trHeight w:val="76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1230A9" w14:textId="77777777" w:rsidR="00861989" w:rsidRDefault="00861989" w:rsidP="00EA09C7">
            <w:pPr>
              <w:spacing w:before="240" w:after="240" w:line="240" w:lineRule="auto"/>
              <w:ind w:left="100"/>
              <w:rPr>
                <w:sz w:val="20"/>
                <w:szCs w:val="20"/>
              </w:rPr>
            </w:pPr>
            <w:r>
              <w:rPr>
                <w:sz w:val="20"/>
                <w:szCs w:val="20"/>
              </w:rPr>
              <w:t>II = I + vignette</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55E1AF5D" w14:textId="77777777" w:rsidR="00861989" w:rsidRDefault="00861989" w:rsidP="00EA09C7">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E11793F" w14:textId="77777777" w:rsidR="00861989" w:rsidRDefault="00861989" w:rsidP="00EA09C7">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0F654666" w14:textId="77777777" w:rsidR="00861989" w:rsidRDefault="00861989" w:rsidP="00EA09C7">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3B4A68BC" w14:textId="77777777" w:rsidR="00861989" w:rsidRDefault="00861989" w:rsidP="00EA09C7">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30A0B82F" w14:textId="77777777" w:rsidR="00861989" w:rsidRDefault="00861989" w:rsidP="00EA09C7">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0C6AC48"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6795DFBE" w14:textId="77777777" w:rsidTr="00EA09C7">
        <w:trPr>
          <w:trHeight w:val="49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DDCEE0" w14:textId="77777777" w:rsidR="00861989" w:rsidRDefault="00861989" w:rsidP="00EA09C7">
            <w:pPr>
              <w:spacing w:before="240" w:after="240" w:line="240" w:lineRule="auto"/>
              <w:ind w:left="100"/>
              <w:rPr>
                <w:sz w:val="20"/>
                <w:szCs w:val="20"/>
              </w:rPr>
            </w:pPr>
            <w:r>
              <w:rPr>
                <w:sz w:val="20"/>
                <w:szCs w:val="20"/>
              </w:rPr>
              <w:t>III = II + lab</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0E562F29" w14:textId="77777777" w:rsidR="00861989" w:rsidRDefault="00861989" w:rsidP="00EA09C7">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B5BF753" w14:textId="77777777" w:rsidR="00861989" w:rsidRDefault="00861989" w:rsidP="00EA09C7">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22BE88F" w14:textId="77777777" w:rsidR="00861989" w:rsidRDefault="00861989" w:rsidP="00EA09C7">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9857706" w14:textId="77777777" w:rsidR="00861989" w:rsidRDefault="00861989" w:rsidP="00EA09C7">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703404CB" w14:textId="77777777" w:rsidR="00861989" w:rsidRDefault="00861989" w:rsidP="00EA09C7">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6A8DF94"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00B2DDD4" w14:textId="77777777" w:rsidTr="00EA09C7">
        <w:trPr>
          <w:trHeight w:val="76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B577F4" w14:textId="77777777" w:rsidR="00861989" w:rsidRDefault="00861989" w:rsidP="00EA09C7">
            <w:pPr>
              <w:spacing w:before="240" w:after="240" w:line="240" w:lineRule="auto"/>
              <w:ind w:left="100"/>
              <w:rPr>
                <w:sz w:val="20"/>
                <w:szCs w:val="20"/>
              </w:rPr>
            </w:pPr>
            <w:r>
              <w:rPr>
                <w:sz w:val="20"/>
                <w:szCs w:val="20"/>
              </w:rPr>
              <w:t>IV = III + test setting</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7BC7B61C" w14:textId="77777777" w:rsidR="00861989" w:rsidRDefault="00861989" w:rsidP="00EA09C7">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37A254B9" w14:textId="77777777" w:rsidR="00861989" w:rsidRDefault="00861989" w:rsidP="00EA09C7">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6998FD1E" w14:textId="77777777" w:rsidR="00861989" w:rsidRDefault="00861989" w:rsidP="00EA09C7">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D3365C8" w14:textId="77777777" w:rsidR="00861989" w:rsidRDefault="00861989" w:rsidP="00EA09C7">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27D46321" w14:textId="77777777" w:rsidR="00861989" w:rsidRDefault="00861989" w:rsidP="00EA09C7">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9EBA8AE"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667E90F5" w14:textId="77777777" w:rsidTr="00EA09C7">
        <w:trPr>
          <w:trHeight w:val="76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F4AD7C" w14:textId="77777777" w:rsidR="00861989" w:rsidRDefault="00861989" w:rsidP="00EA09C7">
            <w:pPr>
              <w:spacing w:before="240" w:after="240" w:line="240" w:lineRule="auto"/>
              <w:ind w:left="100"/>
              <w:rPr>
                <w:sz w:val="20"/>
                <w:szCs w:val="20"/>
              </w:rPr>
            </w:pPr>
            <w:r>
              <w:rPr>
                <w:sz w:val="20"/>
                <w:szCs w:val="20"/>
              </w:rPr>
              <w:lastRenderedPageBreak/>
              <w:t>V = IV + education</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0DB052FB" w14:textId="77777777" w:rsidR="00861989" w:rsidRDefault="00861989" w:rsidP="00EA09C7">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06C1976" w14:textId="77777777" w:rsidR="00861989" w:rsidRDefault="00861989" w:rsidP="00EA09C7">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0E199924" w14:textId="77777777" w:rsidR="00861989" w:rsidRDefault="00861989" w:rsidP="00EA09C7">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714A252" w14:textId="77777777" w:rsidR="00861989" w:rsidRDefault="00861989" w:rsidP="00EA09C7">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3DA3C5A8" w14:textId="77777777" w:rsidR="00861989" w:rsidRDefault="00861989" w:rsidP="00EA09C7">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EE29BC4"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1A696D49" w14:textId="77777777" w:rsidTr="00EA09C7">
        <w:trPr>
          <w:trHeight w:val="76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8BF048" w14:textId="77777777" w:rsidR="00861989" w:rsidRDefault="00861989" w:rsidP="00EA09C7">
            <w:pPr>
              <w:spacing w:before="240" w:after="240" w:line="240" w:lineRule="auto"/>
              <w:ind w:left="100"/>
              <w:rPr>
                <w:sz w:val="20"/>
                <w:szCs w:val="20"/>
              </w:rPr>
            </w:pPr>
            <w:r>
              <w:rPr>
                <w:sz w:val="20"/>
                <w:szCs w:val="20"/>
              </w:rPr>
              <w:t>VI = V + gender</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338DB580" w14:textId="77777777" w:rsidR="00861989" w:rsidRDefault="00861989" w:rsidP="00EA09C7">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E78C3F1" w14:textId="77777777" w:rsidR="00861989" w:rsidRDefault="00861989" w:rsidP="00EA09C7">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5A01E996" w14:textId="77777777" w:rsidR="00861989" w:rsidRDefault="00861989" w:rsidP="00EA09C7">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66B150F" w14:textId="77777777" w:rsidR="00861989" w:rsidRDefault="00861989" w:rsidP="00EA09C7">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251393B4" w14:textId="77777777" w:rsidR="00861989" w:rsidRDefault="00861989" w:rsidP="00EA09C7">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B161D27" w14:textId="77777777" w:rsidR="00861989" w:rsidRDefault="00861989" w:rsidP="00EA09C7">
            <w:pPr>
              <w:spacing w:before="240" w:after="240" w:line="240" w:lineRule="auto"/>
              <w:ind w:left="100"/>
              <w:jc w:val="right"/>
              <w:rPr>
                <w:sz w:val="20"/>
                <w:szCs w:val="20"/>
              </w:rPr>
            </w:pPr>
            <w:r>
              <w:rPr>
                <w:sz w:val="20"/>
                <w:szCs w:val="20"/>
              </w:rPr>
              <w:t>X.X</w:t>
            </w:r>
          </w:p>
        </w:tc>
      </w:tr>
    </w:tbl>
    <w:p w14:paraId="599256C5" w14:textId="77777777" w:rsidR="00861989" w:rsidRDefault="00861989" w:rsidP="00861989">
      <w:pPr>
        <w:spacing w:before="240" w:after="240" w:line="240" w:lineRule="auto"/>
      </w:pPr>
      <w:r>
        <w:t xml:space="preserve"> </w:t>
      </w:r>
    </w:p>
    <w:p w14:paraId="5E17A7D2" w14:textId="77777777" w:rsidR="00861989" w:rsidRDefault="00861989" w:rsidP="00861989">
      <w:pPr>
        <w:spacing w:before="240" w:after="240" w:line="240" w:lineRule="auto"/>
      </w:pPr>
      <w:r>
        <w:t>Fixed (Continued): Vignette (base = “Darrel” vignette)</w:t>
      </w:r>
    </w:p>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1890"/>
        <w:gridCol w:w="1890"/>
        <w:gridCol w:w="1845"/>
        <w:gridCol w:w="1875"/>
        <w:gridCol w:w="1845"/>
      </w:tblGrid>
      <w:tr w:rsidR="00861989" w14:paraId="7598A6C2" w14:textId="77777777" w:rsidTr="00EA09C7">
        <w:trPr>
          <w:trHeight w:val="495"/>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DFE7A"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686A54" w14:textId="77777777" w:rsidR="00861989" w:rsidRDefault="00861989" w:rsidP="00EA09C7">
            <w:pPr>
              <w:spacing w:before="240" w:after="240" w:line="240" w:lineRule="auto"/>
              <w:ind w:left="100"/>
              <w:jc w:val="right"/>
              <w:rPr>
                <w:sz w:val="20"/>
                <w:szCs w:val="20"/>
              </w:rPr>
            </w:pPr>
            <w:r>
              <w:rPr>
                <w:sz w:val="20"/>
                <w:szCs w:val="20"/>
              </w:rPr>
              <w:t>Gerald</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C41AD2"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4598F9" w14:textId="77777777" w:rsidR="00861989" w:rsidRDefault="00861989" w:rsidP="00EA09C7">
            <w:pPr>
              <w:spacing w:before="240" w:after="240" w:line="240" w:lineRule="auto"/>
              <w:ind w:left="100"/>
              <w:jc w:val="right"/>
              <w:rPr>
                <w:sz w:val="20"/>
                <w:szCs w:val="20"/>
              </w:rPr>
            </w:pPr>
            <w:r>
              <w:rPr>
                <w:sz w:val="20"/>
                <w:szCs w:val="20"/>
              </w:rPr>
              <w:t>Emma</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0A4228" w14:textId="77777777" w:rsidR="00861989" w:rsidRDefault="00861989" w:rsidP="00EA09C7">
            <w:pPr>
              <w:spacing w:before="240" w:after="240" w:line="240" w:lineRule="auto"/>
              <w:ind w:left="100"/>
              <w:jc w:val="right"/>
              <w:rPr>
                <w:sz w:val="20"/>
                <w:szCs w:val="20"/>
              </w:rPr>
            </w:pPr>
            <w:r>
              <w:rPr>
                <w:sz w:val="20"/>
                <w:szCs w:val="20"/>
              </w:rPr>
              <w:t xml:space="preserve"> </w:t>
            </w:r>
          </w:p>
        </w:tc>
      </w:tr>
      <w:tr w:rsidR="00861989" w14:paraId="042739E9" w14:textId="77777777" w:rsidTr="00EA09C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426373" w14:textId="77777777" w:rsidR="00861989" w:rsidRDefault="00861989" w:rsidP="00EA09C7">
            <w:pPr>
              <w:spacing w:before="240" w:after="240" w:line="240" w:lineRule="auto"/>
              <w:ind w:left="100"/>
              <w:rPr>
                <w:sz w:val="20"/>
                <w:szCs w:val="20"/>
              </w:rPr>
            </w:pPr>
            <w:r>
              <w:rPr>
                <w:sz w:val="20"/>
                <w:szCs w:val="20"/>
              </w:rPr>
              <w:t>Model</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9EE201A" w14:textId="77777777" w:rsidR="00861989" w:rsidRDefault="00861989" w:rsidP="00EA09C7">
            <w:pPr>
              <w:spacing w:before="240" w:after="240" w:line="240" w:lineRule="auto"/>
              <w:ind w:left="100"/>
              <w:jc w:val="right"/>
              <w:rPr>
                <w:sz w:val="20"/>
                <w:szCs w:val="20"/>
              </w:rPr>
            </w:pPr>
            <w:r>
              <w:rPr>
                <w:sz w:val="20"/>
                <w:szCs w:val="20"/>
              </w:rPr>
              <w:t>Est.</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F523985" w14:textId="77777777" w:rsidR="00861989" w:rsidRDefault="00861989" w:rsidP="00EA09C7">
            <w:pPr>
              <w:spacing w:before="240" w:after="240" w:line="240" w:lineRule="auto"/>
              <w:ind w:left="100"/>
              <w:jc w:val="right"/>
              <w:rPr>
                <w:sz w:val="20"/>
                <w:szCs w:val="20"/>
              </w:rPr>
            </w:pPr>
            <w:r>
              <w:rPr>
                <w:sz w:val="20"/>
                <w:szCs w:val="20"/>
              </w:rPr>
              <w:t>s.e.</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7075865E" w14:textId="77777777" w:rsidR="00861989" w:rsidRDefault="00861989" w:rsidP="00EA09C7">
            <w:pPr>
              <w:spacing w:before="240" w:after="240" w:line="240" w:lineRule="auto"/>
              <w:ind w:left="100"/>
              <w:jc w:val="right"/>
              <w:rPr>
                <w:sz w:val="20"/>
                <w:szCs w:val="20"/>
              </w:rPr>
            </w:pPr>
            <w:r>
              <w:rPr>
                <w:sz w:val="20"/>
                <w:szCs w:val="20"/>
              </w:rPr>
              <w:t>Est.</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67B0C94B" w14:textId="77777777" w:rsidR="00861989" w:rsidRDefault="00861989" w:rsidP="00EA09C7">
            <w:pPr>
              <w:spacing w:before="240" w:after="240" w:line="240" w:lineRule="auto"/>
              <w:ind w:left="100"/>
              <w:jc w:val="right"/>
              <w:rPr>
                <w:sz w:val="20"/>
                <w:szCs w:val="20"/>
              </w:rPr>
            </w:pPr>
            <w:r>
              <w:rPr>
                <w:sz w:val="20"/>
                <w:szCs w:val="20"/>
              </w:rPr>
              <w:t>s.e.</w:t>
            </w:r>
          </w:p>
        </w:tc>
      </w:tr>
      <w:tr w:rsidR="00861989" w14:paraId="5773B412" w14:textId="77777777" w:rsidTr="00EA09C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E55631" w14:textId="77777777" w:rsidR="00861989" w:rsidRDefault="00861989" w:rsidP="00EA09C7">
            <w:pPr>
              <w:spacing w:before="240" w:after="240" w:line="240" w:lineRule="auto"/>
              <w:ind w:left="100"/>
              <w:rPr>
                <w:sz w:val="20"/>
                <w:szCs w:val="20"/>
              </w:rPr>
            </w:pPr>
            <w:r>
              <w:rPr>
                <w:sz w:val="20"/>
                <w:szCs w:val="20"/>
              </w:rPr>
              <w:t>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C2878A1"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47A8A8CE" w14:textId="77777777" w:rsidR="00861989" w:rsidRDefault="00861989" w:rsidP="00EA09C7">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C60CB64"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8678C07"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047F4652" w14:textId="77777777" w:rsidTr="00EA09C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CFF3FA" w14:textId="77777777" w:rsidR="00861989" w:rsidRDefault="00861989" w:rsidP="00EA09C7">
            <w:pPr>
              <w:spacing w:before="240" w:after="240" w:line="240" w:lineRule="auto"/>
              <w:ind w:left="100"/>
              <w:rPr>
                <w:sz w:val="20"/>
                <w:szCs w:val="20"/>
              </w:rPr>
            </w:pPr>
            <w:r>
              <w:rPr>
                <w:sz w:val="20"/>
                <w:szCs w:val="20"/>
              </w:rPr>
              <w:t>II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0CF84B4"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422C0C9" w14:textId="77777777" w:rsidR="00861989" w:rsidRDefault="00861989" w:rsidP="00EA09C7">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544ABF3A"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296F69A"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7C56F399" w14:textId="77777777" w:rsidTr="00EA09C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B95922" w14:textId="77777777" w:rsidR="00861989" w:rsidRDefault="00861989" w:rsidP="00EA09C7">
            <w:pPr>
              <w:spacing w:before="240" w:after="240" w:line="240" w:lineRule="auto"/>
              <w:ind w:left="100"/>
              <w:rPr>
                <w:sz w:val="20"/>
                <w:szCs w:val="20"/>
              </w:rPr>
            </w:pPr>
            <w:r>
              <w:rPr>
                <w:sz w:val="20"/>
                <w:szCs w:val="20"/>
              </w:rPr>
              <w:t>III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E9D40AC"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1C6DFB9" w14:textId="77777777" w:rsidR="00861989" w:rsidRDefault="00861989" w:rsidP="00EA09C7">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5581A2DC"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6951A5EA"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75FE98C4" w14:textId="77777777" w:rsidTr="00EA09C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CC1C82" w14:textId="77777777" w:rsidR="00861989" w:rsidRDefault="00861989" w:rsidP="00EA09C7">
            <w:pPr>
              <w:spacing w:before="240" w:after="240" w:line="240" w:lineRule="auto"/>
              <w:ind w:left="100"/>
              <w:rPr>
                <w:sz w:val="20"/>
                <w:szCs w:val="20"/>
              </w:rPr>
            </w:pPr>
            <w:r>
              <w:rPr>
                <w:sz w:val="20"/>
                <w:szCs w:val="20"/>
              </w:rPr>
              <w:t>IV</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76E7EAA"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4FE3EFD" w14:textId="77777777" w:rsidR="00861989" w:rsidRDefault="00861989" w:rsidP="00EA09C7">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78C333B8"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73A40271"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5F2D57E3" w14:textId="77777777" w:rsidTr="00EA09C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3790D0" w14:textId="77777777" w:rsidR="00861989" w:rsidRDefault="00861989" w:rsidP="00EA09C7">
            <w:pPr>
              <w:spacing w:before="240" w:after="240" w:line="240" w:lineRule="auto"/>
              <w:ind w:left="100"/>
              <w:rPr>
                <w:sz w:val="20"/>
                <w:szCs w:val="20"/>
              </w:rPr>
            </w:pPr>
            <w:r>
              <w:rPr>
                <w:sz w:val="20"/>
                <w:szCs w:val="20"/>
              </w:rPr>
              <w:t>V</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5BB4DE9"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3DA8AF06" w14:textId="77777777" w:rsidR="00861989" w:rsidRDefault="00861989" w:rsidP="00EA09C7">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0B4F48AF"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7BA40A55"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17099561" w14:textId="77777777" w:rsidTr="00EA09C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9186CA" w14:textId="77777777" w:rsidR="00861989" w:rsidRDefault="00861989" w:rsidP="00EA09C7">
            <w:pPr>
              <w:spacing w:before="240" w:after="240" w:line="240" w:lineRule="auto"/>
              <w:ind w:left="100"/>
              <w:rPr>
                <w:sz w:val="20"/>
                <w:szCs w:val="20"/>
              </w:rPr>
            </w:pPr>
            <w:r>
              <w:rPr>
                <w:sz w:val="20"/>
                <w:szCs w:val="20"/>
              </w:rPr>
              <w:t>VI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EECDFBC"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304FD570" w14:textId="77777777" w:rsidR="00861989" w:rsidRDefault="00861989" w:rsidP="00EA09C7">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01BBEEA0" w14:textId="77777777" w:rsidR="00861989" w:rsidRDefault="00861989" w:rsidP="00EA09C7">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1BE27CD" w14:textId="77777777" w:rsidR="00861989" w:rsidRDefault="00861989" w:rsidP="00EA09C7">
            <w:pPr>
              <w:spacing w:before="240" w:after="240" w:line="240" w:lineRule="auto"/>
              <w:ind w:left="100"/>
              <w:jc w:val="right"/>
              <w:rPr>
                <w:sz w:val="20"/>
                <w:szCs w:val="20"/>
              </w:rPr>
            </w:pPr>
            <w:r>
              <w:rPr>
                <w:sz w:val="20"/>
                <w:szCs w:val="20"/>
              </w:rPr>
              <w:t>X.X</w:t>
            </w:r>
          </w:p>
        </w:tc>
      </w:tr>
    </w:tbl>
    <w:p w14:paraId="65B473AB" w14:textId="77777777" w:rsidR="00861989" w:rsidRDefault="00861989" w:rsidP="00861989">
      <w:pPr>
        <w:spacing w:before="240" w:after="240" w:line="240" w:lineRule="auto"/>
      </w:pPr>
      <w:r>
        <w:t xml:space="preserve"> </w:t>
      </w:r>
    </w:p>
    <w:p w14:paraId="56C64142" w14:textId="77777777" w:rsidR="00861989" w:rsidRDefault="00861989" w:rsidP="00861989">
      <w:pPr>
        <w:spacing w:before="240" w:after="240" w:line="240" w:lineRule="auto"/>
      </w:pPr>
      <w:r>
        <w:t>Fixed (Continued): Test setting (base = in person; base = individually; base = compensated)</w:t>
      </w:r>
    </w:p>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1335"/>
        <w:gridCol w:w="1350"/>
        <w:gridCol w:w="1275"/>
        <w:gridCol w:w="1305"/>
        <w:gridCol w:w="1275"/>
        <w:gridCol w:w="1710"/>
        <w:gridCol w:w="1095"/>
      </w:tblGrid>
      <w:tr w:rsidR="00861989" w14:paraId="0A3C0284" w14:textId="77777777" w:rsidTr="00EA09C7">
        <w:trPr>
          <w:trHeight w:val="765"/>
        </w:trPr>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26E86" w14:textId="77777777" w:rsidR="00861989" w:rsidRDefault="00861989" w:rsidP="00EA09C7">
            <w:pPr>
              <w:spacing w:before="240" w:after="240" w:line="240" w:lineRule="auto"/>
              <w:ind w:left="100"/>
              <w:jc w:val="right"/>
              <w:rPr>
                <w:sz w:val="20"/>
                <w:szCs w:val="20"/>
              </w:rPr>
            </w:pPr>
            <w:r>
              <w:rPr>
                <w:sz w:val="20"/>
                <w:szCs w:val="20"/>
              </w:rPr>
              <w:lastRenderedPageBreak/>
              <w:t xml:space="preserve"> </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16D396" w14:textId="77777777" w:rsidR="00861989" w:rsidRDefault="00861989" w:rsidP="00EA09C7">
            <w:pPr>
              <w:spacing w:before="240" w:after="240" w:line="240" w:lineRule="auto"/>
              <w:ind w:left="100"/>
              <w:jc w:val="right"/>
              <w:rPr>
                <w:sz w:val="20"/>
                <w:szCs w:val="20"/>
              </w:rPr>
            </w:pPr>
            <w:r>
              <w:rPr>
                <w:sz w:val="20"/>
                <w:szCs w:val="20"/>
              </w:rPr>
              <w:t>Online</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BFF138"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95AF04" w14:textId="77777777" w:rsidR="00861989" w:rsidRDefault="00861989" w:rsidP="00EA09C7">
            <w:pPr>
              <w:spacing w:before="240" w:after="240" w:line="240" w:lineRule="auto"/>
              <w:ind w:left="100"/>
              <w:jc w:val="right"/>
              <w:rPr>
                <w:sz w:val="20"/>
                <w:szCs w:val="20"/>
              </w:rPr>
            </w:pPr>
            <w:r>
              <w:rPr>
                <w:sz w:val="20"/>
                <w:szCs w:val="20"/>
              </w:rPr>
              <w:t>In group</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67CC60"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1840E3" w14:textId="77777777" w:rsidR="00861989" w:rsidRDefault="00861989" w:rsidP="00EA09C7">
            <w:pPr>
              <w:spacing w:before="240" w:after="240" w:line="240" w:lineRule="auto"/>
              <w:ind w:left="100"/>
              <w:jc w:val="right"/>
              <w:rPr>
                <w:sz w:val="20"/>
                <w:szCs w:val="20"/>
              </w:rPr>
            </w:pPr>
            <w:r>
              <w:rPr>
                <w:sz w:val="20"/>
                <w:szCs w:val="20"/>
              </w:rPr>
              <w:t>Not Compensated</w:t>
            </w:r>
          </w:p>
        </w:tc>
        <w:tc>
          <w:tcPr>
            <w:tcW w:w="1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7E2AC8" w14:textId="77777777" w:rsidR="00861989" w:rsidRDefault="00861989" w:rsidP="00EA09C7">
            <w:pPr>
              <w:spacing w:before="240" w:after="240" w:line="240" w:lineRule="auto"/>
              <w:ind w:left="100"/>
              <w:jc w:val="right"/>
              <w:rPr>
                <w:sz w:val="20"/>
                <w:szCs w:val="20"/>
              </w:rPr>
            </w:pPr>
            <w:r>
              <w:rPr>
                <w:sz w:val="20"/>
                <w:szCs w:val="20"/>
              </w:rPr>
              <w:t xml:space="preserve"> </w:t>
            </w:r>
          </w:p>
        </w:tc>
      </w:tr>
      <w:tr w:rsidR="00861989" w14:paraId="392E60D1" w14:textId="77777777" w:rsidTr="00EA09C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393CD9" w14:textId="77777777" w:rsidR="00861989" w:rsidRDefault="00861989" w:rsidP="00EA09C7">
            <w:pPr>
              <w:spacing w:before="240" w:after="240" w:line="240" w:lineRule="auto"/>
              <w:ind w:left="100"/>
              <w:rPr>
                <w:sz w:val="20"/>
                <w:szCs w:val="20"/>
              </w:rPr>
            </w:pPr>
            <w:r>
              <w:rPr>
                <w:sz w:val="20"/>
                <w:szCs w:val="20"/>
              </w:rPr>
              <w:t>Model</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DE021D5" w14:textId="77777777" w:rsidR="00861989" w:rsidRDefault="00861989" w:rsidP="00EA09C7">
            <w:pPr>
              <w:spacing w:before="240" w:after="240" w:line="240" w:lineRule="auto"/>
              <w:ind w:left="100"/>
              <w:jc w:val="right"/>
              <w:rPr>
                <w:sz w:val="20"/>
                <w:szCs w:val="20"/>
              </w:rPr>
            </w:pPr>
            <w:r>
              <w:rPr>
                <w:sz w:val="20"/>
                <w:szCs w:val="20"/>
              </w:rPr>
              <w:t>Est.</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A7EA96B" w14:textId="77777777" w:rsidR="00861989" w:rsidRDefault="00861989" w:rsidP="00EA09C7">
            <w:pPr>
              <w:spacing w:before="240" w:after="240" w:line="240" w:lineRule="auto"/>
              <w:ind w:left="100"/>
              <w:jc w:val="right"/>
              <w:rPr>
                <w:sz w:val="20"/>
                <w:szCs w:val="20"/>
              </w:rPr>
            </w:pPr>
            <w:r>
              <w:rPr>
                <w:sz w:val="20"/>
                <w:szCs w:val="20"/>
              </w:rPr>
              <w:t>s.e.</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8363AD3" w14:textId="77777777" w:rsidR="00861989" w:rsidRDefault="00861989" w:rsidP="00EA09C7">
            <w:pPr>
              <w:spacing w:before="240" w:after="240" w:line="240" w:lineRule="auto"/>
              <w:ind w:left="100"/>
              <w:jc w:val="right"/>
              <w:rPr>
                <w:sz w:val="20"/>
                <w:szCs w:val="20"/>
              </w:rPr>
            </w:pPr>
            <w:r>
              <w:rPr>
                <w:sz w:val="20"/>
                <w:szCs w:val="20"/>
              </w:rPr>
              <w:t>Est.</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437B7908" w14:textId="77777777" w:rsidR="00861989" w:rsidRDefault="00861989" w:rsidP="00EA09C7">
            <w:pPr>
              <w:spacing w:before="240" w:after="240" w:line="240" w:lineRule="auto"/>
              <w:ind w:left="100"/>
              <w:jc w:val="right"/>
              <w:rPr>
                <w:sz w:val="20"/>
                <w:szCs w:val="20"/>
              </w:rPr>
            </w:pPr>
            <w:r>
              <w:rPr>
                <w:sz w:val="20"/>
                <w:szCs w:val="20"/>
              </w:rPr>
              <w:t>s.e.</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72DF1393" w14:textId="77777777" w:rsidR="00861989" w:rsidRDefault="00861989" w:rsidP="00EA09C7">
            <w:pPr>
              <w:spacing w:before="240" w:after="240" w:line="240" w:lineRule="auto"/>
              <w:ind w:left="100"/>
              <w:jc w:val="right"/>
              <w:rPr>
                <w:sz w:val="20"/>
                <w:szCs w:val="20"/>
              </w:rPr>
            </w:pPr>
            <w:r>
              <w:rPr>
                <w:sz w:val="20"/>
                <w:szCs w:val="20"/>
              </w:rPr>
              <w:t>Est.</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72FEEF47" w14:textId="77777777" w:rsidR="00861989" w:rsidRDefault="00861989" w:rsidP="00EA09C7">
            <w:pPr>
              <w:spacing w:before="240" w:after="240" w:line="240" w:lineRule="auto"/>
              <w:ind w:left="100"/>
              <w:jc w:val="right"/>
              <w:rPr>
                <w:sz w:val="20"/>
                <w:szCs w:val="20"/>
              </w:rPr>
            </w:pPr>
            <w:r>
              <w:rPr>
                <w:sz w:val="20"/>
                <w:szCs w:val="20"/>
              </w:rPr>
              <w:t>s.e.</w:t>
            </w:r>
          </w:p>
        </w:tc>
      </w:tr>
      <w:tr w:rsidR="00861989" w14:paraId="77F7BB8F" w14:textId="77777777" w:rsidTr="00EA09C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450CAA" w14:textId="77777777" w:rsidR="00861989" w:rsidRDefault="00861989" w:rsidP="00EA09C7">
            <w:pPr>
              <w:spacing w:before="240" w:after="240" w:line="240" w:lineRule="auto"/>
              <w:ind w:left="100"/>
              <w:rPr>
                <w:sz w:val="20"/>
                <w:szCs w:val="20"/>
              </w:rPr>
            </w:pPr>
            <w:r>
              <w:rPr>
                <w:sz w:val="20"/>
                <w:szCs w:val="20"/>
              </w:rPr>
              <w:t>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B03AE53" w14:textId="77777777" w:rsidR="00861989" w:rsidRDefault="00861989" w:rsidP="00EA09C7">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67437473" w14:textId="77777777" w:rsidR="00861989" w:rsidRDefault="00861989" w:rsidP="00EA09C7">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1D758DD" w14:textId="77777777" w:rsidR="00861989" w:rsidRDefault="00861989" w:rsidP="00EA09C7">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5D78DE24" w14:textId="77777777" w:rsidR="00861989" w:rsidRDefault="00861989" w:rsidP="00EA09C7">
            <w:pPr>
              <w:spacing w:before="240" w:after="240" w:line="240" w:lineRule="auto"/>
              <w:ind w:left="100"/>
              <w:jc w:val="right"/>
              <w:rPr>
                <w:sz w:val="20"/>
                <w:szCs w:val="20"/>
              </w:rPr>
            </w:pPr>
            <w:r>
              <w:rPr>
                <w:sz w:val="20"/>
                <w:szCs w:val="20"/>
              </w:rPr>
              <w:t>X.X</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0EEEC57" w14:textId="77777777" w:rsidR="00861989" w:rsidRDefault="00861989" w:rsidP="00EA09C7">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68ED703D"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381247F9" w14:textId="77777777" w:rsidTr="00EA09C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E35BBA" w14:textId="77777777" w:rsidR="00861989" w:rsidRDefault="00861989" w:rsidP="00EA09C7">
            <w:pPr>
              <w:spacing w:before="240" w:after="240" w:line="240" w:lineRule="auto"/>
              <w:ind w:left="100"/>
              <w:rPr>
                <w:sz w:val="20"/>
                <w:szCs w:val="20"/>
              </w:rPr>
            </w:pPr>
            <w:r>
              <w:rPr>
                <w:sz w:val="20"/>
                <w:szCs w:val="20"/>
              </w:rPr>
              <w:t>II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E42D54C" w14:textId="77777777" w:rsidR="00861989" w:rsidRDefault="00861989" w:rsidP="00EA09C7">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54FD9FA5" w14:textId="77777777" w:rsidR="00861989" w:rsidRDefault="00861989" w:rsidP="00EA09C7">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0E27162" w14:textId="77777777" w:rsidR="00861989" w:rsidRDefault="00861989" w:rsidP="00EA09C7">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2A247A6B" w14:textId="77777777" w:rsidR="00861989" w:rsidRDefault="00861989" w:rsidP="00EA09C7">
            <w:pPr>
              <w:spacing w:before="240" w:after="240" w:line="240" w:lineRule="auto"/>
              <w:ind w:left="100"/>
              <w:jc w:val="right"/>
              <w:rPr>
                <w:sz w:val="20"/>
                <w:szCs w:val="20"/>
              </w:rPr>
            </w:pPr>
            <w:r>
              <w:rPr>
                <w:sz w:val="20"/>
                <w:szCs w:val="20"/>
              </w:rPr>
              <w:t>X.X</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54792F17" w14:textId="77777777" w:rsidR="00861989" w:rsidRDefault="00861989" w:rsidP="00EA09C7">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4810657D"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00086F66" w14:textId="77777777" w:rsidTr="00EA09C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5FF3F3" w14:textId="77777777" w:rsidR="00861989" w:rsidRDefault="00861989" w:rsidP="00EA09C7">
            <w:pPr>
              <w:spacing w:before="240" w:after="240" w:line="240" w:lineRule="auto"/>
              <w:ind w:left="100"/>
              <w:rPr>
                <w:sz w:val="20"/>
                <w:szCs w:val="20"/>
              </w:rPr>
            </w:pPr>
            <w:r>
              <w:rPr>
                <w:sz w:val="20"/>
                <w:szCs w:val="20"/>
              </w:rPr>
              <w:t>III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C1E789B" w14:textId="77777777" w:rsidR="00861989" w:rsidRDefault="00861989" w:rsidP="00EA09C7">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6805CF83" w14:textId="77777777" w:rsidR="00861989" w:rsidRDefault="00861989" w:rsidP="00EA09C7">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1F6C283" w14:textId="77777777" w:rsidR="00861989" w:rsidRDefault="00861989" w:rsidP="00EA09C7">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290E0F9" w14:textId="77777777" w:rsidR="00861989" w:rsidRDefault="00861989" w:rsidP="00EA09C7">
            <w:pPr>
              <w:spacing w:before="240" w:after="240" w:line="240" w:lineRule="auto"/>
              <w:ind w:left="100"/>
              <w:jc w:val="right"/>
              <w:rPr>
                <w:sz w:val="20"/>
                <w:szCs w:val="20"/>
              </w:rPr>
            </w:pPr>
            <w:r>
              <w:rPr>
                <w:sz w:val="20"/>
                <w:szCs w:val="20"/>
              </w:rPr>
              <w:t>X.X</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7B1391EF" w14:textId="77777777" w:rsidR="00861989" w:rsidRDefault="00861989" w:rsidP="00EA09C7">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38D28A17"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6C362F9B" w14:textId="77777777" w:rsidTr="00EA09C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A643C4" w14:textId="77777777" w:rsidR="00861989" w:rsidRDefault="00861989" w:rsidP="00EA09C7">
            <w:pPr>
              <w:spacing w:before="240" w:after="240" w:line="240" w:lineRule="auto"/>
              <w:ind w:left="100"/>
              <w:rPr>
                <w:sz w:val="20"/>
                <w:szCs w:val="20"/>
              </w:rPr>
            </w:pPr>
            <w:r>
              <w:rPr>
                <w:sz w:val="20"/>
                <w:szCs w:val="20"/>
              </w:rPr>
              <w:t>IV</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B829A63" w14:textId="77777777" w:rsidR="00861989" w:rsidRDefault="00861989" w:rsidP="00EA09C7">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4C698375" w14:textId="77777777" w:rsidR="00861989" w:rsidRDefault="00861989" w:rsidP="00EA09C7">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6E501E3" w14:textId="77777777" w:rsidR="00861989" w:rsidRDefault="00861989" w:rsidP="00EA09C7">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1A8627E6" w14:textId="77777777" w:rsidR="00861989" w:rsidRDefault="00861989" w:rsidP="00EA09C7">
            <w:pPr>
              <w:spacing w:before="240" w:after="240" w:line="240" w:lineRule="auto"/>
              <w:ind w:left="100"/>
              <w:jc w:val="right"/>
              <w:rPr>
                <w:sz w:val="20"/>
                <w:szCs w:val="20"/>
              </w:rPr>
            </w:pPr>
            <w:r>
              <w:rPr>
                <w:sz w:val="20"/>
                <w:szCs w:val="20"/>
              </w:rPr>
              <w:t>X.X</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27B57281" w14:textId="77777777" w:rsidR="00861989" w:rsidRDefault="00861989" w:rsidP="00EA09C7">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76F6916E"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522FFA6F" w14:textId="77777777" w:rsidTr="00EA09C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CD36E1" w14:textId="77777777" w:rsidR="00861989" w:rsidRDefault="00861989" w:rsidP="00EA09C7">
            <w:pPr>
              <w:spacing w:before="240" w:after="240" w:line="240" w:lineRule="auto"/>
              <w:ind w:left="100"/>
              <w:rPr>
                <w:sz w:val="20"/>
                <w:szCs w:val="20"/>
              </w:rPr>
            </w:pPr>
            <w:r>
              <w:rPr>
                <w:sz w:val="20"/>
                <w:szCs w:val="20"/>
              </w:rPr>
              <w:t>V</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5CBF5364" w14:textId="77777777" w:rsidR="00861989" w:rsidRDefault="00861989" w:rsidP="00EA09C7">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2EF14B2" w14:textId="77777777" w:rsidR="00861989" w:rsidRDefault="00861989" w:rsidP="00EA09C7">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8F9C3B0" w14:textId="77777777" w:rsidR="00861989" w:rsidRDefault="00861989" w:rsidP="00EA09C7">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40D4F44E" w14:textId="77777777" w:rsidR="00861989" w:rsidRDefault="00861989" w:rsidP="00EA09C7">
            <w:pPr>
              <w:spacing w:before="240" w:after="240" w:line="240" w:lineRule="auto"/>
              <w:ind w:left="100"/>
              <w:jc w:val="right"/>
              <w:rPr>
                <w:sz w:val="20"/>
                <w:szCs w:val="20"/>
              </w:rPr>
            </w:pPr>
            <w:r>
              <w:rPr>
                <w:sz w:val="20"/>
                <w:szCs w:val="20"/>
              </w:rPr>
              <w:t>X.X</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44AD251C" w14:textId="77777777" w:rsidR="00861989" w:rsidRDefault="00861989" w:rsidP="00EA09C7">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417575AB"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78F2E08C" w14:textId="77777777" w:rsidTr="00EA09C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A761F2" w14:textId="77777777" w:rsidR="00861989" w:rsidRDefault="00861989" w:rsidP="00EA09C7">
            <w:pPr>
              <w:spacing w:before="240" w:after="240" w:line="240" w:lineRule="auto"/>
              <w:ind w:left="100"/>
              <w:rPr>
                <w:sz w:val="20"/>
                <w:szCs w:val="20"/>
              </w:rPr>
            </w:pPr>
            <w:r>
              <w:rPr>
                <w:sz w:val="20"/>
                <w:szCs w:val="20"/>
              </w:rPr>
              <w:t>VI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516550C9" w14:textId="77777777" w:rsidR="00861989" w:rsidRDefault="00861989" w:rsidP="00EA09C7">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6D920FD" w14:textId="77777777" w:rsidR="00861989" w:rsidRDefault="00861989" w:rsidP="00EA09C7">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2D347F3" w14:textId="77777777" w:rsidR="00861989" w:rsidRDefault="00861989" w:rsidP="00EA09C7">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E7C1E67" w14:textId="77777777" w:rsidR="00861989" w:rsidRDefault="00861989" w:rsidP="00EA09C7">
            <w:pPr>
              <w:spacing w:before="240" w:after="240" w:line="240" w:lineRule="auto"/>
              <w:ind w:left="100"/>
              <w:jc w:val="right"/>
              <w:rPr>
                <w:sz w:val="20"/>
                <w:szCs w:val="20"/>
              </w:rPr>
            </w:pPr>
            <w:r>
              <w:rPr>
                <w:sz w:val="20"/>
                <w:szCs w:val="20"/>
              </w:rPr>
              <w:t>X.X</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3AA72930" w14:textId="77777777" w:rsidR="00861989" w:rsidRDefault="00861989" w:rsidP="00EA09C7">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39E3F320" w14:textId="77777777" w:rsidR="00861989" w:rsidRDefault="00861989" w:rsidP="00EA09C7">
            <w:pPr>
              <w:spacing w:before="240" w:after="240" w:line="240" w:lineRule="auto"/>
              <w:ind w:left="100"/>
              <w:jc w:val="right"/>
              <w:rPr>
                <w:sz w:val="20"/>
                <w:szCs w:val="20"/>
              </w:rPr>
            </w:pPr>
            <w:r>
              <w:rPr>
                <w:sz w:val="20"/>
                <w:szCs w:val="20"/>
              </w:rPr>
              <w:t>X.X</w:t>
            </w:r>
          </w:p>
        </w:tc>
      </w:tr>
    </w:tbl>
    <w:p w14:paraId="189D5778" w14:textId="77777777" w:rsidR="00861989" w:rsidRDefault="00861989" w:rsidP="00861989">
      <w:pPr>
        <w:spacing w:before="240" w:after="240" w:line="240" w:lineRule="auto"/>
      </w:pPr>
      <w:r>
        <w:t xml:space="preserve"> </w:t>
      </w:r>
    </w:p>
    <w:p w14:paraId="67314CC4" w14:textId="77777777" w:rsidR="00861989" w:rsidRDefault="00861989" w:rsidP="00861989">
      <w:pPr>
        <w:spacing w:before="240" w:after="240" w:line="240" w:lineRule="auto"/>
      </w:pPr>
      <w:r>
        <w:t>Fixed (Continued): Geopolitical Region (base = U.S.A.)</w:t>
      </w:r>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1200"/>
        <w:gridCol w:w="1230"/>
        <w:gridCol w:w="1125"/>
        <w:gridCol w:w="1185"/>
        <w:gridCol w:w="1125"/>
        <w:gridCol w:w="1185"/>
        <w:gridCol w:w="1125"/>
        <w:gridCol w:w="1155"/>
      </w:tblGrid>
      <w:tr w:rsidR="00861989" w14:paraId="1E58F095" w14:textId="77777777" w:rsidTr="00EA09C7">
        <w:trPr>
          <w:trHeight w:val="76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AE18E"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8BE312" w14:textId="77777777" w:rsidR="00861989" w:rsidRDefault="00861989" w:rsidP="00EA09C7">
            <w:pPr>
              <w:spacing w:before="240" w:after="240" w:line="240" w:lineRule="auto"/>
              <w:ind w:left="100"/>
              <w:jc w:val="right"/>
              <w:rPr>
                <w:sz w:val="20"/>
                <w:szCs w:val="20"/>
              </w:rPr>
            </w:pPr>
            <w:r>
              <w:rPr>
                <w:sz w:val="20"/>
                <w:szCs w:val="20"/>
              </w:rPr>
              <w:t>Turkey</w:t>
            </w:r>
          </w:p>
        </w:tc>
        <w:tc>
          <w:tcPr>
            <w:tcW w:w="11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930541"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3D4EAE" w14:textId="77777777" w:rsidR="00861989" w:rsidRDefault="00861989" w:rsidP="00EA09C7">
            <w:pPr>
              <w:spacing w:before="240" w:after="240" w:line="240" w:lineRule="auto"/>
              <w:ind w:left="100"/>
              <w:jc w:val="right"/>
              <w:rPr>
                <w:sz w:val="20"/>
                <w:szCs w:val="20"/>
              </w:rPr>
            </w:pPr>
            <w:r>
              <w:rPr>
                <w:sz w:val="20"/>
                <w:szCs w:val="20"/>
              </w:rPr>
              <w:t>Brazil</w:t>
            </w:r>
          </w:p>
        </w:tc>
        <w:tc>
          <w:tcPr>
            <w:tcW w:w="11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00284D"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16E990" w14:textId="77777777" w:rsidR="00861989" w:rsidRDefault="00861989" w:rsidP="00EA09C7">
            <w:pPr>
              <w:spacing w:before="240" w:after="240" w:line="240" w:lineRule="auto"/>
              <w:ind w:left="100"/>
              <w:jc w:val="right"/>
              <w:rPr>
                <w:sz w:val="20"/>
                <w:szCs w:val="20"/>
              </w:rPr>
            </w:pPr>
            <w:r>
              <w:rPr>
                <w:sz w:val="20"/>
                <w:szCs w:val="20"/>
              </w:rPr>
              <w:t>China</w:t>
            </w:r>
          </w:p>
        </w:tc>
        <w:tc>
          <w:tcPr>
            <w:tcW w:w="11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B201E"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DBDA77" w14:textId="77777777" w:rsidR="00861989" w:rsidRDefault="00861989" w:rsidP="00EA09C7">
            <w:pPr>
              <w:spacing w:before="240" w:after="240" w:line="240" w:lineRule="auto"/>
              <w:ind w:left="100"/>
              <w:jc w:val="right"/>
              <w:rPr>
                <w:sz w:val="20"/>
                <w:szCs w:val="20"/>
              </w:rPr>
            </w:pPr>
            <w:r>
              <w:rPr>
                <w:sz w:val="20"/>
                <w:szCs w:val="20"/>
              </w:rPr>
              <w:t>And, so on...</w:t>
            </w:r>
          </w:p>
        </w:tc>
      </w:tr>
      <w:tr w:rsidR="00861989" w14:paraId="1132A015" w14:textId="77777777" w:rsidTr="00EA09C7">
        <w:trPr>
          <w:trHeight w:val="49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125414" w14:textId="77777777" w:rsidR="00861989" w:rsidRDefault="00861989" w:rsidP="00EA09C7">
            <w:pPr>
              <w:spacing w:before="240" w:after="240" w:line="240" w:lineRule="auto"/>
              <w:ind w:left="100"/>
              <w:rPr>
                <w:sz w:val="20"/>
                <w:szCs w:val="20"/>
              </w:rPr>
            </w:pPr>
            <w:r>
              <w:rPr>
                <w:sz w:val="20"/>
                <w:szCs w:val="20"/>
              </w:rPr>
              <w:t>Model</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3B3055D6" w14:textId="77777777" w:rsidR="00861989" w:rsidRDefault="00861989" w:rsidP="00EA09C7">
            <w:pPr>
              <w:spacing w:before="240" w:after="240" w:line="240" w:lineRule="auto"/>
              <w:ind w:left="100"/>
              <w:jc w:val="right"/>
              <w:rPr>
                <w:sz w:val="20"/>
                <w:szCs w:val="20"/>
              </w:rPr>
            </w:pPr>
            <w:r>
              <w:rPr>
                <w:sz w:val="20"/>
                <w:szCs w:val="20"/>
              </w:rPr>
              <w:t>Est.</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4859D306" w14:textId="77777777" w:rsidR="00861989" w:rsidRDefault="00861989" w:rsidP="00EA09C7">
            <w:pPr>
              <w:spacing w:before="240" w:after="240" w:line="240" w:lineRule="auto"/>
              <w:ind w:left="100"/>
              <w:jc w:val="right"/>
              <w:rPr>
                <w:sz w:val="20"/>
                <w:szCs w:val="20"/>
              </w:rPr>
            </w:pPr>
            <w:r>
              <w:rPr>
                <w:sz w:val="20"/>
                <w:szCs w:val="20"/>
              </w:rPr>
              <w:t>s.e.</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390176AE" w14:textId="77777777" w:rsidR="00861989" w:rsidRDefault="00861989" w:rsidP="00EA09C7">
            <w:pPr>
              <w:spacing w:before="240" w:after="240" w:line="240" w:lineRule="auto"/>
              <w:ind w:left="100"/>
              <w:jc w:val="right"/>
              <w:rPr>
                <w:sz w:val="20"/>
                <w:szCs w:val="20"/>
              </w:rPr>
            </w:pPr>
            <w:r>
              <w:rPr>
                <w:sz w:val="20"/>
                <w:szCs w:val="20"/>
              </w:rPr>
              <w:t>Est.</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0832C176" w14:textId="77777777" w:rsidR="00861989" w:rsidRDefault="00861989" w:rsidP="00EA09C7">
            <w:pPr>
              <w:spacing w:before="240" w:after="240" w:line="240" w:lineRule="auto"/>
              <w:ind w:left="100"/>
              <w:jc w:val="right"/>
              <w:rPr>
                <w:sz w:val="20"/>
                <w:szCs w:val="20"/>
              </w:rPr>
            </w:pPr>
            <w:r>
              <w:rPr>
                <w:sz w:val="20"/>
                <w:szCs w:val="20"/>
              </w:rPr>
              <w:t>s.e.</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1E3493F3" w14:textId="77777777" w:rsidR="00861989" w:rsidRDefault="00861989" w:rsidP="00EA09C7">
            <w:pPr>
              <w:spacing w:before="240" w:after="240" w:line="240" w:lineRule="auto"/>
              <w:ind w:left="100"/>
              <w:jc w:val="right"/>
              <w:rPr>
                <w:sz w:val="20"/>
                <w:szCs w:val="20"/>
              </w:rPr>
            </w:pPr>
            <w:r>
              <w:rPr>
                <w:sz w:val="20"/>
                <w:szCs w:val="20"/>
              </w:rPr>
              <w:t>Est.</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621CA113" w14:textId="77777777" w:rsidR="00861989" w:rsidRDefault="00861989" w:rsidP="00EA09C7">
            <w:pPr>
              <w:spacing w:before="240" w:after="240" w:line="240" w:lineRule="auto"/>
              <w:ind w:left="100"/>
              <w:jc w:val="right"/>
              <w:rPr>
                <w:sz w:val="20"/>
                <w:szCs w:val="20"/>
              </w:rPr>
            </w:pPr>
            <w:r>
              <w:rPr>
                <w:sz w:val="20"/>
                <w:szCs w:val="20"/>
              </w:rPr>
              <w:t>s.e.</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7F5C40E5" w14:textId="77777777" w:rsidR="00861989" w:rsidRDefault="00861989" w:rsidP="00EA09C7">
            <w:pPr>
              <w:spacing w:before="240" w:after="240" w:line="240" w:lineRule="auto"/>
              <w:ind w:left="100"/>
              <w:jc w:val="right"/>
              <w:rPr>
                <w:sz w:val="20"/>
                <w:szCs w:val="20"/>
              </w:rPr>
            </w:pPr>
            <w:r>
              <w:rPr>
                <w:sz w:val="20"/>
                <w:szCs w:val="20"/>
              </w:rPr>
              <w:t>...</w:t>
            </w:r>
          </w:p>
        </w:tc>
      </w:tr>
      <w:tr w:rsidR="00861989" w14:paraId="7231CDE9" w14:textId="77777777" w:rsidTr="00EA09C7">
        <w:trPr>
          <w:trHeight w:val="49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340817" w14:textId="77777777" w:rsidR="00861989" w:rsidRDefault="00861989" w:rsidP="00EA09C7">
            <w:pPr>
              <w:spacing w:before="240" w:after="240" w:line="240" w:lineRule="auto"/>
              <w:ind w:left="100"/>
              <w:rPr>
                <w:sz w:val="20"/>
                <w:szCs w:val="20"/>
              </w:rPr>
            </w:pPr>
            <w:r>
              <w:rPr>
                <w:sz w:val="20"/>
                <w:szCs w:val="20"/>
              </w:rPr>
              <w:t>I</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D27389E"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34B3CC35"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70ADD9AE"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5884CC8A"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79A7AC5C"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308C4AA5" w14:textId="77777777" w:rsidR="00861989" w:rsidRDefault="00861989" w:rsidP="00EA09C7">
            <w:pPr>
              <w:spacing w:before="240" w:after="240" w:line="240" w:lineRule="auto"/>
              <w:ind w:left="100"/>
              <w:jc w:val="right"/>
              <w:rPr>
                <w:sz w:val="20"/>
                <w:szCs w:val="20"/>
              </w:rPr>
            </w:pPr>
            <w:r>
              <w:rPr>
                <w:sz w:val="20"/>
                <w:szCs w:val="20"/>
              </w:rPr>
              <w:t>X.X</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11187449" w14:textId="77777777" w:rsidR="00861989" w:rsidRDefault="00861989" w:rsidP="00EA09C7">
            <w:pPr>
              <w:spacing w:before="240" w:after="240" w:line="240" w:lineRule="auto"/>
              <w:ind w:left="100"/>
              <w:rPr>
                <w:sz w:val="20"/>
                <w:szCs w:val="20"/>
              </w:rPr>
            </w:pPr>
            <w:r>
              <w:rPr>
                <w:sz w:val="20"/>
                <w:szCs w:val="20"/>
              </w:rPr>
              <w:t>...</w:t>
            </w:r>
          </w:p>
        </w:tc>
      </w:tr>
      <w:tr w:rsidR="00861989" w14:paraId="7CC02DBA" w14:textId="77777777" w:rsidTr="00EA09C7">
        <w:trPr>
          <w:trHeight w:val="49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B56917" w14:textId="77777777" w:rsidR="00861989" w:rsidRDefault="00861989" w:rsidP="00EA09C7">
            <w:pPr>
              <w:spacing w:before="240" w:after="240" w:line="240" w:lineRule="auto"/>
              <w:ind w:left="100"/>
              <w:rPr>
                <w:sz w:val="20"/>
                <w:szCs w:val="20"/>
              </w:rPr>
            </w:pPr>
            <w:r>
              <w:rPr>
                <w:sz w:val="20"/>
                <w:szCs w:val="20"/>
              </w:rPr>
              <w:t>II</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798D8486"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4521FB8B"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43BBEEDE"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1BC79FA8"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54449DD0"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67670DBA" w14:textId="77777777" w:rsidR="00861989" w:rsidRDefault="00861989" w:rsidP="00EA09C7">
            <w:pPr>
              <w:spacing w:before="240" w:after="240" w:line="240" w:lineRule="auto"/>
              <w:ind w:left="100"/>
              <w:jc w:val="right"/>
              <w:rPr>
                <w:sz w:val="20"/>
                <w:szCs w:val="20"/>
              </w:rPr>
            </w:pPr>
            <w:r>
              <w:rPr>
                <w:sz w:val="20"/>
                <w:szCs w:val="20"/>
              </w:rPr>
              <w:t>X.X</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77867840" w14:textId="77777777" w:rsidR="00861989" w:rsidRDefault="00861989" w:rsidP="00EA09C7">
            <w:pPr>
              <w:spacing w:before="240" w:after="240" w:line="240" w:lineRule="auto"/>
              <w:ind w:left="100"/>
              <w:rPr>
                <w:sz w:val="20"/>
                <w:szCs w:val="20"/>
              </w:rPr>
            </w:pPr>
            <w:r>
              <w:rPr>
                <w:sz w:val="20"/>
                <w:szCs w:val="20"/>
              </w:rPr>
              <w:t>...</w:t>
            </w:r>
          </w:p>
        </w:tc>
      </w:tr>
      <w:tr w:rsidR="00861989" w14:paraId="7EE9C85E" w14:textId="77777777" w:rsidTr="00EA09C7">
        <w:trPr>
          <w:trHeight w:val="49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A729C9" w14:textId="77777777" w:rsidR="00861989" w:rsidRDefault="00861989" w:rsidP="00EA09C7">
            <w:pPr>
              <w:spacing w:before="240" w:after="240" w:line="240" w:lineRule="auto"/>
              <w:ind w:left="100"/>
              <w:rPr>
                <w:sz w:val="20"/>
                <w:szCs w:val="20"/>
              </w:rPr>
            </w:pPr>
            <w:r>
              <w:rPr>
                <w:sz w:val="20"/>
                <w:szCs w:val="20"/>
              </w:rPr>
              <w:lastRenderedPageBreak/>
              <w:t>III</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6EFAEF8A"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2BC47426"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2AA8A8C0"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235EAA83"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01C0387D"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4643BF2B" w14:textId="77777777" w:rsidR="00861989" w:rsidRDefault="00861989" w:rsidP="00EA09C7">
            <w:pPr>
              <w:spacing w:before="240" w:after="240" w:line="240" w:lineRule="auto"/>
              <w:ind w:left="100"/>
              <w:jc w:val="right"/>
              <w:rPr>
                <w:sz w:val="20"/>
                <w:szCs w:val="20"/>
              </w:rPr>
            </w:pPr>
            <w:r>
              <w:rPr>
                <w:sz w:val="20"/>
                <w:szCs w:val="20"/>
              </w:rPr>
              <w:t>X.X</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3009B176" w14:textId="77777777" w:rsidR="00861989" w:rsidRDefault="00861989" w:rsidP="00EA09C7">
            <w:pPr>
              <w:spacing w:before="240" w:after="240" w:line="240" w:lineRule="auto"/>
              <w:ind w:left="100"/>
              <w:rPr>
                <w:sz w:val="20"/>
                <w:szCs w:val="20"/>
              </w:rPr>
            </w:pPr>
            <w:r>
              <w:rPr>
                <w:sz w:val="20"/>
                <w:szCs w:val="20"/>
              </w:rPr>
              <w:t>...</w:t>
            </w:r>
          </w:p>
        </w:tc>
      </w:tr>
      <w:tr w:rsidR="00861989" w14:paraId="50F4E922" w14:textId="77777777" w:rsidTr="00EA09C7">
        <w:trPr>
          <w:trHeight w:val="49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B8A972" w14:textId="77777777" w:rsidR="00861989" w:rsidRDefault="00861989" w:rsidP="00EA09C7">
            <w:pPr>
              <w:spacing w:before="240" w:after="240" w:line="240" w:lineRule="auto"/>
              <w:ind w:left="100"/>
              <w:rPr>
                <w:sz w:val="20"/>
                <w:szCs w:val="20"/>
              </w:rPr>
            </w:pPr>
            <w:r>
              <w:rPr>
                <w:sz w:val="20"/>
                <w:szCs w:val="20"/>
              </w:rPr>
              <w:t>IV</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6C495872"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54D30C0B"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3F81DAF0"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73B8F3F7"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19742F36"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1943F46D" w14:textId="77777777" w:rsidR="00861989" w:rsidRDefault="00861989" w:rsidP="00EA09C7">
            <w:pPr>
              <w:spacing w:before="240" w:after="240" w:line="240" w:lineRule="auto"/>
              <w:ind w:left="100"/>
              <w:jc w:val="right"/>
              <w:rPr>
                <w:sz w:val="20"/>
                <w:szCs w:val="20"/>
              </w:rPr>
            </w:pPr>
            <w:r>
              <w:rPr>
                <w:sz w:val="20"/>
                <w:szCs w:val="20"/>
              </w:rPr>
              <w:t>X.X</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5F04A9DA" w14:textId="77777777" w:rsidR="00861989" w:rsidRDefault="00861989" w:rsidP="00EA09C7">
            <w:pPr>
              <w:spacing w:before="240" w:after="240" w:line="240" w:lineRule="auto"/>
              <w:ind w:left="100"/>
              <w:rPr>
                <w:sz w:val="20"/>
                <w:szCs w:val="20"/>
              </w:rPr>
            </w:pPr>
            <w:r>
              <w:rPr>
                <w:sz w:val="20"/>
                <w:szCs w:val="20"/>
              </w:rPr>
              <w:t>...</w:t>
            </w:r>
          </w:p>
        </w:tc>
      </w:tr>
      <w:tr w:rsidR="00861989" w14:paraId="0F2034BD" w14:textId="77777777" w:rsidTr="00EA09C7">
        <w:trPr>
          <w:trHeight w:val="49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A0AE7E" w14:textId="77777777" w:rsidR="00861989" w:rsidRDefault="00861989" w:rsidP="00EA09C7">
            <w:pPr>
              <w:spacing w:before="240" w:after="240" w:line="240" w:lineRule="auto"/>
              <w:ind w:left="100"/>
              <w:rPr>
                <w:sz w:val="20"/>
                <w:szCs w:val="20"/>
              </w:rPr>
            </w:pPr>
            <w:r>
              <w:rPr>
                <w:sz w:val="20"/>
                <w:szCs w:val="20"/>
              </w:rPr>
              <w:t>V</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5552FC40"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6BA41357"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1086E69F"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224A1889"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0F9C1125"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714A75F4" w14:textId="77777777" w:rsidR="00861989" w:rsidRDefault="00861989" w:rsidP="00EA09C7">
            <w:pPr>
              <w:spacing w:before="240" w:after="240" w:line="240" w:lineRule="auto"/>
              <w:ind w:left="100"/>
              <w:jc w:val="right"/>
              <w:rPr>
                <w:sz w:val="20"/>
                <w:szCs w:val="20"/>
              </w:rPr>
            </w:pPr>
            <w:r>
              <w:rPr>
                <w:sz w:val="20"/>
                <w:szCs w:val="20"/>
              </w:rPr>
              <w:t>X.X</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509C16B6" w14:textId="77777777" w:rsidR="00861989" w:rsidRDefault="00861989" w:rsidP="00EA09C7">
            <w:pPr>
              <w:spacing w:before="240" w:after="240" w:line="240" w:lineRule="auto"/>
              <w:ind w:left="100"/>
              <w:rPr>
                <w:sz w:val="20"/>
                <w:szCs w:val="20"/>
              </w:rPr>
            </w:pPr>
            <w:r>
              <w:rPr>
                <w:sz w:val="20"/>
                <w:szCs w:val="20"/>
              </w:rPr>
              <w:t>...</w:t>
            </w:r>
          </w:p>
        </w:tc>
      </w:tr>
      <w:tr w:rsidR="00861989" w14:paraId="6A553E34" w14:textId="77777777" w:rsidTr="00EA09C7">
        <w:trPr>
          <w:trHeight w:val="49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93EA5C" w14:textId="77777777" w:rsidR="00861989" w:rsidRDefault="00861989" w:rsidP="00EA09C7">
            <w:pPr>
              <w:spacing w:before="240" w:after="240" w:line="240" w:lineRule="auto"/>
              <w:ind w:left="100"/>
              <w:rPr>
                <w:sz w:val="20"/>
                <w:szCs w:val="20"/>
              </w:rPr>
            </w:pPr>
            <w:r>
              <w:rPr>
                <w:sz w:val="20"/>
                <w:szCs w:val="20"/>
              </w:rPr>
              <w:t>VI</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292B201"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50C37707"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75BA16E4"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7F0D2761" w14:textId="77777777" w:rsidR="00861989" w:rsidRDefault="00861989" w:rsidP="00EA09C7">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36ACAC80" w14:textId="77777777" w:rsidR="00861989" w:rsidRDefault="00861989" w:rsidP="00EA09C7">
            <w:pPr>
              <w:spacing w:before="240" w:after="240" w:line="240" w:lineRule="auto"/>
              <w:ind w:left="100"/>
              <w:jc w:val="right"/>
              <w:rPr>
                <w:sz w:val="20"/>
                <w:szCs w:val="20"/>
              </w:rPr>
            </w:pPr>
            <w:r>
              <w:rPr>
                <w:sz w:val="20"/>
                <w:szCs w:val="20"/>
              </w:rPr>
              <w:t>X.X</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19627282" w14:textId="77777777" w:rsidR="00861989" w:rsidRDefault="00861989" w:rsidP="00EA09C7">
            <w:pPr>
              <w:spacing w:before="240" w:after="240" w:line="240" w:lineRule="auto"/>
              <w:ind w:left="100"/>
              <w:jc w:val="right"/>
              <w:rPr>
                <w:sz w:val="20"/>
                <w:szCs w:val="20"/>
              </w:rPr>
            </w:pPr>
            <w:r>
              <w:rPr>
                <w:sz w:val="20"/>
                <w:szCs w:val="20"/>
              </w:rPr>
              <w:t>X.X</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70CFAE0E" w14:textId="77777777" w:rsidR="00861989" w:rsidRDefault="00861989" w:rsidP="00EA09C7">
            <w:pPr>
              <w:spacing w:before="240" w:after="240" w:line="240" w:lineRule="auto"/>
              <w:ind w:left="100"/>
              <w:rPr>
                <w:sz w:val="20"/>
                <w:szCs w:val="20"/>
              </w:rPr>
            </w:pPr>
            <w:r>
              <w:rPr>
                <w:sz w:val="20"/>
                <w:szCs w:val="20"/>
              </w:rPr>
              <w:t>...</w:t>
            </w:r>
          </w:p>
        </w:tc>
      </w:tr>
    </w:tbl>
    <w:p w14:paraId="6340391D" w14:textId="77777777" w:rsidR="00861989" w:rsidRDefault="00861989" w:rsidP="00861989">
      <w:pPr>
        <w:spacing w:before="240" w:after="240" w:line="240" w:lineRule="auto"/>
      </w:pPr>
      <w:r>
        <w:t xml:space="preserve"> </w:t>
      </w:r>
    </w:p>
    <w:p w14:paraId="31DC00C7" w14:textId="77777777" w:rsidR="00861989" w:rsidRDefault="00861989" w:rsidP="00861989">
      <w:pPr>
        <w:spacing w:before="240" w:after="240" w:line="240" w:lineRule="auto"/>
      </w:pPr>
      <w:r>
        <w:t>Fixed (Continued): Gender (base = female)</w:t>
      </w:r>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3120"/>
        <w:gridCol w:w="3105"/>
        <w:gridCol w:w="3105"/>
      </w:tblGrid>
      <w:tr w:rsidR="00861989" w14:paraId="31F1062A" w14:textId="77777777" w:rsidTr="00EA09C7">
        <w:trPr>
          <w:trHeight w:val="49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693B4" w14:textId="77777777" w:rsidR="00861989" w:rsidRDefault="00861989" w:rsidP="00EA09C7">
            <w:pPr>
              <w:spacing w:before="240" w:after="240" w:line="240" w:lineRule="auto"/>
              <w:ind w:left="100"/>
              <w:rPr>
                <w:sz w:val="20"/>
                <w:szCs w:val="20"/>
              </w:rPr>
            </w:pPr>
            <w:r>
              <w:rPr>
                <w:sz w:val="20"/>
                <w:szCs w:val="20"/>
              </w:rPr>
              <w:t xml:space="preserve"> </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2D502F" w14:textId="77777777" w:rsidR="00861989" w:rsidRDefault="00861989" w:rsidP="00EA09C7">
            <w:pPr>
              <w:spacing w:before="240" w:after="240" w:line="240" w:lineRule="auto"/>
              <w:ind w:left="100"/>
              <w:rPr>
                <w:sz w:val="20"/>
                <w:szCs w:val="20"/>
              </w:rPr>
            </w:pPr>
            <w:r>
              <w:rPr>
                <w:sz w:val="20"/>
                <w:szCs w:val="20"/>
              </w:rPr>
              <w:t>Male</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69F537" w14:textId="77777777" w:rsidR="00861989" w:rsidRDefault="00861989" w:rsidP="00EA09C7">
            <w:pPr>
              <w:spacing w:before="240" w:after="240" w:line="240" w:lineRule="auto"/>
              <w:ind w:left="100"/>
              <w:rPr>
                <w:sz w:val="20"/>
                <w:szCs w:val="20"/>
              </w:rPr>
            </w:pPr>
            <w:r>
              <w:rPr>
                <w:sz w:val="20"/>
                <w:szCs w:val="20"/>
              </w:rPr>
              <w:t xml:space="preserve"> </w:t>
            </w:r>
          </w:p>
        </w:tc>
      </w:tr>
      <w:tr w:rsidR="00861989" w14:paraId="27F49544" w14:textId="77777777" w:rsidTr="00EA09C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86422B" w14:textId="77777777" w:rsidR="00861989" w:rsidRDefault="00861989" w:rsidP="00EA09C7">
            <w:pPr>
              <w:spacing w:before="240" w:after="240" w:line="240" w:lineRule="auto"/>
              <w:ind w:left="100"/>
              <w:rPr>
                <w:sz w:val="20"/>
                <w:szCs w:val="20"/>
              </w:rPr>
            </w:pPr>
            <w:r>
              <w:rPr>
                <w:sz w:val="20"/>
                <w:szCs w:val="20"/>
              </w:rPr>
              <w:t>Model</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67A514FB" w14:textId="77777777" w:rsidR="00861989" w:rsidRDefault="00861989" w:rsidP="00EA09C7">
            <w:pPr>
              <w:spacing w:before="240" w:after="240" w:line="240" w:lineRule="auto"/>
              <w:ind w:left="100"/>
              <w:jc w:val="right"/>
              <w:rPr>
                <w:sz w:val="20"/>
                <w:szCs w:val="20"/>
              </w:rPr>
            </w:pPr>
            <w:r>
              <w:rPr>
                <w:sz w:val="20"/>
                <w:szCs w:val="20"/>
              </w:rPr>
              <w:t>Est.</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4322C537" w14:textId="77777777" w:rsidR="00861989" w:rsidRDefault="00861989" w:rsidP="00EA09C7">
            <w:pPr>
              <w:spacing w:before="240" w:after="240" w:line="240" w:lineRule="auto"/>
              <w:ind w:left="100"/>
              <w:jc w:val="right"/>
              <w:rPr>
                <w:sz w:val="20"/>
                <w:szCs w:val="20"/>
              </w:rPr>
            </w:pPr>
            <w:r>
              <w:rPr>
                <w:sz w:val="20"/>
                <w:szCs w:val="20"/>
              </w:rPr>
              <w:t>s.e.</w:t>
            </w:r>
          </w:p>
        </w:tc>
      </w:tr>
      <w:tr w:rsidR="00861989" w14:paraId="20430CEA" w14:textId="77777777" w:rsidTr="00EA09C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0F13B6" w14:textId="77777777" w:rsidR="00861989" w:rsidRDefault="00861989" w:rsidP="00EA09C7">
            <w:pPr>
              <w:spacing w:before="240" w:after="240" w:line="240" w:lineRule="auto"/>
              <w:ind w:left="100"/>
              <w:rPr>
                <w:sz w:val="20"/>
                <w:szCs w:val="20"/>
              </w:rPr>
            </w:pPr>
            <w:r>
              <w:rPr>
                <w:sz w:val="20"/>
                <w:szCs w:val="20"/>
              </w:rPr>
              <w:t>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76742E4A" w14:textId="77777777" w:rsidR="00861989" w:rsidRDefault="00861989" w:rsidP="00EA09C7">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6220D2C7"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4C46AEA1" w14:textId="77777777" w:rsidTr="00EA09C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5320B5" w14:textId="77777777" w:rsidR="00861989" w:rsidRDefault="00861989" w:rsidP="00EA09C7">
            <w:pPr>
              <w:spacing w:before="240" w:after="240" w:line="240" w:lineRule="auto"/>
              <w:ind w:left="100"/>
              <w:rPr>
                <w:sz w:val="20"/>
                <w:szCs w:val="20"/>
              </w:rPr>
            </w:pPr>
            <w:r>
              <w:rPr>
                <w:sz w:val="20"/>
                <w:szCs w:val="20"/>
              </w:rPr>
              <w:t>II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5B1AA654" w14:textId="77777777" w:rsidR="00861989" w:rsidRDefault="00861989" w:rsidP="00EA09C7">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286BD7E8"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55F72259" w14:textId="77777777" w:rsidTr="00EA09C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A63E0A" w14:textId="77777777" w:rsidR="00861989" w:rsidRDefault="00861989" w:rsidP="00EA09C7">
            <w:pPr>
              <w:spacing w:before="240" w:after="240" w:line="240" w:lineRule="auto"/>
              <w:ind w:left="100"/>
              <w:rPr>
                <w:sz w:val="20"/>
                <w:szCs w:val="20"/>
              </w:rPr>
            </w:pPr>
            <w:r>
              <w:rPr>
                <w:sz w:val="20"/>
                <w:szCs w:val="20"/>
              </w:rPr>
              <w:t>III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5AA6E085" w14:textId="77777777" w:rsidR="00861989" w:rsidRDefault="00861989" w:rsidP="00EA09C7">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4F0034D1"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5CB0AD39" w14:textId="77777777" w:rsidTr="00EA09C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ED83CE" w14:textId="77777777" w:rsidR="00861989" w:rsidRDefault="00861989" w:rsidP="00EA09C7">
            <w:pPr>
              <w:spacing w:before="240" w:after="240" w:line="240" w:lineRule="auto"/>
              <w:ind w:left="100"/>
              <w:rPr>
                <w:sz w:val="20"/>
                <w:szCs w:val="20"/>
              </w:rPr>
            </w:pPr>
            <w:r>
              <w:rPr>
                <w:sz w:val="20"/>
                <w:szCs w:val="20"/>
              </w:rPr>
              <w:t>IV</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26E636A7" w14:textId="77777777" w:rsidR="00861989" w:rsidRDefault="00861989" w:rsidP="00EA09C7">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68CB5CB6"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44DBB804" w14:textId="77777777" w:rsidTr="00EA09C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F24E42" w14:textId="77777777" w:rsidR="00861989" w:rsidRDefault="00861989" w:rsidP="00EA09C7">
            <w:pPr>
              <w:spacing w:before="240" w:after="240" w:line="240" w:lineRule="auto"/>
              <w:ind w:left="100"/>
              <w:rPr>
                <w:sz w:val="20"/>
                <w:szCs w:val="20"/>
              </w:rPr>
            </w:pPr>
            <w:r>
              <w:rPr>
                <w:sz w:val="20"/>
                <w:szCs w:val="20"/>
              </w:rPr>
              <w:t>V</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6AB0F8B0" w14:textId="77777777" w:rsidR="00861989" w:rsidRDefault="00861989" w:rsidP="00EA09C7">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2241796B"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3995C746" w14:textId="77777777" w:rsidTr="00EA09C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2F497F" w14:textId="77777777" w:rsidR="00861989" w:rsidRDefault="00861989" w:rsidP="00EA09C7">
            <w:pPr>
              <w:spacing w:before="240" w:after="240" w:line="240" w:lineRule="auto"/>
              <w:ind w:left="100"/>
              <w:rPr>
                <w:sz w:val="20"/>
                <w:szCs w:val="20"/>
              </w:rPr>
            </w:pPr>
            <w:r>
              <w:rPr>
                <w:sz w:val="20"/>
                <w:szCs w:val="20"/>
              </w:rPr>
              <w:t>VI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7D235105" w14:textId="77777777" w:rsidR="00861989" w:rsidRDefault="00861989" w:rsidP="00EA09C7">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4EE81C62" w14:textId="77777777" w:rsidR="00861989" w:rsidRDefault="00861989" w:rsidP="00EA09C7">
            <w:pPr>
              <w:spacing w:before="240" w:after="240" w:line="240" w:lineRule="auto"/>
              <w:ind w:left="100"/>
              <w:jc w:val="right"/>
              <w:rPr>
                <w:sz w:val="20"/>
                <w:szCs w:val="20"/>
              </w:rPr>
            </w:pPr>
            <w:r>
              <w:rPr>
                <w:sz w:val="20"/>
                <w:szCs w:val="20"/>
              </w:rPr>
              <w:t>X.X</w:t>
            </w:r>
          </w:p>
        </w:tc>
      </w:tr>
    </w:tbl>
    <w:p w14:paraId="420AA2F1" w14:textId="77777777" w:rsidR="00861989" w:rsidRDefault="00861989" w:rsidP="00861989">
      <w:pPr>
        <w:spacing w:before="240" w:after="240" w:line="240" w:lineRule="auto"/>
      </w:pPr>
      <w:r>
        <w:t xml:space="preserve"> </w:t>
      </w:r>
    </w:p>
    <w:p w14:paraId="2D19E193" w14:textId="77777777" w:rsidR="00861989" w:rsidRDefault="00861989" w:rsidP="00861989">
      <w:pPr>
        <w:spacing w:before="240" w:after="240" w:line="240" w:lineRule="auto"/>
      </w:pPr>
      <w:r>
        <w:lastRenderedPageBreak/>
        <w:t>Random</w:t>
      </w:r>
    </w:p>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870"/>
        <w:gridCol w:w="1035"/>
        <w:gridCol w:w="690"/>
        <w:gridCol w:w="690"/>
        <w:gridCol w:w="1260"/>
        <w:gridCol w:w="690"/>
        <w:gridCol w:w="690"/>
        <w:gridCol w:w="1290"/>
        <w:gridCol w:w="690"/>
        <w:gridCol w:w="690"/>
        <w:gridCol w:w="750"/>
      </w:tblGrid>
      <w:tr w:rsidR="00861989" w14:paraId="18A857BA" w14:textId="77777777" w:rsidTr="00EA09C7">
        <w:trPr>
          <w:trHeight w:val="765"/>
        </w:trPr>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F9F11"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B620C7" w14:textId="77777777" w:rsidR="00861989" w:rsidRDefault="00861989" w:rsidP="00EA09C7">
            <w:pPr>
              <w:spacing w:before="240" w:after="240" w:line="240" w:lineRule="auto"/>
              <w:ind w:left="100"/>
              <w:jc w:val="right"/>
              <w:rPr>
                <w:sz w:val="20"/>
                <w:szCs w:val="20"/>
              </w:rPr>
            </w:pPr>
            <w:r>
              <w:rPr>
                <w:sz w:val="20"/>
                <w:szCs w:val="20"/>
              </w:rPr>
              <w:t>Vignette</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141E59"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DD350B"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48B272" w14:textId="77777777" w:rsidR="00861989" w:rsidRDefault="00861989" w:rsidP="00EA09C7">
            <w:pPr>
              <w:spacing w:before="240" w:after="240" w:line="240" w:lineRule="auto"/>
              <w:ind w:left="100"/>
              <w:jc w:val="right"/>
              <w:rPr>
                <w:sz w:val="20"/>
                <w:szCs w:val="20"/>
              </w:rPr>
            </w:pPr>
            <w:r>
              <w:rPr>
                <w:sz w:val="20"/>
                <w:szCs w:val="20"/>
              </w:rPr>
              <w:t>Participant</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F2BC3E"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2C87E3"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6608DA" w14:textId="77777777" w:rsidR="00861989" w:rsidRDefault="00861989" w:rsidP="00EA09C7">
            <w:pPr>
              <w:spacing w:before="240" w:after="240" w:line="240" w:lineRule="auto"/>
              <w:ind w:left="100"/>
              <w:jc w:val="right"/>
              <w:rPr>
                <w:sz w:val="20"/>
                <w:szCs w:val="20"/>
              </w:rPr>
            </w:pPr>
            <w:r>
              <w:rPr>
                <w:sz w:val="20"/>
                <w:szCs w:val="20"/>
              </w:rPr>
              <w:t>Laboratory</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6E5090"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157517" w14:textId="77777777" w:rsidR="00861989" w:rsidRDefault="00861989" w:rsidP="00EA09C7">
            <w:pPr>
              <w:spacing w:before="240" w:after="240" w:line="240" w:lineRule="auto"/>
              <w:ind w:left="100"/>
              <w:jc w:val="right"/>
              <w:rPr>
                <w:sz w:val="20"/>
                <w:szCs w:val="20"/>
              </w:rPr>
            </w:pPr>
            <w:r>
              <w:rPr>
                <w:sz w:val="20"/>
                <w:szCs w:val="20"/>
              </w:rPr>
              <w:t xml:space="preserve"> </w:t>
            </w:r>
          </w:p>
        </w:tc>
        <w:tc>
          <w:tcPr>
            <w:tcW w:w="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399F7E" w14:textId="77777777" w:rsidR="00861989" w:rsidRDefault="00861989" w:rsidP="00EA09C7">
            <w:pPr>
              <w:spacing w:before="240" w:after="240" w:line="240" w:lineRule="auto"/>
              <w:ind w:left="100"/>
              <w:jc w:val="right"/>
              <w:rPr>
                <w:sz w:val="20"/>
                <w:szCs w:val="20"/>
              </w:rPr>
            </w:pPr>
            <w:r>
              <w:rPr>
                <w:sz w:val="20"/>
                <w:szCs w:val="20"/>
              </w:rPr>
              <w:t>Log-Lik</w:t>
            </w:r>
          </w:p>
        </w:tc>
      </w:tr>
      <w:tr w:rsidR="00861989" w14:paraId="235B1ADF" w14:textId="77777777" w:rsidTr="00EA09C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3A41D5" w14:textId="77777777" w:rsidR="00861989" w:rsidRDefault="00861989" w:rsidP="00EA09C7">
            <w:pPr>
              <w:spacing w:before="240" w:after="240" w:line="240" w:lineRule="auto"/>
              <w:ind w:left="100"/>
              <w:rPr>
                <w:sz w:val="20"/>
                <w:szCs w:val="20"/>
              </w:rPr>
            </w:pPr>
            <w:r>
              <w:rPr>
                <w:sz w:val="20"/>
                <w:szCs w:val="20"/>
              </w:rPr>
              <w:t>Model</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0EFC31E4" w14:textId="77777777" w:rsidR="00861989" w:rsidRDefault="00861989" w:rsidP="00EA09C7">
            <w:pPr>
              <w:spacing w:before="240" w:after="240" w:line="240" w:lineRule="auto"/>
              <w:ind w:left="100"/>
              <w:jc w:val="right"/>
              <w:rPr>
                <w:sz w:val="20"/>
                <w:szCs w:val="20"/>
              </w:rPr>
            </w:pPr>
            <w:r>
              <w:rPr>
                <w:sz w:val="20"/>
                <w:szCs w:val="20"/>
              </w:rPr>
              <w:t>Var.</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7C12C36D" w14:textId="77777777" w:rsidR="00861989" w:rsidRDefault="00861989" w:rsidP="00EA09C7">
            <w:pPr>
              <w:spacing w:before="240" w:after="240" w:line="240" w:lineRule="auto"/>
              <w:ind w:left="100"/>
              <w:jc w:val="right"/>
              <w:rPr>
                <w:sz w:val="20"/>
                <w:szCs w:val="20"/>
              </w:rPr>
            </w:pPr>
            <w:r>
              <w:rPr>
                <w:sz w:val="20"/>
                <w:szCs w:val="20"/>
              </w:rPr>
              <w:t>s.e.</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76E0375D" w14:textId="77777777" w:rsidR="00861989" w:rsidRDefault="00861989" w:rsidP="00EA09C7">
            <w:pPr>
              <w:spacing w:before="240" w:after="240" w:line="240" w:lineRule="auto"/>
              <w:ind w:left="100"/>
              <w:jc w:val="right"/>
              <w:rPr>
                <w:sz w:val="20"/>
                <w:szCs w:val="20"/>
              </w:rPr>
            </w:pPr>
            <w:r>
              <w:rPr>
                <w:sz w:val="20"/>
                <w:szCs w:val="20"/>
              </w:rPr>
              <w:t>s.d.</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2B8D3EA" w14:textId="77777777" w:rsidR="00861989" w:rsidRDefault="00861989" w:rsidP="00EA09C7">
            <w:pPr>
              <w:spacing w:before="240" w:after="240" w:line="240" w:lineRule="auto"/>
              <w:ind w:left="100"/>
              <w:jc w:val="right"/>
              <w:rPr>
                <w:sz w:val="20"/>
                <w:szCs w:val="20"/>
              </w:rPr>
            </w:pPr>
            <w:r>
              <w:rPr>
                <w:sz w:val="20"/>
                <w:szCs w:val="20"/>
              </w:rPr>
              <w:t>Var.</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57A6657D" w14:textId="77777777" w:rsidR="00861989" w:rsidRDefault="00861989" w:rsidP="00EA09C7">
            <w:pPr>
              <w:spacing w:before="240" w:after="240" w:line="240" w:lineRule="auto"/>
              <w:ind w:left="100"/>
              <w:jc w:val="right"/>
              <w:rPr>
                <w:sz w:val="20"/>
                <w:szCs w:val="20"/>
              </w:rPr>
            </w:pPr>
            <w:r>
              <w:rPr>
                <w:sz w:val="20"/>
                <w:szCs w:val="20"/>
              </w:rPr>
              <w:t>s.e.</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25905011" w14:textId="77777777" w:rsidR="00861989" w:rsidRDefault="00861989" w:rsidP="00EA09C7">
            <w:pPr>
              <w:spacing w:before="240" w:after="240" w:line="240" w:lineRule="auto"/>
              <w:ind w:left="100"/>
              <w:jc w:val="right"/>
              <w:rPr>
                <w:sz w:val="20"/>
                <w:szCs w:val="20"/>
              </w:rPr>
            </w:pPr>
            <w:r>
              <w:rPr>
                <w:sz w:val="20"/>
                <w:szCs w:val="20"/>
              </w:rPr>
              <w:t>s.d.</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C5C65FB" w14:textId="77777777" w:rsidR="00861989" w:rsidRDefault="00861989" w:rsidP="00EA09C7">
            <w:pPr>
              <w:spacing w:before="240" w:after="240" w:line="240" w:lineRule="auto"/>
              <w:ind w:left="100"/>
              <w:jc w:val="right"/>
              <w:rPr>
                <w:sz w:val="20"/>
                <w:szCs w:val="20"/>
              </w:rPr>
            </w:pPr>
            <w:r>
              <w:rPr>
                <w:sz w:val="20"/>
                <w:szCs w:val="20"/>
              </w:rPr>
              <w:t>Var.</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6FC124CC" w14:textId="77777777" w:rsidR="00861989" w:rsidRDefault="00861989" w:rsidP="00EA09C7">
            <w:pPr>
              <w:spacing w:before="240" w:after="240" w:line="240" w:lineRule="auto"/>
              <w:ind w:left="100"/>
              <w:jc w:val="right"/>
              <w:rPr>
                <w:sz w:val="20"/>
                <w:szCs w:val="20"/>
              </w:rPr>
            </w:pPr>
            <w:r>
              <w:rPr>
                <w:sz w:val="20"/>
                <w:szCs w:val="20"/>
              </w:rPr>
              <w:t>s.e.</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5FADA569" w14:textId="77777777" w:rsidR="00861989" w:rsidRDefault="00861989" w:rsidP="00EA09C7">
            <w:pPr>
              <w:spacing w:before="240" w:after="240" w:line="240" w:lineRule="auto"/>
              <w:ind w:left="100"/>
              <w:jc w:val="right"/>
              <w:rPr>
                <w:sz w:val="20"/>
                <w:szCs w:val="20"/>
              </w:rPr>
            </w:pPr>
            <w:r>
              <w:rPr>
                <w:sz w:val="20"/>
                <w:szCs w:val="20"/>
              </w:rPr>
              <w:t>s.d.</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23AF9E5D" w14:textId="77777777" w:rsidR="00861989" w:rsidRDefault="00861989" w:rsidP="00EA09C7">
            <w:pPr>
              <w:spacing w:before="240" w:after="240" w:line="240" w:lineRule="auto"/>
              <w:ind w:left="100"/>
              <w:jc w:val="right"/>
              <w:rPr>
                <w:sz w:val="20"/>
                <w:szCs w:val="20"/>
              </w:rPr>
            </w:pPr>
            <w:r>
              <w:rPr>
                <w:sz w:val="20"/>
                <w:szCs w:val="20"/>
              </w:rPr>
              <w:t xml:space="preserve"> </w:t>
            </w:r>
          </w:p>
        </w:tc>
      </w:tr>
      <w:tr w:rsidR="00861989" w14:paraId="0DA7E50C" w14:textId="77777777" w:rsidTr="00EA09C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22A29E" w14:textId="77777777" w:rsidR="00861989" w:rsidRDefault="00861989" w:rsidP="00EA09C7">
            <w:pPr>
              <w:spacing w:before="240" w:after="240" w:line="240" w:lineRule="auto"/>
              <w:ind w:left="100"/>
              <w:rPr>
                <w:sz w:val="20"/>
                <w:szCs w:val="20"/>
              </w:rPr>
            </w:pPr>
            <w:r>
              <w:rPr>
                <w:sz w:val="20"/>
                <w:szCs w:val="20"/>
              </w:rPr>
              <w:t>I</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40C57DC9"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7377618E"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5E6871C" w14:textId="77777777" w:rsidR="00861989" w:rsidRDefault="00861989" w:rsidP="00EA09C7">
            <w:pPr>
              <w:spacing w:before="240" w:after="240" w:line="240" w:lineRule="auto"/>
              <w:ind w:left="100"/>
              <w:jc w:val="right"/>
              <w:rPr>
                <w:sz w:val="20"/>
                <w:szCs w:val="20"/>
              </w:rPr>
            </w:pPr>
            <w:r>
              <w:rPr>
                <w:sz w:val="20"/>
                <w:szCs w:val="20"/>
              </w:rPr>
              <w:t>X.X</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37DA2732"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71E83D4"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78B42D9C"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3346B275"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3A3904DA"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387BEA93" w14:textId="77777777" w:rsidR="00861989" w:rsidRDefault="00861989" w:rsidP="00EA09C7">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04E2D8E8"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5F85FEC6" w14:textId="77777777" w:rsidTr="00EA09C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0AA9A3" w14:textId="77777777" w:rsidR="00861989" w:rsidRDefault="00861989" w:rsidP="00EA09C7">
            <w:pPr>
              <w:spacing w:before="240" w:after="240" w:line="240" w:lineRule="auto"/>
              <w:ind w:left="100"/>
              <w:rPr>
                <w:sz w:val="20"/>
                <w:szCs w:val="20"/>
              </w:rPr>
            </w:pPr>
            <w:r>
              <w:rPr>
                <w:sz w:val="20"/>
                <w:szCs w:val="20"/>
              </w:rPr>
              <w:t>II</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1D1ADFD5"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2B09AD8C"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2D538C0F" w14:textId="77777777" w:rsidR="00861989" w:rsidRDefault="00861989" w:rsidP="00EA09C7">
            <w:pPr>
              <w:spacing w:before="240" w:after="240" w:line="240" w:lineRule="auto"/>
              <w:ind w:left="100"/>
              <w:jc w:val="right"/>
              <w:rPr>
                <w:sz w:val="20"/>
                <w:szCs w:val="20"/>
              </w:rPr>
            </w:pPr>
            <w:r>
              <w:rPr>
                <w:sz w:val="20"/>
                <w:szCs w:val="20"/>
              </w:rPr>
              <w:t>X.X</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7930D7C3"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61D25C82"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5E33CD0D"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044E6629"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EB1DEBA"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18BA6961" w14:textId="77777777" w:rsidR="00861989" w:rsidRDefault="00861989" w:rsidP="00EA09C7">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42695F9E"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5297DD14" w14:textId="77777777" w:rsidTr="00EA09C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8BCB9F" w14:textId="77777777" w:rsidR="00861989" w:rsidRDefault="00861989" w:rsidP="00EA09C7">
            <w:pPr>
              <w:spacing w:before="240" w:after="240" w:line="240" w:lineRule="auto"/>
              <w:ind w:left="100"/>
              <w:rPr>
                <w:sz w:val="20"/>
                <w:szCs w:val="20"/>
              </w:rPr>
            </w:pPr>
            <w:r>
              <w:rPr>
                <w:sz w:val="20"/>
                <w:szCs w:val="20"/>
              </w:rPr>
              <w:t>III</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380F567F"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3F7627C5"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32E07E0B" w14:textId="77777777" w:rsidR="00861989" w:rsidRDefault="00861989" w:rsidP="00EA09C7">
            <w:pPr>
              <w:spacing w:before="240" w:after="240" w:line="240" w:lineRule="auto"/>
              <w:ind w:left="100"/>
              <w:jc w:val="right"/>
              <w:rPr>
                <w:sz w:val="20"/>
                <w:szCs w:val="20"/>
              </w:rPr>
            </w:pPr>
            <w:r>
              <w:rPr>
                <w:sz w:val="20"/>
                <w:szCs w:val="20"/>
              </w:rPr>
              <w:t>X.X</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69503ECA"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685C092"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14397E2E"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7CAA55B7"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2DA757BA"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07DD32FF" w14:textId="77777777" w:rsidR="00861989" w:rsidRDefault="00861989" w:rsidP="00EA09C7">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4BFA0B7F"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337248A6" w14:textId="77777777" w:rsidTr="00EA09C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092F38" w14:textId="77777777" w:rsidR="00861989" w:rsidRDefault="00861989" w:rsidP="00EA09C7">
            <w:pPr>
              <w:spacing w:before="240" w:after="240" w:line="240" w:lineRule="auto"/>
              <w:ind w:left="100"/>
              <w:rPr>
                <w:sz w:val="20"/>
                <w:szCs w:val="20"/>
              </w:rPr>
            </w:pPr>
            <w:r>
              <w:rPr>
                <w:sz w:val="20"/>
                <w:szCs w:val="20"/>
              </w:rPr>
              <w:t>IV</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266540DA"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1575A5F1"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5D6BD19C" w14:textId="77777777" w:rsidR="00861989" w:rsidRDefault="00861989" w:rsidP="00EA09C7">
            <w:pPr>
              <w:spacing w:before="240" w:after="240" w:line="240" w:lineRule="auto"/>
              <w:ind w:left="100"/>
              <w:jc w:val="right"/>
              <w:rPr>
                <w:sz w:val="20"/>
                <w:szCs w:val="20"/>
              </w:rPr>
            </w:pPr>
            <w:r>
              <w:rPr>
                <w:sz w:val="20"/>
                <w:szCs w:val="20"/>
              </w:rPr>
              <w:t>X.X</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0C553D52"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3D1E18A1"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6A3A7EA"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0F6D842B"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77741606"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3B7DCB0F" w14:textId="77777777" w:rsidR="00861989" w:rsidRDefault="00861989" w:rsidP="00EA09C7">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63E3C10F"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1B720988" w14:textId="77777777" w:rsidTr="00EA09C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9C6DF" w14:textId="77777777" w:rsidR="00861989" w:rsidRDefault="00861989" w:rsidP="00EA09C7">
            <w:pPr>
              <w:spacing w:before="240" w:after="240" w:line="240" w:lineRule="auto"/>
              <w:ind w:left="100"/>
              <w:rPr>
                <w:sz w:val="20"/>
                <w:szCs w:val="20"/>
              </w:rPr>
            </w:pPr>
            <w:r>
              <w:rPr>
                <w:sz w:val="20"/>
                <w:szCs w:val="20"/>
              </w:rPr>
              <w:t>V</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092F2631"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70D8DCB8"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A988484" w14:textId="77777777" w:rsidR="00861989" w:rsidRDefault="00861989" w:rsidP="00EA09C7">
            <w:pPr>
              <w:spacing w:before="240" w:after="240" w:line="240" w:lineRule="auto"/>
              <w:ind w:left="100"/>
              <w:jc w:val="right"/>
              <w:rPr>
                <w:sz w:val="20"/>
                <w:szCs w:val="20"/>
              </w:rPr>
            </w:pPr>
            <w:r>
              <w:rPr>
                <w:sz w:val="20"/>
                <w:szCs w:val="20"/>
              </w:rPr>
              <w:t>X.X</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58209797"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75645B50"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260FF5A3"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4D4F4581"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752A5727"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745E6595" w14:textId="77777777" w:rsidR="00861989" w:rsidRDefault="00861989" w:rsidP="00EA09C7">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646BED0D" w14:textId="77777777" w:rsidR="00861989" w:rsidRDefault="00861989" w:rsidP="00EA09C7">
            <w:pPr>
              <w:spacing w:before="240" w:after="240" w:line="240" w:lineRule="auto"/>
              <w:ind w:left="100"/>
              <w:jc w:val="right"/>
              <w:rPr>
                <w:sz w:val="20"/>
                <w:szCs w:val="20"/>
              </w:rPr>
            </w:pPr>
            <w:r>
              <w:rPr>
                <w:sz w:val="20"/>
                <w:szCs w:val="20"/>
              </w:rPr>
              <w:t>X.X</w:t>
            </w:r>
          </w:p>
        </w:tc>
      </w:tr>
      <w:tr w:rsidR="00861989" w14:paraId="30F26CF6" w14:textId="77777777" w:rsidTr="00EA09C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E458E9" w14:textId="77777777" w:rsidR="00861989" w:rsidRDefault="00861989" w:rsidP="00EA09C7">
            <w:pPr>
              <w:spacing w:before="240" w:after="240" w:line="240" w:lineRule="auto"/>
              <w:ind w:left="100"/>
              <w:rPr>
                <w:sz w:val="20"/>
                <w:szCs w:val="20"/>
              </w:rPr>
            </w:pPr>
            <w:r>
              <w:rPr>
                <w:sz w:val="20"/>
                <w:szCs w:val="20"/>
              </w:rPr>
              <w:t>VI</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5333A674"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7F8598BD"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34185D8" w14:textId="77777777" w:rsidR="00861989" w:rsidRDefault="00861989" w:rsidP="00EA09C7">
            <w:pPr>
              <w:spacing w:before="240" w:after="240" w:line="240" w:lineRule="auto"/>
              <w:ind w:left="100"/>
              <w:jc w:val="right"/>
              <w:rPr>
                <w:sz w:val="20"/>
                <w:szCs w:val="20"/>
              </w:rPr>
            </w:pPr>
            <w:r>
              <w:rPr>
                <w:sz w:val="20"/>
                <w:szCs w:val="20"/>
              </w:rPr>
              <w:t>X.X</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43B87A9F"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174506B9"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E1F9C55" w14:textId="77777777" w:rsidR="00861989" w:rsidRDefault="00861989" w:rsidP="00EA09C7">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DBD3A67"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F764CDF" w14:textId="77777777" w:rsidR="00861989" w:rsidRDefault="00861989" w:rsidP="00EA09C7">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086FDD7C" w14:textId="77777777" w:rsidR="00861989" w:rsidRDefault="00861989" w:rsidP="00EA09C7">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469082B0" w14:textId="77777777" w:rsidR="00861989" w:rsidRDefault="00861989" w:rsidP="00EA09C7">
            <w:pPr>
              <w:spacing w:before="240" w:after="240" w:line="240" w:lineRule="auto"/>
              <w:ind w:left="100"/>
              <w:jc w:val="right"/>
              <w:rPr>
                <w:sz w:val="20"/>
                <w:szCs w:val="20"/>
              </w:rPr>
            </w:pPr>
            <w:r>
              <w:rPr>
                <w:sz w:val="20"/>
                <w:szCs w:val="20"/>
              </w:rPr>
              <w:t>X.X</w:t>
            </w:r>
          </w:p>
        </w:tc>
      </w:tr>
    </w:tbl>
    <w:p w14:paraId="5F4AD6BB" w14:textId="77777777" w:rsidR="00861989" w:rsidRDefault="00861989" w:rsidP="00861989">
      <w:pPr>
        <w:spacing w:before="240" w:after="240" w:line="240" w:lineRule="auto"/>
      </w:pPr>
      <w:r>
        <w:t xml:space="preserve"> </w:t>
      </w:r>
    </w:p>
    <w:p w14:paraId="551CBB12" w14:textId="77777777" w:rsidR="00861989" w:rsidRDefault="00861989" w:rsidP="00861989">
      <w:pPr>
        <w:spacing w:before="240" w:after="240" w:line="240" w:lineRule="auto"/>
      </w:pPr>
      <w:r>
        <w:rPr>
          <w:b/>
        </w:rPr>
        <w:t>Exploratory analysis plan.</w:t>
      </w:r>
      <w:r>
        <w:t xml:space="preserve"> One unique facet of CREP studies is that student contributors are encouraged to add extensions to their replication (referred to as Direct+Plus replications), which could involve testing conditions or measures in their local sample after testing the direct portion of the replication protocol (retaining all direct aspects put forward in this protocol). Attempting to replicate prior research provides students with experience in methodology and research design and encouraging students to design and test their own extensions provides them experience in planning, pre-registering, and testing their own hypotheses. Each contributing site that elects to participate in a Direct+Plus replication will be required to pre-register an independent power analysis and required sample size (for adequate power) that includes all planned Direct+Plus analyses. We will provide assistance with these power analyses by helping simulate data in R. All teams participating in the same Direct+Plus extension may pool samples to meet the required sample size.</w:t>
      </w:r>
    </w:p>
    <w:p w14:paraId="4A417409" w14:textId="77777777" w:rsidR="00861989" w:rsidRDefault="00861989" w:rsidP="00861989">
      <w:pPr>
        <w:spacing w:before="240" w:after="240" w:line="240" w:lineRule="auto"/>
      </w:pPr>
      <w:r>
        <w:t xml:space="preserve">Although we will require a relatively small sample size for the purpose of the confirmatory analyses described above (the primary stream of data collection), we will also facilitate a </w:t>
      </w:r>
      <w:r>
        <w:lastRenderedPageBreak/>
        <w:t>secondary stream of data collection by rewarding contributors who commit to collecting a larger, more representative sample (</w:t>
      </w:r>
      <w:r>
        <w:rPr>
          <w:i/>
        </w:rPr>
        <w:t>N</w:t>
      </w:r>
      <w:r>
        <w:t xml:space="preserve"> = 100) with recognition through author order as well as a CREP quality award. Data from this exploratory stream of data collection will be released as part of the data release plan to allow other researchers to perform exploratory analyses on this larger set of data. We will report these analyses in an exploratory section in the post-data Phase 2 manuscript as well as on our OSF page.</w:t>
      </w:r>
    </w:p>
    <w:p w14:paraId="4C0D5695" w14:textId="77777777" w:rsidR="00861989" w:rsidRDefault="00861989" w:rsidP="00861989">
      <w:pPr>
        <w:spacing w:line="240" w:lineRule="auto"/>
      </w:pPr>
    </w:p>
    <w:p w14:paraId="36BF7FC0" w14:textId="77777777" w:rsidR="00861989" w:rsidRDefault="008556F9" w:rsidP="00861989">
      <w:pPr>
        <w:spacing w:line="240" w:lineRule="auto"/>
      </w:pPr>
      <w:r>
        <w:rPr>
          <w:noProof/>
        </w:rPr>
        <w:pict w14:anchorId="42011387">
          <v:rect id="_x0000_i1025" alt="" style="width:468pt;height:.05pt;mso-width-percent:0;mso-height-percent:0;mso-width-percent:0;mso-height-percent:0" o:hralign="center" o:hrstd="t" o:hr="t" fillcolor="#a0a0a0" stroked="f"/>
        </w:pict>
      </w:r>
    </w:p>
    <w:p w14:paraId="6B94B89F" w14:textId="77777777" w:rsidR="00861989" w:rsidRDefault="00861989" w:rsidP="00861989">
      <w:pPr>
        <w:spacing w:before="240" w:after="240" w:line="240" w:lineRule="auto"/>
      </w:pPr>
      <w:r>
        <w:rPr>
          <w:vertAlign w:val="superscript"/>
        </w:rPr>
        <w:t>[1]</w:t>
      </w:r>
      <w:r>
        <w:t xml:space="preserve"> We may write about these analytic choices in a later publication.</w:t>
      </w:r>
    </w:p>
    <w:p w14:paraId="437B9DBA" w14:textId="77777777" w:rsidR="00861989" w:rsidRDefault="00861989" w:rsidP="00861989">
      <w:pPr>
        <w:spacing w:line="240" w:lineRule="auto"/>
      </w:pPr>
    </w:p>
    <w:p w14:paraId="785ECD0C" w14:textId="77777777" w:rsidR="00861989" w:rsidRDefault="00861989" w:rsidP="00861989">
      <w:pPr>
        <w:spacing w:line="240" w:lineRule="auto"/>
      </w:pPr>
    </w:p>
    <w:p w14:paraId="67ED3573" w14:textId="77777777" w:rsidR="00861989" w:rsidRDefault="00861989" w:rsidP="00861989">
      <w:pPr>
        <w:spacing w:after="160" w:line="240" w:lineRule="auto"/>
      </w:pPr>
    </w:p>
    <w:p w14:paraId="122872CB" w14:textId="77777777" w:rsidR="00861989" w:rsidRDefault="00861989" w:rsidP="00861989">
      <w:pPr>
        <w:spacing w:before="300" w:after="160" w:line="240" w:lineRule="auto"/>
      </w:pPr>
      <w:r>
        <w:br w:type="page"/>
      </w:r>
    </w:p>
    <w:p w14:paraId="34C88C72" w14:textId="77777777" w:rsidR="00861989" w:rsidRDefault="00861989" w:rsidP="00861989">
      <w:pPr>
        <w:pStyle w:val="Heading1"/>
        <w:spacing w:line="240" w:lineRule="auto"/>
        <w:rPr>
          <w:b w:val="0"/>
        </w:rPr>
      </w:pPr>
      <w:bookmarkStart w:id="58" w:name="_lc2wqeh5d7na" w:colFirst="0" w:colLast="0"/>
      <w:bookmarkEnd w:id="58"/>
      <w:r>
        <w:lastRenderedPageBreak/>
        <w:t>Appendix B</w:t>
      </w:r>
    </w:p>
    <w:p w14:paraId="0CC0BBD2" w14:textId="77777777" w:rsidR="00861989" w:rsidRDefault="00861989" w:rsidP="00861989">
      <w:pPr>
        <w:spacing w:before="300" w:line="240" w:lineRule="auto"/>
        <w:jc w:val="center"/>
      </w:pPr>
      <w:r>
        <w:t xml:space="preserve">Vignettes </w:t>
      </w:r>
    </w:p>
    <w:p w14:paraId="58F228ED" w14:textId="77777777" w:rsidR="00861989" w:rsidRDefault="00861989" w:rsidP="00861989">
      <w:pPr>
        <w:spacing w:before="300" w:after="200" w:line="240" w:lineRule="auto"/>
        <w:jc w:val="center"/>
      </w:pPr>
      <w:r>
        <w:t xml:space="preserve">All translated versions can be found here: </w:t>
      </w:r>
      <w:hyperlink r:id="rId76">
        <w:r>
          <w:rPr>
            <w:color w:val="1155CC"/>
            <w:u w:val="single"/>
          </w:rPr>
          <w:t>https://osf.io/rnzqm/</w:t>
        </w:r>
      </w:hyperlink>
    </w:p>
    <w:p w14:paraId="5D18EA6E" w14:textId="77777777" w:rsidR="00861989" w:rsidRDefault="00861989" w:rsidP="00861989">
      <w:pPr>
        <w:spacing w:after="160" w:line="240" w:lineRule="auto"/>
        <w:rPr>
          <w:b/>
        </w:rPr>
      </w:pPr>
      <w:r>
        <w:rPr>
          <w:b/>
        </w:rPr>
        <w:t>Fake Barn/Gerald Vignette</w:t>
      </w:r>
    </w:p>
    <w:p w14:paraId="1FE6721A" w14:textId="77777777" w:rsidR="00861989" w:rsidRDefault="00861989" w:rsidP="00861989">
      <w:pPr>
        <w:spacing w:after="160" w:line="240" w:lineRule="auto"/>
        <w:rPr>
          <w:i/>
        </w:rPr>
      </w:pPr>
      <w:r>
        <w:rPr>
          <w:i/>
        </w:rPr>
        <w:t>For the “Fake Barn/Gerald” vignette, all participants first read:</w:t>
      </w:r>
    </w:p>
    <w:p w14:paraId="66B417C0" w14:textId="77777777" w:rsidR="00861989" w:rsidRDefault="00861989" w:rsidP="00861989">
      <w:pPr>
        <w:spacing w:after="160" w:line="240" w:lineRule="auto"/>
        <w:ind w:left="720" w:firstLine="720"/>
      </w:pPr>
      <w:r>
        <w:t>Gerald is driving through the countryside with his young son Andrew. Along the way he sees numerous objects and points them out to his son. ‘That’s a cow, Andrew,’ Gerald says, ‘and that over there is a house where farmers live.’ Gerald has no doubt about what the objects are.</w:t>
      </w:r>
    </w:p>
    <w:p w14:paraId="26000575" w14:textId="77777777" w:rsidR="00861989" w:rsidRDefault="00861989" w:rsidP="00861989">
      <w:pPr>
        <w:spacing w:after="160" w:line="240" w:lineRule="auto"/>
        <w:ind w:left="720" w:firstLine="720"/>
      </w:pPr>
      <w:r>
        <w:t>What Gerald and Andrew do not realize is the area they are driving through was recently hit by a very serious tornado. This tornado did not harm any of the animals, but did destroy most buildings. In an effort to maintain the rural area’s tourist industry, local townspeople built new houses in the place of the destroyed houses. These new houses were rebuilt with all the materials necessary for them to look exactly like the original houses from the road, and they are also fully furnished and can now be used as actual housing.”</w:t>
      </w:r>
    </w:p>
    <w:p w14:paraId="69DE11C6" w14:textId="77777777" w:rsidR="00861989" w:rsidRDefault="00861989" w:rsidP="00861989">
      <w:pPr>
        <w:numPr>
          <w:ilvl w:val="0"/>
          <w:numId w:val="6"/>
        </w:numPr>
        <w:spacing w:after="160" w:line="240" w:lineRule="auto"/>
      </w:pPr>
      <w:r>
        <w:t xml:space="preserve">In the </w:t>
      </w:r>
      <w:r>
        <w:rPr>
          <w:b/>
        </w:rPr>
        <w:t>knowledge</w:t>
      </w:r>
      <w:r>
        <w:t xml:space="preserve"> condition, participants then read:</w:t>
      </w:r>
    </w:p>
    <w:p w14:paraId="075CC295" w14:textId="77777777" w:rsidR="00861989" w:rsidRDefault="00861989" w:rsidP="00861989">
      <w:pPr>
        <w:spacing w:after="160" w:line="240" w:lineRule="auto"/>
        <w:ind w:left="720" w:firstLine="720"/>
      </w:pPr>
      <w:r>
        <w:t>Having just entered the tornado-ravaged area, Gerald notices the many houses lining the roads. When he tells Andrew ‘That’s a house,’ the object he sees and points at is a real house that has survived the tornado and not one of the new houses.</w:t>
      </w:r>
    </w:p>
    <w:p w14:paraId="0CA185F4" w14:textId="77777777" w:rsidR="00861989" w:rsidRDefault="00861989" w:rsidP="00861989">
      <w:pPr>
        <w:numPr>
          <w:ilvl w:val="0"/>
          <w:numId w:val="6"/>
        </w:numPr>
        <w:spacing w:after="160" w:line="240" w:lineRule="auto"/>
      </w:pPr>
      <w:r>
        <w:t xml:space="preserve">In the </w:t>
      </w:r>
      <w:r>
        <w:rPr>
          <w:b/>
        </w:rPr>
        <w:t>ignorance</w:t>
      </w:r>
      <w:r>
        <w:t xml:space="preserve"> condition, participants then read:</w:t>
      </w:r>
    </w:p>
    <w:p w14:paraId="2B9CA17B" w14:textId="77777777" w:rsidR="00861989" w:rsidRDefault="00861989" w:rsidP="00861989">
      <w:pPr>
        <w:spacing w:after="160" w:line="240" w:lineRule="auto"/>
        <w:ind w:left="720" w:firstLine="720"/>
      </w:pPr>
      <w:r>
        <w:t>Having driven through the tornado-ravaged area, Gerald has encountered many of these fake houses. When he tells Andrew ‘That’s a house,’ the object he sees and points at is a fake house that was built after the tornado and is not actually a house.</w:t>
      </w:r>
    </w:p>
    <w:p w14:paraId="32EBBC3C" w14:textId="77777777" w:rsidR="00861989" w:rsidRDefault="00861989" w:rsidP="00861989">
      <w:pPr>
        <w:numPr>
          <w:ilvl w:val="0"/>
          <w:numId w:val="6"/>
        </w:numPr>
        <w:spacing w:after="160" w:line="240" w:lineRule="auto"/>
      </w:pPr>
      <w:r>
        <w:t xml:space="preserve">In the </w:t>
      </w:r>
      <w:r>
        <w:rPr>
          <w:b/>
        </w:rPr>
        <w:t>Gettier</w:t>
      </w:r>
      <w:r>
        <w:t xml:space="preserve"> condition, participants then read:</w:t>
      </w:r>
    </w:p>
    <w:p w14:paraId="18A10764" w14:textId="77777777" w:rsidR="00861989" w:rsidRDefault="00861989" w:rsidP="00861989">
      <w:pPr>
        <w:spacing w:after="160" w:line="240" w:lineRule="auto"/>
        <w:ind w:left="720" w:firstLine="720"/>
      </w:pPr>
      <w:r>
        <w:t>Having just entered the tornado-ravaged area, Gerald has not yet encountered any fake houses. When he tells Andrew ‘That’s a house,’ the object he sees and points at is a real house that has survived the tornado and not one of the fake houses.</w:t>
      </w:r>
    </w:p>
    <w:p w14:paraId="74A546A4" w14:textId="77777777" w:rsidR="00861989" w:rsidRDefault="00861989" w:rsidP="00861989">
      <w:pPr>
        <w:spacing w:before="200" w:after="200" w:line="240" w:lineRule="auto"/>
        <w:rPr>
          <w:b/>
          <w:i/>
        </w:rPr>
      </w:pPr>
      <w:r>
        <w:rPr>
          <w:b/>
          <w:i/>
        </w:rPr>
        <w:t>Measured Variables for Fake Barn/Gerald</w:t>
      </w:r>
    </w:p>
    <w:p w14:paraId="0393EE14" w14:textId="77777777" w:rsidR="00861989" w:rsidRDefault="00861989" w:rsidP="00861989">
      <w:pPr>
        <w:spacing w:before="200" w:after="200" w:line="240" w:lineRule="auto"/>
        <w:rPr>
          <w:b/>
        </w:rPr>
      </w:pPr>
      <w:r>
        <w:rPr>
          <w:i/>
        </w:rPr>
        <w:t>Presented in this order:</w:t>
      </w:r>
    </w:p>
    <w:p w14:paraId="5D212957" w14:textId="77777777" w:rsidR="00861989" w:rsidRDefault="00861989" w:rsidP="00861989">
      <w:pPr>
        <w:numPr>
          <w:ilvl w:val="0"/>
          <w:numId w:val="5"/>
        </w:numPr>
        <w:shd w:val="clear" w:color="auto" w:fill="auto"/>
        <w:spacing w:line="276" w:lineRule="auto"/>
      </w:pPr>
      <w:r>
        <w:t>Primary knowledge probe (from Turri et al., 2015):</w:t>
      </w:r>
    </w:p>
    <w:p w14:paraId="5C3BD1A9" w14:textId="77777777" w:rsidR="00861989" w:rsidRDefault="00861989" w:rsidP="00861989">
      <w:pPr>
        <w:numPr>
          <w:ilvl w:val="1"/>
          <w:numId w:val="5"/>
        </w:numPr>
        <w:shd w:val="clear" w:color="auto" w:fill="auto"/>
        <w:spacing w:line="276" w:lineRule="auto"/>
        <w:rPr>
          <w:b/>
        </w:rPr>
      </w:pPr>
      <w:r>
        <w:rPr>
          <w:b/>
        </w:rPr>
        <w:t>“Gerald ______ that he is pointing at a real house.”</w:t>
      </w:r>
    </w:p>
    <w:p w14:paraId="7DE71F2D" w14:textId="77777777" w:rsidR="00861989" w:rsidRDefault="00861989" w:rsidP="00861989">
      <w:pPr>
        <w:numPr>
          <w:ilvl w:val="2"/>
          <w:numId w:val="5"/>
        </w:numPr>
        <w:shd w:val="clear" w:color="auto" w:fill="auto"/>
        <w:spacing w:line="276" w:lineRule="auto"/>
      </w:pPr>
      <w:r>
        <w:t>Visual analogue scale, 0-100:</w:t>
      </w:r>
    </w:p>
    <w:p w14:paraId="26A3F8EF" w14:textId="77777777" w:rsidR="00861989" w:rsidRDefault="00861989" w:rsidP="00861989">
      <w:pPr>
        <w:numPr>
          <w:ilvl w:val="3"/>
          <w:numId w:val="5"/>
        </w:numPr>
        <w:shd w:val="clear" w:color="auto" w:fill="auto"/>
        <w:spacing w:line="276" w:lineRule="auto"/>
      </w:pPr>
      <w:r>
        <w:t>[only believes &lt;-------------------------&gt; knows]</w:t>
      </w:r>
    </w:p>
    <w:p w14:paraId="7B91BEC3" w14:textId="77777777" w:rsidR="00861989" w:rsidRDefault="00861989" w:rsidP="00861989">
      <w:pPr>
        <w:numPr>
          <w:ilvl w:val="0"/>
          <w:numId w:val="5"/>
        </w:numPr>
        <w:shd w:val="clear" w:color="auto" w:fill="auto"/>
        <w:spacing w:line="276" w:lineRule="auto"/>
      </w:pPr>
      <w:r>
        <w:t>Comprehension question (from Turri et al., 2015):</w:t>
      </w:r>
    </w:p>
    <w:p w14:paraId="21504C28" w14:textId="77777777" w:rsidR="00861989" w:rsidRDefault="00861989" w:rsidP="00861989">
      <w:pPr>
        <w:numPr>
          <w:ilvl w:val="1"/>
          <w:numId w:val="5"/>
        </w:numPr>
        <w:shd w:val="clear" w:color="auto" w:fill="auto"/>
        <w:spacing w:line="276" w:lineRule="auto"/>
        <w:rPr>
          <w:b/>
        </w:rPr>
      </w:pPr>
      <w:r>
        <w:rPr>
          <w:b/>
        </w:rPr>
        <w:lastRenderedPageBreak/>
        <w:t>“Gerald is pointing at a _____ house. ”</w:t>
      </w:r>
    </w:p>
    <w:p w14:paraId="20866430" w14:textId="77777777" w:rsidR="00861989" w:rsidRDefault="00861989" w:rsidP="00861989">
      <w:pPr>
        <w:numPr>
          <w:ilvl w:val="2"/>
          <w:numId w:val="5"/>
        </w:numPr>
        <w:shd w:val="clear" w:color="auto" w:fill="auto"/>
        <w:spacing w:line="276" w:lineRule="auto"/>
      </w:pPr>
      <w:r>
        <w:t>Binary: [real/fake]</w:t>
      </w:r>
    </w:p>
    <w:p w14:paraId="5EBE4E1E" w14:textId="77777777" w:rsidR="00861989" w:rsidRDefault="00861989" w:rsidP="00861989">
      <w:pPr>
        <w:numPr>
          <w:ilvl w:val="0"/>
          <w:numId w:val="5"/>
        </w:numPr>
        <w:shd w:val="clear" w:color="auto" w:fill="auto"/>
        <w:spacing w:line="276" w:lineRule="auto"/>
      </w:pPr>
      <w:r>
        <w:t>Reasonableness probe (from Turri et al., 2015):</w:t>
      </w:r>
    </w:p>
    <w:p w14:paraId="45C7B615" w14:textId="77777777" w:rsidR="00861989" w:rsidRDefault="00861989" w:rsidP="00861989">
      <w:pPr>
        <w:numPr>
          <w:ilvl w:val="1"/>
          <w:numId w:val="5"/>
        </w:numPr>
        <w:shd w:val="clear" w:color="auto" w:fill="auto"/>
        <w:spacing w:line="276" w:lineRule="auto"/>
        <w:rPr>
          <w:b/>
        </w:rPr>
      </w:pPr>
      <w:r>
        <w:rPr>
          <w:b/>
        </w:rPr>
        <w:t>“It is _____ for Gerald to think that he is pointing at a real house.”</w:t>
      </w:r>
    </w:p>
    <w:p w14:paraId="19A10DA9" w14:textId="77777777" w:rsidR="00861989" w:rsidRDefault="00861989" w:rsidP="00861989">
      <w:pPr>
        <w:numPr>
          <w:ilvl w:val="2"/>
          <w:numId w:val="5"/>
        </w:numPr>
        <w:shd w:val="clear" w:color="auto" w:fill="auto"/>
        <w:spacing w:line="276" w:lineRule="auto"/>
      </w:pPr>
      <w:r>
        <w:t>Visual analogue scale, 0-100:</w:t>
      </w:r>
    </w:p>
    <w:p w14:paraId="5295D18D" w14:textId="77777777" w:rsidR="00861989" w:rsidRDefault="00861989" w:rsidP="00861989">
      <w:pPr>
        <w:numPr>
          <w:ilvl w:val="3"/>
          <w:numId w:val="5"/>
        </w:numPr>
        <w:shd w:val="clear" w:color="auto" w:fill="auto"/>
        <w:spacing w:line="276" w:lineRule="auto"/>
      </w:pPr>
      <w:r>
        <w:t>[unreasonable &lt;-------------------------&gt; reasonable]</w:t>
      </w:r>
    </w:p>
    <w:p w14:paraId="58950129" w14:textId="77777777" w:rsidR="00861989" w:rsidRDefault="00861989" w:rsidP="00861989">
      <w:pPr>
        <w:numPr>
          <w:ilvl w:val="0"/>
          <w:numId w:val="5"/>
        </w:numPr>
        <w:shd w:val="clear" w:color="auto" w:fill="auto"/>
        <w:spacing w:line="276" w:lineRule="auto"/>
      </w:pPr>
      <w:r>
        <w:t>Luck/Ability probe (from Turri, 2016b)</w:t>
      </w:r>
    </w:p>
    <w:p w14:paraId="675A7428" w14:textId="77777777" w:rsidR="00861989" w:rsidRDefault="00861989" w:rsidP="00861989">
      <w:pPr>
        <w:numPr>
          <w:ilvl w:val="1"/>
          <w:numId w:val="5"/>
        </w:numPr>
        <w:shd w:val="clear" w:color="auto" w:fill="auto"/>
        <w:spacing w:line="276" w:lineRule="auto"/>
        <w:rPr>
          <w:b/>
        </w:rPr>
      </w:pPr>
      <w:r>
        <w:rPr>
          <w:b/>
        </w:rPr>
        <w:t>“Gerald got the ______ answer because of his _____.”</w:t>
      </w:r>
    </w:p>
    <w:p w14:paraId="142722D0" w14:textId="77777777" w:rsidR="00861989" w:rsidRDefault="00861989" w:rsidP="00861989">
      <w:pPr>
        <w:numPr>
          <w:ilvl w:val="2"/>
          <w:numId w:val="5"/>
        </w:numPr>
        <w:shd w:val="clear" w:color="auto" w:fill="auto"/>
        <w:spacing w:line="276" w:lineRule="auto"/>
      </w:pPr>
      <w:r>
        <w:t>Requires two responses:</w:t>
      </w:r>
    </w:p>
    <w:p w14:paraId="3C6F37D7" w14:textId="77777777" w:rsidR="00861989" w:rsidRDefault="00861989" w:rsidP="00861989">
      <w:pPr>
        <w:numPr>
          <w:ilvl w:val="3"/>
          <w:numId w:val="5"/>
        </w:numPr>
        <w:shd w:val="clear" w:color="auto" w:fill="auto"/>
        <w:spacing w:line="276" w:lineRule="auto"/>
      </w:pPr>
      <w:r>
        <w:t>Binary: [right/wrong]</w:t>
      </w:r>
    </w:p>
    <w:p w14:paraId="11BE0861" w14:textId="77777777" w:rsidR="00861989" w:rsidRDefault="00861989" w:rsidP="00861989">
      <w:pPr>
        <w:numPr>
          <w:ilvl w:val="3"/>
          <w:numId w:val="5"/>
        </w:numPr>
        <w:shd w:val="clear" w:color="auto" w:fill="auto"/>
        <w:spacing w:line="276" w:lineRule="auto"/>
      </w:pPr>
      <w:r>
        <w:t>Visual analogue scale, 0-100:</w:t>
      </w:r>
    </w:p>
    <w:p w14:paraId="4254197A" w14:textId="77777777" w:rsidR="00861989" w:rsidRDefault="00861989" w:rsidP="00861989">
      <w:pPr>
        <w:numPr>
          <w:ilvl w:val="4"/>
          <w:numId w:val="5"/>
        </w:numPr>
        <w:shd w:val="clear" w:color="auto" w:fill="auto"/>
        <w:spacing w:line="276" w:lineRule="auto"/>
      </w:pPr>
      <w:r>
        <w:t>[ability/inability &lt;-------------------------&gt; (good luck/bad luck]</w:t>
      </w:r>
    </w:p>
    <w:p w14:paraId="2F62258D" w14:textId="77777777" w:rsidR="00861989" w:rsidRDefault="00861989" w:rsidP="00861989">
      <w:pPr>
        <w:numPr>
          <w:ilvl w:val="0"/>
          <w:numId w:val="5"/>
        </w:numPr>
        <w:shd w:val="clear" w:color="auto" w:fill="auto"/>
        <w:spacing w:line="276" w:lineRule="auto"/>
      </w:pPr>
      <w:r>
        <w:t>Alternative knowledge probe (from Nagel et al., 2013)</w:t>
      </w:r>
    </w:p>
    <w:p w14:paraId="63476FF5" w14:textId="77777777" w:rsidR="00861989" w:rsidRDefault="00861989" w:rsidP="00861989">
      <w:pPr>
        <w:numPr>
          <w:ilvl w:val="1"/>
          <w:numId w:val="5"/>
        </w:numPr>
        <w:shd w:val="clear" w:color="auto" w:fill="auto"/>
        <w:spacing w:line="276" w:lineRule="auto"/>
        <w:rPr>
          <w:b/>
        </w:rPr>
      </w:pPr>
      <w:r>
        <w:rPr>
          <w:b/>
        </w:rPr>
        <w:t>“In your view, which of the following sentences better describes Gerald’s situation?”</w:t>
      </w:r>
    </w:p>
    <w:p w14:paraId="469EECC2" w14:textId="77777777" w:rsidR="00861989" w:rsidRDefault="00861989" w:rsidP="00861989">
      <w:pPr>
        <w:numPr>
          <w:ilvl w:val="2"/>
          <w:numId w:val="5"/>
        </w:numPr>
        <w:shd w:val="clear" w:color="auto" w:fill="auto"/>
        <w:spacing w:line="276" w:lineRule="auto"/>
      </w:pPr>
      <w:r>
        <w:t>Binary: ["Gerald knows that the house he is pointing at is a real house." OR "Gerald feels like he knows that the house he is pointing at is a real house, but he doesn't actually know that it is."]</w:t>
      </w:r>
    </w:p>
    <w:p w14:paraId="59EDB7C0" w14:textId="77777777" w:rsidR="00861989" w:rsidRDefault="00861989" w:rsidP="00861989">
      <w:pPr>
        <w:spacing w:after="160" w:line="240" w:lineRule="auto"/>
      </w:pPr>
    </w:p>
    <w:p w14:paraId="0FAF2276" w14:textId="77777777" w:rsidR="00861989" w:rsidRDefault="00861989" w:rsidP="00861989">
      <w:pPr>
        <w:spacing w:after="160" w:line="240" w:lineRule="auto"/>
        <w:rPr>
          <w:b/>
        </w:rPr>
      </w:pPr>
      <w:r>
        <w:rPr>
          <w:b/>
        </w:rPr>
        <w:t>Diamond/Emma Vignette</w:t>
      </w:r>
    </w:p>
    <w:p w14:paraId="4CC9B6F3" w14:textId="77777777" w:rsidR="00861989" w:rsidRDefault="00861989" w:rsidP="00861989">
      <w:pPr>
        <w:spacing w:after="160" w:line="240" w:lineRule="auto"/>
        <w:rPr>
          <w:i/>
        </w:rPr>
      </w:pPr>
      <w:r>
        <w:rPr>
          <w:i/>
        </w:rPr>
        <w:t>For the Emma vignette, all participants first read:</w:t>
      </w:r>
    </w:p>
    <w:p w14:paraId="717C56F3" w14:textId="77777777" w:rsidR="00861989" w:rsidRDefault="00861989" w:rsidP="00861989">
      <w:pPr>
        <w:spacing w:after="160" w:line="240" w:lineRule="auto"/>
        <w:ind w:left="720" w:firstLine="720"/>
      </w:pPr>
      <w:r>
        <w:t>Emma is shopping for jewelry. She goes into a nice-looking store and selects a necklace from a tray marked "Diamond Earrings and Pendants." “What a lovely diamond!” she says as she tries it on. Emma could not tell the difference between a real diamond and a cubic zirconium fake just by looking or touching.</w:t>
      </w:r>
    </w:p>
    <w:p w14:paraId="4A209DD7" w14:textId="77777777" w:rsidR="00861989" w:rsidRDefault="00861989" w:rsidP="00861989">
      <w:pPr>
        <w:numPr>
          <w:ilvl w:val="0"/>
          <w:numId w:val="6"/>
        </w:numPr>
        <w:spacing w:after="160" w:line="240" w:lineRule="auto"/>
      </w:pPr>
      <w:r>
        <w:t xml:space="preserve">In the </w:t>
      </w:r>
      <w:r>
        <w:rPr>
          <w:b/>
        </w:rPr>
        <w:t>knowledge</w:t>
      </w:r>
      <w:r>
        <w:t xml:space="preserve"> condition, participants then read:</w:t>
      </w:r>
    </w:p>
    <w:p w14:paraId="60541ACB" w14:textId="77777777" w:rsidR="00861989" w:rsidRDefault="00861989" w:rsidP="00861989">
      <w:pPr>
        <w:spacing w:after="160" w:line="240" w:lineRule="auto"/>
        <w:ind w:left="720" w:firstLine="720"/>
      </w:pPr>
      <w:r>
        <w:t>However, this particular store has very honest employees who have a really positive reputation for their guaranteed real diamonds; in the tray Emma chose, all of the pendants had real diamonds rather than fake cubic zirconium stones (and the one she chose was really nice).</w:t>
      </w:r>
    </w:p>
    <w:p w14:paraId="1594C7D9" w14:textId="77777777" w:rsidR="00861989" w:rsidRDefault="00861989" w:rsidP="00861989">
      <w:pPr>
        <w:numPr>
          <w:ilvl w:val="0"/>
          <w:numId w:val="6"/>
        </w:numPr>
        <w:spacing w:after="160" w:line="240" w:lineRule="auto"/>
      </w:pPr>
      <w:r>
        <w:t xml:space="preserve">In the </w:t>
      </w:r>
      <w:r>
        <w:rPr>
          <w:b/>
        </w:rPr>
        <w:t>ignorance</w:t>
      </w:r>
      <w:r>
        <w:t xml:space="preserve"> condition, participants then read:</w:t>
      </w:r>
    </w:p>
    <w:p w14:paraId="07C38B1B" w14:textId="77777777" w:rsidR="00861989" w:rsidRDefault="00861989" w:rsidP="00861989">
      <w:pPr>
        <w:spacing w:after="160" w:line="240" w:lineRule="auto"/>
        <w:ind w:left="720" w:firstLine="720"/>
      </w:pPr>
      <w:r>
        <w:t>Unfortunately, this particular store has very dishonest employees who have been stealing real diamonds and replacing them with fakes; in the tray Emma chose, almost all of the pendants had cubic zirconium stones rather than diamonds (and the one she chose was in fact fake).</w:t>
      </w:r>
    </w:p>
    <w:p w14:paraId="73BC31EB" w14:textId="77777777" w:rsidR="00861989" w:rsidRDefault="00861989" w:rsidP="00861989">
      <w:pPr>
        <w:numPr>
          <w:ilvl w:val="0"/>
          <w:numId w:val="6"/>
        </w:numPr>
        <w:spacing w:after="160" w:line="240" w:lineRule="auto"/>
      </w:pPr>
      <w:r>
        <w:t xml:space="preserve">In the </w:t>
      </w:r>
      <w:r>
        <w:rPr>
          <w:b/>
        </w:rPr>
        <w:t>Gettier</w:t>
      </w:r>
      <w:r>
        <w:t xml:space="preserve"> condition, participants then read:</w:t>
      </w:r>
    </w:p>
    <w:p w14:paraId="15D3FD88" w14:textId="77777777" w:rsidR="00861989" w:rsidRDefault="00861989" w:rsidP="00861989">
      <w:pPr>
        <w:spacing w:after="160" w:line="240" w:lineRule="auto"/>
        <w:ind w:left="720" w:firstLine="720"/>
      </w:pPr>
      <w:r>
        <w:lastRenderedPageBreak/>
        <w:t>Unfortunately, this particular store has very dishonest employees who have been stealing real diamonds and replacing them with fakes; in the tray Emma chose, almost all of the pendants had cubic zirconium stones rather than diamonds (but the one she chose happened to be real).</w:t>
      </w:r>
    </w:p>
    <w:p w14:paraId="00B2194F" w14:textId="77777777" w:rsidR="00861989" w:rsidRDefault="00861989" w:rsidP="00861989">
      <w:pPr>
        <w:spacing w:before="200" w:after="200" w:line="240" w:lineRule="auto"/>
        <w:rPr>
          <w:b/>
          <w:i/>
        </w:rPr>
      </w:pPr>
      <w:r>
        <w:rPr>
          <w:b/>
          <w:i/>
        </w:rPr>
        <w:t>Measured Variables for Diamond/Emma</w:t>
      </w:r>
    </w:p>
    <w:p w14:paraId="4B81A971" w14:textId="77777777" w:rsidR="00861989" w:rsidRDefault="00861989" w:rsidP="00861989">
      <w:pPr>
        <w:spacing w:before="200" w:after="200" w:line="240" w:lineRule="auto"/>
        <w:rPr>
          <w:i/>
        </w:rPr>
      </w:pPr>
      <w:r>
        <w:rPr>
          <w:i/>
        </w:rPr>
        <w:t>Presented in this order:</w:t>
      </w:r>
    </w:p>
    <w:p w14:paraId="484E214E" w14:textId="77777777" w:rsidR="00861989" w:rsidRDefault="00861989" w:rsidP="00861989">
      <w:pPr>
        <w:numPr>
          <w:ilvl w:val="0"/>
          <w:numId w:val="7"/>
        </w:numPr>
        <w:shd w:val="clear" w:color="auto" w:fill="auto"/>
        <w:spacing w:line="276" w:lineRule="auto"/>
      </w:pPr>
      <w:r>
        <w:t>Primary knowledge probe (from Turri et al., 2015):</w:t>
      </w:r>
    </w:p>
    <w:p w14:paraId="786076B0" w14:textId="77777777" w:rsidR="00861989" w:rsidRDefault="00861989" w:rsidP="00861989">
      <w:pPr>
        <w:numPr>
          <w:ilvl w:val="1"/>
          <w:numId w:val="7"/>
        </w:numPr>
        <w:shd w:val="clear" w:color="auto" w:fill="auto"/>
        <w:spacing w:line="276" w:lineRule="auto"/>
        <w:rPr>
          <w:b/>
        </w:rPr>
      </w:pPr>
      <w:r>
        <w:rPr>
          <w:b/>
        </w:rPr>
        <w:t>“Emma ______ that she chose a necklace made of diamonds.”</w:t>
      </w:r>
    </w:p>
    <w:p w14:paraId="27B63779" w14:textId="77777777" w:rsidR="00861989" w:rsidRDefault="00861989" w:rsidP="00861989">
      <w:pPr>
        <w:numPr>
          <w:ilvl w:val="2"/>
          <w:numId w:val="7"/>
        </w:numPr>
        <w:shd w:val="clear" w:color="auto" w:fill="auto"/>
        <w:spacing w:line="276" w:lineRule="auto"/>
      </w:pPr>
      <w:r>
        <w:t>Visual analogue scale, 0-100:</w:t>
      </w:r>
    </w:p>
    <w:p w14:paraId="147AE86A" w14:textId="77777777" w:rsidR="00861989" w:rsidRDefault="00861989" w:rsidP="00861989">
      <w:pPr>
        <w:numPr>
          <w:ilvl w:val="3"/>
          <w:numId w:val="7"/>
        </w:numPr>
        <w:shd w:val="clear" w:color="auto" w:fill="auto"/>
        <w:spacing w:line="276" w:lineRule="auto"/>
      </w:pPr>
      <w:r>
        <w:t>[only believes &lt;-------------------------&gt; knows]</w:t>
      </w:r>
    </w:p>
    <w:p w14:paraId="4A32DA9D" w14:textId="77777777" w:rsidR="00861989" w:rsidRDefault="00861989" w:rsidP="00861989">
      <w:pPr>
        <w:numPr>
          <w:ilvl w:val="0"/>
          <w:numId w:val="7"/>
        </w:numPr>
        <w:shd w:val="clear" w:color="auto" w:fill="auto"/>
        <w:spacing w:line="276" w:lineRule="auto"/>
      </w:pPr>
      <w:r>
        <w:t>Comprehension question (from Turri et al., 2015):</w:t>
      </w:r>
    </w:p>
    <w:p w14:paraId="1BF9840A" w14:textId="77777777" w:rsidR="00861989" w:rsidRDefault="00861989" w:rsidP="00861989">
      <w:pPr>
        <w:numPr>
          <w:ilvl w:val="1"/>
          <w:numId w:val="7"/>
        </w:numPr>
        <w:shd w:val="clear" w:color="auto" w:fill="auto"/>
        <w:spacing w:line="276" w:lineRule="auto"/>
        <w:rPr>
          <w:b/>
        </w:rPr>
      </w:pPr>
      <w:r>
        <w:rPr>
          <w:b/>
        </w:rPr>
        <w:t>“Emma chose a necklace made of _____ .”</w:t>
      </w:r>
    </w:p>
    <w:p w14:paraId="4E4B46A7" w14:textId="77777777" w:rsidR="00861989" w:rsidRDefault="00861989" w:rsidP="00861989">
      <w:pPr>
        <w:numPr>
          <w:ilvl w:val="2"/>
          <w:numId w:val="7"/>
        </w:numPr>
        <w:shd w:val="clear" w:color="auto" w:fill="auto"/>
        <w:spacing w:line="276" w:lineRule="auto"/>
      </w:pPr>
      <w:r>
        <w:t>Binary: [cubic zirconium stones/diamonds]</w:t>
      </w:r>
    </w:p>
    <w:p w14:paraId="38E25866" w14:textId="77777777" w:rsidR="00861989" w:rsidRDefault="00861989" w:rsidP="00861989">
      <w:pPr>
        <w:numPr>
          <w:ilvl w:val="0"/>
          <w:numId w:val="7"/>
        </w:numPr>
        <w:shd w:val="clear" w:color="auto" w:fill="auto"/>
        <w:spacing w:line="276" w:lineRule="auto"/>
      </w:pPr>
      <w:r>
        <w:t>Reasonableness probe (from Turri et al., 2015):</w:t>
      </w:r>
    </w:p>
    <w:p w14:paraId="5E6611D3" w14:textId="77777777" w:rsidR="00861989" w:rsidRDefault="00861989" w:rsidP="00861989">
      <w:pPr>
        <w:numPr>
          <w:ilvl w:val="1"/>
          <w:numId w:val="7"/>
        </w:numPr>
        <w:shd w:val="clear" w:color="auto" w:fill="auto"/>
        <w:spacing w:line="276" w:lineRule="auto"/>
        <w:rPr>
          <w:b/>
        </w:rPr>
      </w:pPr>
      <w:r>
        <w:rPr>
          <w:b/>
        </w:rPr>
        <w:t>“It is _____ for Emma to think that she chose a necklace made of diamonds.”</w:t>
      </w:r>
    </w:p>
    <w:p w14:paraId="0CC6C484" w14:textId="77777777" w:rsidR="00861989" w:rsidRDefault="00861989" w:rsidP="00861989">
      <w:pPr>
        <w:numPr>
          <w:ilvl w:val="2"/>
          <w:numId w:val="7"/>
        </w:numPr>
        <w:shd w:val="clear" w:color="auto" w:fill="auto"/>
        <w:spacing w:line="276" w:lineRule="auto"/>
      </w:pPr>
      <w:r>
        <w:t>Visual analogue scale, 0-100:</w:t>
      </w:r>
    </w:p>
    <w:p w14:paraId="406DAEE8" w14:textId="77777777" w:rsidR="00861989" w:rsidRDefault="00861989" w:rsidP="00861989">
      <w:pPr>
        <w:numPr>
          <w:ilvl w:val="3"/>
          <w:numId w:val="7"/>
        </w:numPr>
        <w:shd w:val="clear" w:color="auto" w:fill="auto"/>
        <w:spacing w:line="276" w:lineRule="auto"/>
      </w:pPr>
      <w:r>
        <w:t>[unreasonable &lt;-------------------------&gt; reasonable]</w:t>
      </w:r>
    </w:p>
    <w:p w14:paraId="4ADBC18A" w14:textId="77777777" w:rsidR="00861989" w:rsidRDefault="00861989" w:rsidP="00861989">
      <w:pPr>
        <w:numPr>
          <w:ilvl w:val="0"/>
          <w:numId w:val="7"/>
        </w:numPr>
        <w:shd w:val="clear" w:color="auto" w:fill="auto"/>
        <w:spacing w:line="276" w:lineRule="auto"/>
      </w:pPr>
      <w:r>
        <w:t>Luck/Ability probe (from Turri, 2016b)</w:t>
      </w:r>
    </w:p>
    <w:p w14:paraId="6B9C9B01" w14:textId="77777777" w:rsidR="00861989" w:rsidRDefault="00861989" w:rsidP="00861989">
      <w:pPr>
        <w:numPr>
          <w:ilvl w:val="1"/>
          <w:numId w:val="7"/>
        </w:numPr>
        <w:shd w:val="clear" w:color="auto" w:fill="auto"/>
        <w:spacing w:line="276" w:lineRule="auto"/>
        <w:rPr>
          <w:b/>
        </w:rPr>
      </w:pPr>
      <w:r>
        <w:rPr>
          <w:b/>
        </w:rPr>
        <w:t>“Emma got the ______ answer because of her _____.”</w:t>
      </w:r>
    </w:p>
    <w:p w14:paraId="71F36754" w14:textId="77777777" w:rsidR="00861989" w:rsidRDefault="00861989" w:rsidP="00861989">
      <w:pPr>
        <w:numPr>
          <w:ilvl w:val="2"/>
          <w:numId w:val="7"/>
        </w:numPr>
        <w:shd w:val="clear" w:color="auto" w:fill="auto"/>
        <w:spacing w:line="276" w:lineRule="auto"/>
      </w:pPr>
      <w:r>
        <w:t>Requires two responses:</w:t>
      </w:r>
    </w:p>
    <w:p w14:paraId="21CFE5FF" w14:textId="77777777" w:rsidR="00861989" w:rsidRDefault="00861989" w:rsidP="00861989">
      <w:pPr>
        <w:numPr>
          <w:ilvl w:val="3"/>
          <w:numId w:val="7"/>
        </w:numPr>
        <w:shd w:val="clear" w:color="auto" w:fill="auto"/>
        <w:spacing w:line="276" w:lineRule="auto"/>
      </w:pPr>
      <w:r>
        <w:t>Binary: [right/wrong]</w:t>
      </w:r>
    </w:p>
    <w:p w14:paraId="3FB73171" w14:textId="77777777" w:rsidR="00861989" w:rsidRDefault="00861989" w:rsidP="00861989">
      <w:pPr>
        <w:numPr>
          <w:ilvl w:val="3"/>
          <w:numId w:val="7"/>
        </w:numPr>
        <w:shd w:val="clear" w:color="auto" w:fill="auto"/>
        <w:spacing w:line="276" w:lineRule="auto"/>
      </w:pPr>
      <w:r>
        <w:t>Visual analogue scale, 0-100:</w:t>
      </w:r>
    </w:p>
    <w:p w14:paraId="71F092AA" w14:textId="77777777" w:rsidR="00861989" w:rsidRDefault="00861989" w:rsidP="00861989">
      <w:pPr>
        <w:numPr>
          <w:ilvl w:val="4"/>
          <w:numId w:val="7"/>
        </w:numPr>
        <w:shd w:val="clear" w:color="auto" w:fill="auto"/>
        <w:spacing w:line="276" w:lineRule="auto"/>
      </w:pPr>
      <w:r>
        <w:t>[ability / inability &lt;-------------------------&gt; (good luck/bad luck]</w:t>
      </w:r>
    </w:p>
    <w:p w14:paraId="35378310" w14:textId="77777777" w:rsidR="00861989" w:rsidRDefault="00861989" w:rsidP="00861989">
      <w:pPr>
        <w:numPr>
          <w:ilvl w:val="0"/>
          <w:numId w:val="7"/>
        </w:numPr>
        <w:shd w:val="clear" w:color="auto" w:fill="auto"/>
        <w:spacing w:line="276" w:lineRule="auto"/>
      </w:pPr>
      <w:r>
        <w:t>Alternative knowledge probe (from Nagel et al., 2013)</w:t>
      </w:r>
    </w:p>
    <w:p w14:paraId="2DABC7AB" w14:textId="77777777" w:rsidR="00861989" w:rsidRDefault="00861989" w:rsidP="00861989">
      <w:pPr>
        <w:numPr>
          <w:ilvl w:val="1"/>
          <w:numId w:val="7"/>
        </w:numPr>
        <w:shd w:val="clear" w:color="auto" w:fill="auto"/>
        <w:spacing w:line="276" w:lineRule="auto"/>
        <w:rPr>
          <w:b/>
        </w:rPr>
      </w:pPr>
      <w:r>
        <w:rPr>
          <w:b/>
        </w:rPr>
        <w:t>“In your view, which of the following sentences better describes Emma’s situation?”</w:t>
      </w:r>
    </w:p>
    <w:p w14:paraId="3217B035" w14:textId="77777777" w:rsidR="00861989" w:rsidRDefault="00861989" w:rsidP="00861989">
      <w:pPr>
        <w:numPr>
          <w:ilvl w:val="2"/>
          <w:numId w:val="7"/>
        </w:numPr>
        <w:shd w:val="clear" w:color="auto" w:fill="auto"/>
        <w:spacing w:line="276" w:lineRule="auto"/>
      </w:pPr>
      <w:r>
        <w:t>Binary: ["Emma knows that she chose a necklace made of diamonds." OR "Emma feels like she knows that she chose a necklace made of diamonds, but he doesn't actually know that it is."]</w:t>
      </w:r>
    </w:p>
    <w:p w14:paraId="51CFA6DD" w14:textId="77777777" w:rsidR="00861989" w:rsidRDefault="00861989" w:rsidP="00861989">
      <w:pPr>
        <w:ind w:left="2160"/>
      </w:pPr>
    </w:p>
    <w:p w14:paraId="26413C4F" w14:textId="77777777" w:rsidR="00861989" w:rsidRDefault="00861989" w:rsidP="00861989">
      <w:pPr>
        <w:spacing w:after="160" w:line="240" w:lineRule="auto"/>
        <w:rPr>
          <w:b/>
        </w:rPr>
      </w:pPr>
      <w:r>
        <w:rPr>
          <w:b/>
        </w:rPr>
        <w:t>Squirrel/Darrel Vignette (Turri et al., 2015)</w:t>
      </w:r>
    </w:p>
    <w:p w14:paraId="2FB37C3D" w14:textId="77777777" w:rsidR="00861989" w:rsidRDefault="00861989" w:rsidP="00861989">
      <w:pPr>
        <w:spacing w:after="160" w:line="240" w:lineRule="auto"/>
        <w:rPr>
          <w:i/>
        </w:rPr>
      </w:pPr>
      <w:r>
        <w:rPr>
          <w:i/>
        </w:rPr>
        <w:t>For the Darrel vignette, all participants first read:</w:t>
      </w:r>
    </w:p>
    <w:p w14:paraId="13B20C53" w14:textId="77777777" w:rsidR="00861989" w:rsidRDefault="00861989" w:rsidP="00861989">
      <w:pPr>
        <w:spacing w:after="160" w:line="240" w:lineRule="auto"/>
        <w:ind w:left="720" w:firstLine="720"/>
      </w:pPr>
      <w:r>
        <w:t>Darrel is an ecologist collecting data on red speckled ground squirrels in Canyon Falls national park. The park is divided into ten zones and today Darrel is working Zone 3. While scanning the river valley with his binoculars, Darrel sees a small, bushy-tailed creature with distinctive red markings on its chest and belly. The red speckled ground squirrel is the only native species with such markings. Darrel records in his journal, ‘At least one red speckled ground squirrel in Zone 3 today.</w:t>
      </w:r>
    </w:p>
    <w:p w14:paraId="308F8FAA" w14:textId="77777777" w:rsidR="00861989" w:rsidRDefault="00861989" w:rsidP="00861989">
      <w:pPr>
        <w:numPr>
          <w:ilvl w:val="0"/>
          <w:numId w:val="6"/>
        </w:numPr>
        <w:spacing w:after="160" w:line="240" w:lineRule="auto"/>
      </w:pPr>
      <w:r>
        <w:lastRenderedPageBreak/>
        <w:t xml:space="preserve">In the </w:t>
      </w:r>
      <w:r>
        <w:rPr>
          <w:b/>
        </w:rPr>
        <w:t>knowledge</w:t>
      </w:r>
      <w:r>
        <w:t xml:space="preserve"> condition, participants then read:</w:t>
      </w:r>
    </w:p>
    <w:p w14:paraId="0E87397D" w14:textId="77777777" w:rsidR="00861989" w:rsidRDefault="00861989" w:rsidP="00861989">
      <w:pPr>
        <w:spacing w:after="160" w:line="240" w:lineRule="auto"/>
        <w:ind w:left="720" w:firstLine="720"/>
      </w:pPr>
      <w:r>
        <w:t>Ecologists are unaware that a complex network of aquifers recently began drying up in the park. These aquifers carry vital nutrients to the trees and other forms of plant life that support the squirrels. And the aquifers in the river valley running through Zone 3 are no exception. The animal Darrel is looking at is indeed a thirsty red speckled ground squirrel.</w:t>
      </w:r>
    </w:p>
    <w:p w14:paraId="74B523E2" w14:textId="77777777" w:rsidR="00861989" w:rsidRDefault="00861989" w:rsidP="00861989">
      <w:pPr>
        <w:numPr>
          <w:ilvl w:val="0"/>
          <w:numId w:val="6"/>
        </w:numPr>
        <w:spacing w:after="160" w:line="240" w:lineRule="auto"/>
      </w:pPr>
      <w:r>
        <w:t xml:space="preserve">In the </w:t>
      </w:r>
      <w:r>
        <w:rPr>
          <w:b/>
        </w:rPr>
        <w:t>ignorance</w:t>
      </w:r>
      <w:r>
        <w:t xml:space="preserve"> condition, participants then read:</w:t>
      </w:r>
    </w:p>
    <w:p w14:paraId="642E8D23" w14:textId="77777777" w:rsidR="00861989" w:rsidRDefault="00861989" w:rsidP="00861989">
      <w:pPr>
        <w:spacing w:after="160" w:line="240" w:lineRule="auto"/>
        <w:ind w:left="720" w:firstLine="720"/>
      </w:pPr>
      <w:r>
        <w:t>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And, the animal Darrel is looking at is indeed one of the prairie dogs.</w:t>
      </w:r>
    </w:p>
    <w:p w14:paraId="68E95141" w14:textId="77777777" w:rsidR="00861989" w:rsidRDefault="00861989" w:rsidP="00861989">
      <w:pPr>
        <w:numPr>
          <w:ilvl w:val="0"/>
          <w:numId w:val="6"/>
        </w:numPr>
        <w:spacing w:after="160" w:line="240" w:lineRule="auto"/>
      </w:pPr>
      <w:r>
        <w:t xml:space="preserve">In the </w:t>
      </w:r>
      <w:r>
        <w:rPr>
          <w:b/>
        </w:rPr>
        <w:t>Gettier</w:t>
      </w:r>
      <w:r>
        <w:t xml:space="preserve"> condition, participants then read:</w:t>
      </w:r>
    </w:p>
    <w:p w14:paraId="59DF06C6" w14:textId="77777777" w:rsidR="00861989" w:rsidRDefault="00861989" w:rsidP="00861989">
      <w:pPr>
        <w:spacing w:after="160" w:line="240" w:lineRule="auto"/>
        <w:ind w:left="720" w:firstLine="720"/>
      </w:pPr>
      <w:r>
        <w:t>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Still, the animal Darrel is looking at is a red speckled ground squirrel.</w:t>
      </w:r>
    </w:p>
    <w:p w14:paraId="5C13C3CD" w14:textId="77777777" w:rsidR="00861989" w:rsidRDefault="00861989" w:rsidP="00861989">
      <w:pPr>
        <w:spacing w:before="200" w:after="200" w:line="240" w:lineRule="auto"/>
        <w:rPr>
          <w:b/>
          <w:i/>
        </w:rPr>
      </w:pPr>
      <w:r>
        <w:rPr>
          <w:b/>
          <w:i/>
        </w:rPr>
        <w:t>Measured Variables for Squirrel/Darrel</w:t>
      </w:r>
    </w:p>
    <w:p w14:paraId="7D4B828F" w14:textId="77777777" w:rsidR="00861989" w:rsidRDefault="00861989" w:rsidP="00861989">
      <w:pPr>
        <w:spacing w:before="200" w:after="200" w:line="240" w:lineRule="auto"/>
        <w:rPr>
          <w:b/>
          <w:i/>
        </w:rPr>
      </w:pPr>
      <w:r>
        <w:rPr>
          <w:i/>
        </w:rPr>
        <w:t>Presented in this order:</w:t>
      </w:r>
    </w:p>
    <w:p w14:paraId="54DCA827" w14:textId="77777777" w:rsidR="00861989" w:rsidRDefault="00861989" w:rsidP="00861989">
      <w:pPr>
        <w:numPr>
          <w:ilvl w:val="0"/>
          <w:numId w:val="4"/>
        </w:numPr>
        <w:shd w:val="clear" w:color="auto" w:fill="auto"/>
        <w:spacing w:line="276" w:lineRule="auto"/>
      </w:pPr>
      <w:r>
        <w:t>Primary knowledge probe (from Turri et al., 2015):</w:t>
      </w:r>
    </w:p>
    <w:p w14:paraId="302BB1EB" w14:textId="77777777" w:rsidR="00861989" w:rsidRDefault="00861989" w:rsidP="00861989">
      <w:pPr>
        <w:numPr>
          <w:ilvl w:val="1"/>
          <w:numId w:val="4"/>
        </w:numPr>
        <w:shd w:val="clear" w:color="auto" w:fill="auto"/>
        <w:spacing w:line="276" w:lineRule="auto"/>
        <w:rPr>
          <w:b/>
        </w:rPr>
      </w:pPr>
      <w:r>
        <w:rPr>
          <w:b/>
        </w:rPr>
        <w:t>“Darrel ______ that there is at least one red speckled ground squirrel in Zone 3 today.”</w:t>
      </w:r>
    </w:p>
    <w:p w14:paraId="17553E5E" w14:textId="77777777" w:rsidR="00861989" w:rsidRDefault="00861989" w:rsidP="00861989">
      <w:pPr>
        <w:numPr>
          <w:ilvl w:val="2"/>
          <w:numId w:val="4"/>
        </w:numPr>
        <w:shd w:val="clear" w:color="auto" w:fill="auto"/>
        <w:spacing w:line="276" w:lineRule="auto"/>
      </w:pPr>
      <w:r>
        <w:t>Visual analogue scale, 0-100:</w:t>
      </w:r>
    </w:p>
    <w:p w14:paraId="3C466641" w14:textId="77777777" w:rsidR="00861989" w:rsidRDefault="00861989" w:rsidP="00861989">
      <w:pPr>
        <w:numPr>
          <w:ilvl w:val="3"/>
          <w:numId w:val="4"/>
        </w:numPr>
        <w:shd w:val="clear" w:color="auto" w:fill="auto"/>
        <w:spacing w:line="276" w:lineRule="auto"/>
      </w:pPr>
      <w:r>
        <w:t>[only believes &lt;-------------------------&gt; knows]</w:t>
      </w:r>
    </w:p>
    <w:p w14:paraId="73CD97BD" w14:textId="77777777" w:rsidR="00861989" w:rsidRDefault="00861989" w:rsidP="00861989">
      <w:pPr>
        <w:numPr>
          <w:ilvl w:val="0"/>
          <w:numId w:val="4"/>
        </w:numPr>
        <w:shd w:val="clear" w:color="auto" w:fill="auto"/>
        <w:spacing w:line="276" w:lineRule="auto"/>
      </w:pPr>
      <w:r>
        <w:t>Comprehension question (from Turri et al., 2015):</w:t>
      </w:r>
    </w:p>
    <w:p w14:paraId="31431C7B" w14:textId="77777777" w:rsidR="00861989" w:rsidRDefault="00861989" w:rsidP="00861989">
      <w:pPr>
        <w:numPr>
          <w:ilvl w:val="1"/>
          <w:numId w:val="4"/>
        </w:numPr>
        <w:shd w:val="clear" w:color="auto" w:fill="auto"/>
        <w:spacing w:line="276" w:lineRule="auto"/>
        <w:rPr>
          <w:b/>
        </w:rPr>
      </w:pPr>
      <w:r>
        <w:rPr>
          <w:b/>
        </w:rPr>
        <w:t>“Darrel is looking at a _____.”</w:t>
      </w:r>
    </w:p>
    <w:p w14:paraId="76A86708" w14:textId="77777777" w:rsidR="00861989" w:rsidRDefault="00861989" w:rsidP="00861989">
      <w:pPr>
        <w:numPr>
          <w:ilvl w:val="2"/>
          <w:numId w:val="4"/>
        </w:numPr>
        <w:shd w:val="clear" w:color="auto" w:fill="auto"/>
        <w:spacing w:line="276" w:lineRule="auto"/>
      </w:pPr>
      <w:r>
        <w:t>Binary: [ground squirrel/prairie dog]</w:t>
      </w:r>
    </w:p>
    <w:p w14:paraId="3585A1A2" w14:textId="77777777" w:rsidR="00861989" w:rsidRDefault="00861989" w:rsidP="00861989">
      <w:pPr>
        <w:numPr>
          <w:ilvl w:val="0"/>
          <w:numId w:val="4"/>
        </w:numPr>
        <w:shd w:val="clear" w:color="auto" w:fill="auto"/>
        <w:spacing w:line="276" w:lineRule="auto"/>
      </w:pPr>
      <w:r>
        <w:rPr>
          <w:sz w:val="14"/>
          <w:szCs w:val="14"/>
        </w:rPr>
        <w:t xml:space="preserve"> </w:t>
      </w:r>
      <w:r>
        <w:t>Reasonableness probe (from Turri et al., 2015):</w:t>
      </w:r>
    </w:p>
    <w:p w14:paraId="629683EA" w14:textId="77777777" w:rsidR="00861989" w:rsidRDefault="00861989" w:rsidP="00861989">
      <w:pPr>
        <w:numPr>
          <w:ilvl w:val="1"/>
          <w:numId w:val="4"/>
        </w:numPr>
        <w:shd w:val="clear" w:color="auto" w:fill="auto"/>
        <w:spacing w:line="276" w:lineRule="auto"/>
        <w:rPr>
          <w:b/>
        </w:rPr>
      </w:pPr>
      <w:r>
        <w:rPr>
          <w:b/>
        </w:rPr>
        <w:t>“It is _____ for Darrel to think that he is looking at a red speckled ground squirrel.”</w:t>
      </w:r>
    </w:p>
    <w:p w14:paraId="434F8D76" w14:textId="77777777" w:rsidR="00861989" w:rsidRDefault="00861989" w:rsidP="00861989">
      <w:pPr>
        <w:numPr>
          <w:ilvl w:val="2"/>
          <w:numId w:val="4"/>
        </w:numPr>
        <w:shd w:val="clear" w:color="auto" w:fill="auto"/>
        <w:spacing w:line="276" w:lineRule="auto"/>
      </w:pPr>
      <w:r>
        <w:t>Visual analogue scale, 0-100:</w:t>
      </w:r>
    </w:p>
    <w:p w14:paraId="5DF2BF75" w14:textId="77777777" w:rsidR="00861989" w:rsidRDefault="00861989" w:rsidP="00861989">
      <w:pPr>
        <w:numPr>
          <w:ilvl w:val="3"/>
          <w:numId w:val="4"/>
        </w:numPr>
        <w:shd w:val="clear" w:color="auto" w:fill="auto"/>
        <w:spacing w:line="276" w:lineRule="auto"/>
      </w:pPr>
      <w:r>
        <w:t>[unreasonable &lt;-------------------------&gt; reasonable]</w:t>
      </w:r>
    </w:p>
    <w:p w14:paraId="44A7D24E" w14:textId="77777777" w:rsidR="00861989" w:rsidRDefault="00861989" w:rsidP="00861989">
      <w:pPr>
        <w:numPr>
          <w:ilvl w:val="0"/>
          <w:numId w:val="4"/>
        </w:numPr>
        <w:shd w:val="clear" w:color="auto" w:fill="auto"/>
        <w:spacing w:line="276" w:lineRule="auto"/>
      </w:pPr>
      <w:r>
        <w:t>Luck/Ability probe (from Turri, 2016b)</w:t>
      </w:r>
    </w:p>
    <w:p w14:paraId="753BDC44" w14:textId="77777777" w:rsidR="00861989" w:rsidRDefault="00861989" w:rsidP="00861989">
      <w:pPr>
        <w:numPr>
          <w:ilvl w:val="1"/>
          <w:numId w:val="4"/>
        </w:numPr>
        <w:shd w:val="clear" w:color="auto" w:fill="auto"/>
        <w:spacing w:line="276" w:lineRule="auto"/>
        <w:rPr>
          <w:b/>
        </w:rPr>
      </w:pPr>
      <w:r>
        <w:rPr>
          <w:b/>
        </w:rPr>
        <w:t>“Darrel got the ______ answer because of his _____.”</w:t>
      </w:r>
    </w:p>
    <w:p w14:paraId="147E060E" w14:textId="77777777" w:rsidR="00861989" w:rsidRDefault="00861989" w:rsidP="00861989">
      <w:pPr>
        <w:numPr>
          <w:ilvl w:val="2"/>
          <w:numId w:val="4"/>
        </w:numPr>
        <w:shd w:val="clear" w:color="auto" w:fill="auto"/>
        <w:spacing w:line="276" w:lineRule="auto"/>
      </w:pPr>
      <w:r>
        <w:t>Requires two responses:</w:t>
      </w:r>
    </w:p>
    <w:p w14:paraId="41BB098C" w14:textId="77777777" w:rsidR="00861989" w:rsidRDefault="00861989" w:rsidP="00861989">
      <w:pPr>
        <w:numPr>
          <w:ilvl w:val="3"/>
          <w:numId w:val="4"/>
        </w:numPr>
        <w:shd w:val="clear" w:color="auto" w:fill="auto"/>
        <w:spacing w:line="276" w:lineRule="auto"/>
      </w:pPr>
      <w:r>
        <w:t>Binary: [right/wrong]</w:t>
      </w:r>
    </w:p>
    <w:p w14:paraId="3F6A1E1F" w14:textId="77777777" w:rsidR="00861989" w:rsidRDefault="00861989" w:rsidP="00861989">
      <w:pPr>
        <w:numPr>
          <w:ilvl w:val="3"/>
          <w:numId w:val="4"/>
        </w:numPr>
        <w:shd w:val="clear" w:color="auto" w:fill="auto"/>
        <w:spacing w:line="276" w:lineRule="auto"/>
      </w:pPr>
      <w:r>
        <w:t>Visual analogue scale, 0-100:</w:t>
      </w:r>
    </w:p>
    <w:p w14:paraId="65125211" w14:textId="77777777" w:rsidR="00861989" w:rsidRDefault="00861989" w:rsidP="00861989">
      <w:pPr>
        <w:numPr>
          <w:ilvl w:val="4"/>
          <w:numId w:val="4"/>
        </w:numPr>
        <w:shd w:val="clear" w:color="auto" w:fill="auto"/>
        <w:spacing w:line="276" w:lineRule="auto"/>
      </w:pPr>
      <w:r>
        <w:lastRenderedPageBreak/>
        <w:t>[ability/inability &lt;-------------------------&gt; (good luck/bad luck]</w:t>
      </w:r>
    </w:p>
    <w:p w14:paraId="0AE348F8" w14:textId="77777777" w:rsidR="00861989" w:rsidRDefault="00861989" w:rsidP="00861989">
      <w:pPr>
        <w:numPr>
          <w:ilvl w:val="0"/>
          <w:numId w:val="4"/>
        </w:numPr>
        <w:shd w:val="clear" w:color="auto" w:fill="auto"/>
        <w:spacing w:line="276" w:lineRule="auto"/>
      </w:pPr>
      <w:r>
        <w:t>Alternative knowledge probe (from Nagel et al., 2013)</w:t>
      </w:r>
    </w:p>
    <w:p w14:paraId="4C73100F" w14:textId="77777777" w:rsidR="00861989" w:rsidRDefault="00861989" w:rsidP="00861989">
      <w:pPr>
        <w:numPr>
          <w:ilvl w:val="1"/>
          <w:numId w:val="4"/>
        </w:numPr>
        <w:shd w:val="clear" w:color="auto" w:fill="auto"/>
        <w:spacing w:line="276" w:lineRule="auto"/>
        <w:rPr>
          <w:b/>
        </w:rPr>
      </w:pPr>
      <w:r>
        <w:rPr>
          <w:b/>
        </w:rPr>
        <w:t>“In your view, which of the following sentences better describes Darrel’s situation?”</w:t>
      </w:r>
    </w:p>
    <w:p w14:paraId="753BF19A" w14:textId="77777777" w:rsidR="00861989" w:rsidRDefault="00861989" w:rsidP="00861989">
      <w:pPr>
        <w:numPr>
          <w:ilvl w:val="2"/>
          <w:numId w:val="4"/>
        </w:numPr>
        <w:shd w:val="clear" w:color="auto" w:fill="auto"/>
        <w:spacing w:line="276" w:lineRule="auto"/>
      </w:pPr>
      <w:r>
        <w:t>Binary: ["Darrel knows that the animal he saw is a red speckled ground squirrel." OR "Darrel feels like he knows that the animal he saw is a red speckled ground squirrel, but he doesn't actually know that it is."]</w:t>
      </w:r>
    </w:p>
    <w:p w14:paraId="17B09F34" w14:textId="77777777" w:rsidR="00861989" w:rsidRDefault="00861989" w:rsidP="00861989">
      <w:pPr>
        <w:spacing w:after="160" w:line="240" w:lineRule="auto"/>
      </w:pPr>
      <w:r>
        <w:br w:type="page"/>
      </w:r>
    </w:p>
    <w:p w14:paraId="6DD843E9" w14:textId="77777777" w:rsidR="00861989" w:rsidRDefault="00861989" w:rsidP="00861989">
      <w:pPr>
        <w:spacing w:line="240" w:lineRule="auto"/>
        <w:jc w:val="center"/>
        <w:rPr>
          <w:b/>
        </w:rPr>
      </w:pPr>
      <w:r>
        <w:rPr>
          <w:b/>
        </w:rPr>
        <w:lastRenderedPageBreak/>
        <w:t>Appendix C</w:t>
      </w:r>
    </w:p>
    <w:p w14:paraId="1CB2406D" w14:textId="77777777" w:rsidR="00861989" w:rsidRDefault="00861989" w:rsidP="00861989">
      <w:pPr>
        <w:spacing w:before="200" w:after="200" w:line="240" w:lineRule="auto"/>
        <w:jc w:val="center"/>
      </w:pPr>
      <w:r>
        <w:t>Demographic, Exclusion, Covariate, and Study Experience Questions</w:t>
      </w:r>
    </w:p>
    <w:p w14:paraId="7D5E55F5" w14:textId="77777777" w:rsidR="00861989" w:rsidRDefault="00861989" w:rsidP="00861989">
      <w:pPr>
        <w:spacing w:line="240" w:lineRule="auto"/>
        <w:rPr>
          <w:b/>
        </w:rPr>
      </w:pPr>
      <w:r>
        <w:rPr>
          <w:b/>
        </w:rPr>
        <w:t>Demographics/Covariates</w:t>
      </w:r>
    </w:p>
    <w:p w14:paraId="27149955" w14:textId="77777777" w:rsidR="00861989" w:rsidRDefault="00861989" w:rsidP="00861989">
      <w:pPr>
        <w:numPr>
          <w:ilvl w:val="0"/>
          <w:numId w:val="6"/>
        </w:numPr>
        <w:spacing w:line="240" w:lineRule="auto"/>
      </w:pPr>
      <w:r>
        <w:t>Age (open-ended response)</w:t>
      </w:r>
    </w:p>
    <w:p w14:paraId="5C4B1922" w14:textId="77777777" w:rsidR="00861989" w:rsidRDefault="00861989" w:rsidP="00861989">
      <w:pPr>
        <w:numPr>
          <w:ilvl w:val="1"/>
          <w:numId w:val="6"/>
        </w:numPr>
        <w:spacing w:line="240" w:lineRule="auto"/>
      </w:pPr>
      <w:r>
        <w:t xml:space="preserve">“How old are you? (in years)” </w:t>
      </w:r>
    </w:p>
    <w:p w14:paraId="48102397" w14:textId="77777777" w:rsidR="00861989" w:rsidRDefault="00861989" w:rsidP="00861989">
      <w:pPr>
        <w:numPr>
          <w:ilvl w:val="0"/>
          <w:numId w:val="6"/>
        </w:numPr>
        <w:spacing w:line="240" w:lineRule="auto"/>
      </w:pPr>
      <w:r>
        <w:t>Gender (drop-down box)</w:t>
      </w:r>
    </w:p>
    <w:p w14:paraId="2E322376" w14:textId="77777777" w:rsidR="00861989" w:rsidRDefault="00861989" w:rsidP="00861989">
      <w:pPr>
        <w:numPr>
          <w:ilvl w:val="1"/>
          <w:numId w:val="6"/>
        </w:numPr>
        <w:spacing w:line="240" w:lineRule="auto"/>
      </w:pPr>
      <w:r>
        <w:t xml:space="preserve">“What is your gender?” </w:t>
      </w:r>
    </w:p>
    <w:p w14:paraId="548723E8" w14:textId="77777777" w:rsidR="00861989" w:rsidRDefault="00861989" w:rsidP="00861989">
      <w:pPr>
        <w:numPr>
          <w:ilvl w:val="2"/>
          <w:numId w:val="6"/>
        </w:numPr>
        <w:spacing w:line="240" w:lineRule="auto"/>
      </w:pPr>
      <w:r>
        <w:t>Male, female, or other (open-ended)</w:t>
      </w:r>
    </w:p>
    <w:p w14:paraId="5F796467" w14:textId="77777777" w:rsidR="00861989" w:rsidRDefault="00861989" w:rsidP="00861989">
      <w:pPr>
        <w:numPr>
          <w:ilvl w:val="0"/>
          <w:numId w:val="6"/>
        </w:numPr>
        <w:spacing w:line="240" w:lineRule="auto"/>
      </w:pPr>
      <w:r>
        <w:t xml:space="preserve">Race/Ethnicity (drop-down box) </w:t>
      </w:r>
    </w:p>
    <w:p w14:paraId="4F0DBD8D" w14:textId="77777777" w:rsidR="00861989" w:rsidRDefault="00861989" w:rsidP="00861989">
      <w:pPr>
        <w:numPr>
          <w:ilvl w:val="1"/>
          <w:numId w:val="6"/>
        </w:numPr>
        <w:spacing w:line="240" w:lineRule="auto"/>
      </w:pPr>
      <w:r>
        <w:t xml:space="preserve">“What is your ethnicity/race?” </w:t>
      </w:r>
    </w:p>
    <w:p w14:paraId="5D2DA6E8" w14:textId="77777777" w:rsidR="00861989" w:rsidRDefault="00861989" w:rsidP="00861989">
      <w:pPr>
        <w:numPr>
          <w:ilvl w:val="2"/>
          <w:numId w:val="6"/>
        </w:numPr>
        <w:spacing w:line="240" w:lineRule="auto"/>
      </w:pPr>
      <w:r>
        <w:rPr>
          <w:i/>
        </w:rPr>
        <w:t>Version A (Main Protocol Version)</w:t>
      </w:r>
      <w:r>
        <w:t xml:space="preserve">: </w:t>
      </w:r>
    </w:p>
    <w:p w14:paraId="3B690692" w14:textId="77777777" w:rsidR="00861989" w:rsidRDefault="00861989" w:rsidP="00861989">
      <w:pPr>
        <w:numPr>
          <w:ilvl w:val="3"/>
          <w:numId w:val="6"/>
        </w:numPr>
        <w:spacing w:line="240" w:lineRule="auto"/>
      </w:pPr>
      <w:r>
        <w:t>Used by all sites except where listed below.</w:t>
      </w:r>
    </w:p>
    <w:p w14:paraId="472DE548" w14:textId="77777777" w:rsidR="00861989" w:rsidRDefault="00861989" w:rsidP="00861989">
      <w:pPr>
        <w:numPr>
          <w:ilvl w:val="4"/>
          <w:numId w:val="6"/>
        </w:numPr>
        <w:spacing w:line="240" w:lineRule="auto"/>
      </w:pPr>
      <w:r>
        <w:t xml:space="preserve">White / European descent, Black / African descent, Latino*a / Latin American descent, Australian descent, Asian Southeast Asian descent, Native American, Hawaiian descent / Pacific Islands, Other (open-ended) </w:t>
      </w:r>
    </w:p>
    <w:p w14:paraId="46C1D79E" w14:textId="77777777" w:rsidR="00861989" w:rsidRDefault="00861989" w:rsidP="00861989">
      <w:pPr>
        <w:numPr>
          <w:ilvl w:val="2"/>
          <w:numId w:val="6"/>
        </w:numPr>
        <w:spacing w:line="240" w:lineRule="auto"/>
      </w:pPr>
      <w:r>
        <w:rPr>
          <w:i/>
        </w:rPr>
        <w:t>Version B (Qualtrics Version):</w:t>
      </w:r>
    </w:p>
    <w:p w14:paraId="1579A7C9" w14:textId="77777777" w:rsidR="00861989" w:rsidRDefault="00861989" w:rsidP="00861989">
      <w:pPr>
        <w:numPr>
          <w:ilvl w:val="3"/>
          <w:numId w:val="6"/>
        </w:numPr>
        <w:spacing w:line="240" w:lineRule="auto"/>
      </w:pPr>
      <w:r>
        <w:t xml:space="preserve">When the Qualtrics version was made, the response options were altered by that student team to reflect their sample. Teams that then used the Qualtrics version copied those response options. </w:t>
      </w:r>
    </w:p>
    <w:p w14:paraId="77268642" w14:textId="77777777" w:rsidR="00861989" w:rsidRDefault="00861989" w:rsidP="00861989">
      <w:pPr>
        <w:numPr>
          <w:ilvl w:val="3"/>
          <w:numId w:val="6"/>
        </w:numPr>
        <w:spacing w:line="240" w:lineRule="auto"/>
      </w:pPr>
      <w:r>
        <w:t>Used by the following data collection sites in Qualtrics: AC2055, AC2054, and ACTURK</w:t>
      </w:r>
    </w:p>
    <w:p w14:paraId="1BF993AE" w14:textId="77777777" w:rsidR="00861989" w:rsidRDefault="00861989" w:rsidP="00861989">
      <w:pPr>
        <w:numPr>
          <w:ilvl w:val="4"/>
          <w:numId w:val="6"/>
        </w:numPr>
        <w:spacing w:line="240" w:lineRule="auto"/>
      </w:pPr>
      <w:r>
        <w:t>White/European, Black/African American, Hispanic Latino, East or Southeast Asian / Pacific Islander (e.g. from Japan, China, Korea, Vietnam, Thailand, Philippines, native Hawaiian), South Asian (e.g. from India, Pakistan), I prefer not to answer this question, Other (open-ended)</w:t>
      </w:r>
    </w:p>
    <w:p w14:paraId="50A33DDF" w14:textId="77777777" w:rsidR="00861989" w:rsidRDefault="00861989" w:rsidP="00861989">
      <w:pPr>
        <w:numPr>
          <w:ilvl w:val="2"/>
          <w:numId w:val="6"/>
        </w:numPr>
        <w:spacing w:line="240" w:lineRule="auto"/>
      </w:pPr>
      <w:r>
        <w:rPr>
          <w:i/>
        </w:rPr>
        <w:t xml:space="preserve">Version C (Australian Version) </w:t>
      </w:r>
    </w:p>
    <w:p w14:paraId="21896EAD" w14:textId="77777777" w:rsidR="00861989" w:rsidRDefault="00861989" w:rsidP="00861989">
      <w:pPr>
        <w:numPr>
          <w:ilvl w:val="3"/>
          <w:numId w:val="6"/>
        </w:numPr>
        <w:spacing w:line="240" w:lineRule="auto"/>
      </w:pPr>
      <w:r>
        <w:t xml:space="preserve">One Australian team (AC206) altered the ethnicity options to better reflect Australian ethnic categories: </w:t>
      </w:r>
    </w:p>
    <w:p w14:paraId="3067B472" w14:textId="77777777" w:rsidR="00861989" w:rsidRDefault="00861989" w:rsidP="00861989">
      <w:pPr>
        <w:numPr>
          <w:ilvl w:val="4"/>
          <w:numId w:val="6"/>
        </w:numPr>
        <w:spacing w:line="240" w:lineRule="auto"/>
      </w:pPr>
      <w:r>
        <w:t>European descent, African descent, Latino*a / Latin American descent, Indigenous Australian or Torres Strait Islander descent, East Asian descent, South Asian descent, Pacific Island descent, Native American descent</w:t>
      </w:r>
    </w:p>
    <w:p w14:paraId="15824BD7" w14:textId="77777777" w:rsidR="00861989" w:rsidRDefault="00861989" w:rsidP="00861989">
      <w:pPr>
        <w:numPr>
          <w:ilvl w:val="2"/>
          <w:numId w:val="6"/>
        </w:numPr>
        <w:spacing w:line="240" w:lineRule="auto"/>
        <w:rPr>
          <w:i/>
        </w:rPr>
      </w:pPr>
      <w:r>
        <w:rPr>
          <w:i/>
        </w:rPr>
        <w:t>Version D (Russian Version)</w:t>
      </w:r>
    </w:p>
    <w:p w14:paraId="42A42317" w14:textId="77777777" w:rsidR="00861989" w:rsidRDefault="00861989" w:rsidP="00861989">
      <w:pPr>
        <w:numPr>
          <w:ilvl w:val="3"/>
          <w:numId w:val="6"/>
        </w:numPr>
        <w:spacing w:line="240" w:lineRule="auto"/>
      </w:pPr>
      <w:r>
        <w:t xml:space="preserve">The Russian team (AC2053) altered the ethnicity options to better reflect Russian ethnic categories: </w:t>
      </w:r>
    </w:p>
    <w:p w14:paraId="2DE2F4BC" w14:textId="77777777" w:rsidR="00861989" w:rsidRDefault="00861989" w:rsidP="00861989">
      <w:pPr>
        <w:numPr>
          <w:ilvl w:val="4"/>
          <w:numId w:val="6"/>
        </w:numPr>
        <w:spacing w:line="240" w:lineRule="auto"/>
      </w:pPr>
      <w:r>
        <w:t>Russians, Ukrainians, Belarusians, Tatars, Armenians, Georgians, Kazakhs, Jews, Kyrgyz, Uzbeks, Tajiks, Chuvash, Other (fill in)</w:t>
      </w:r>
    </w:p>
    <w:p w14:paraId="76D39FCB" w14:textId="77777777" w:rsidR="00861989" w:rsidRDefault="00861989" w:rsidP="00861989">
      <w:pPr>
        <w:numPr>
          <w:ilvl w:val="2"/>
          <w:numId w:val="6"/>
        </w:numPr>
        <w:spacing w:line="240" w:lineRule="auto"/>
        <w:rPr>
          <w:i/>
        </w:rPr>
      </w:pPr>
      <w:r>
        <w:rPr>
          <w:i/>
        </w:rPr>
        <w:t xml:space="preserve">Version E (Open-ended Version) </w:t>
      </w:r>
    </w:p>
    <w:p w14:paraId="2FA6243C" w14:textId="77777777" w:rsidR="00861989" w:rsidRDefault="00861989" w:rsidP="00861989">
      <w:pPr>
        <w:numPr>
          <w:ilvl w:val="3"/>
          <w:numId w:val="6"/>
        </w:numPr>
        <w:spacing w:line="240" w:lineRule="auto"/>
      </w:pPr>
      <w:r>
        <w:t>Three student teams (at the same collection site) opted to only provide an open space for participants to fill in their ethnicity: AC1921, AC1921_NS, AC1921_S</w:t>
      </w:r>
    </w:p>
    <w:p w14:paraId="13C8E472" w14:textId="77777777" w:rsidR="00861989" w:rsidRDefault="00861989" w:rsidP="00861989">
      <w:pPr>
        <w:numPr>
          <w:ilvl w:val="2"/>
          <w:numId w:val="6"/>
        </w:numPr>
        <w:spacing w:line="240" w:lineRule="auto"/>
        <w:rPr>
          <w:i/>
        </w:rPr>
      </w:pPr>
      <w:r>
        <w:rPr>
          <w:i/>
        </w:rPr>
        <w:t>Version F (Did Not Ask)</w:t>
      </w:r>
    </w:p>
    <w:p w14:paraId="1CF0AA4E" w14:textId="77777777" w:rsidR="00861989" w:rsidRDefault="00861989" w:rsidP="00861989">
      <w:pPr>
        <w:numPr>
          <w:ilvl w:val="3"/>
          <w:numId w:val="6"/>
        </w:numPr>
        <w:spacing w:line="240" w:lineRule="auto"/>
      </w:pPr>
      <w:r>
        <w:lastRenderedPageBreak/>
        <w:t>Two sites opted to not ask participants to report their ethnicity at all: POL_001, AC2066</w:t>
      </w:r>
    </w:p>
    <w:p w14:paraId="57C23159" w14:textId="77777777" w:rsidR="00861989" w:rsidRDefault="00861989" w:rsidP="00861989">
      <w:pPr>
        <w:numPr>
          <w:ilvl w:val="0"/>
          <w:numId w:val="6"/>
        </w:numPr>
        <w:spacing w:line="240" w:lineRule="auto"/>
      </w:pPr>
      <w:r>
        <w:t xml:space="preserve">Geopolitical region of residence (open-ended) </w:t>
      </w:r>
    </w:p>
    <w:p w14:paraId="4FEC1A51" w14:textId="77777777" w:rsidR="00861989" w:rsidRDefault="00861989" w:rsidP="00861989">
      <w:pPr>
        <w:numPr>
          <w:ilvl w:val="1"/>
          <w:numId w:val="6"/>
        </w:numPr>
        <w:spacing w:line="240" w:lineRule="auto"/>
      </w:pPr>
      <w:r>
        <w:t xml:space="preserve">“What country do you currently live in?” </w:t>
      </w:r>
    </w:p>
    <w:p w14:paraId="2FBA805A" w14:textId="77777777" w:rsidR="00861989" w:rsidRDefault="00861989" w:rsidP="00861989">
      <w:pPr>
        <w:numPr>
          <w:ilvl w:val="0"/>
          <w:numId w:val="6"/>
        </w:numPr>
        <w:spacing w:line="240" w:lineRule="auto"/>
      </w:pPr>
      <w:r>
        <w:t xml:space="preserve">Geopolitical region of birth (open-ended) </w:t>
      </w:r>
    </w:p>
    <w:p w14:paraId="20DAB7E4" w14:textId="77777777" w:rsidR="00861989" w:rsidRDefault="00861989" w:rsidP="00861989">
      <w:pPr>
        <w:numPr>
          <w:ilvl w:val="1"/>
          <w:numId w:val="6"/>
        </w:numPr>
        <w:spacing w:line="240" w:lineRule="auto"/>
      </w:pPr>
      <w:r>
        <w:t xml:space="preserve">“What is your country of birth?” </w:t>
      </w:r>
    </w:p>
    <w:p w14:paraId="01CD6C57" w14:textId="77777777" w:rsidR="00861989" w:rsidRDefault="00861989" w:rsidP="00861989">
      <w:pPr>
        <w:numPr>
          <w:ilvl w:val="0"/>
          <w:numId w:val="6"/>
        </w:numPr>
        <w:spacing w:line="240" w:lineRule="auto"/>
      </w:pPr>
      <w:r>
        <w:t>Education (drop-down box)</w:t>
      </w:r>
    </w:p>
    <w:p w14:paraId="40C1F629" w14:textId="77777777" w:rsidR="00861989" w:rsidRDefault="00861989" w:rsidP="00861989">
      <w:pPr>
        <w:numPr>
          <w:ilvl w:val="1"/>
          <w:numId w:val="6"/>
        </w:numPr>
        <w:spacing w:line="240" w:lineRule="auto"/>
      </w:pPr>
      <w:r>
        <w:t xml:space="preserve">For all labs except two, this question was presented as follows: </w:t>
      </w:r>
    </w:p>
    <w:p w14:paraId="6C0D5158" w14:textId="77777777" w:rsidR="00861989" w:rsidRDefault="00861989" w:rsidP="00861989">
      <w:pPr>
        <w:numPr>
          <w:ilvl w:val="2"/>
          <w:numId w:val="6"/>
        </w:numPr>
        <w:spacing w:line="240" w:lineRule="auto"/>
      </w:pPr>
      <w:r>
        <w:t>“How many years did you attend school?”</w:t>
      </w:r>
    </w:p>
    <w:p w14:paraId="55F694A1" w14:textId="77777777" w:rsidR="00861989" w:rsidRDefault="00861989" w:rsidP="00861989">
      <w:pPr>
        <w:numPr>
          <w:ilvl w:val="3"/>
          <w:numId w:val="6"/>
        </w:numPr>
        <w:spacing w:line="240" w:lineRule="auto"/>
      </w:pPr>
      <w:r>
        <w:t xml:space="preserve">Drop-down box with options 1 through 17. </w:t>
      </w:r>
    </w:p>
    <w:p w14:paraId="6FB0C179" w14:textId="77777777" w:rsidR="00861989" w:rsidRDefault="00861989" w:rsidP="00861989">
      <w:pPr>
        <w:numPr>
          <w:ilvl w:val="1"/>
          <w:numId w:val="6"/>
        </w:numPr>
        <w:spacing w:line="240" w:lineRule="auto"/>
      </w:pPr>
      <w:r>
        <w:t xml:space="preserve">For two labs (AC2054 and ACTURK), this question was presented as follows: </w:t>
      </w:r>
    </w:p>
    <w:p w14:paraId="6AFB28C1" w14:textId="77777777" w:rsidR="00861989" w:rsidRDefault="00861989" w:rsidP="00861989">
      <w:pPr>
        <w:numPr>
          <w:ilvl w:val="2"/>
          <w:numId w:val="6"/>
        </w:numPr>
        <w:spacing w:line="240" w:lineRule="auto"/>
      </w:pPr>
      <w:r>
        <w:t xml:space="preserve">“What is your highest level of education attained?” </w:t>
      </w:r>
    </w:p>
    <w:p w14:paraId="4057603C" w14:textId="77777777" w:rsidR="00861989" w:rsidRDefault="00861989" w:rsidP="00861989">
      <w:pPr>
        <w:numPr>
          <w:ilvl w:val="3"/>
          <w:numId w:val="6"/>
        </w:numPr>
        <w:spacing w:line="240" w:lineRule="auto"/>
      </w:pPr>
      <w:r>
        <w:t>Drop-down box with these options: Less than high school, high school diploma (or GED), some college or a 2-year college degree (A.A.), 4-year college degree (B.A., B.S.), Master’s degree (M.A., M.S.), Graduate or professional degree (J.D., Ph.D., M.D.)</w:t>
      </w:r>
    </w:p>
    <w:p w14:paraId="7313BBD4" w14:textId="77777777" w:rsidR="00861989" w:rsidRDefault="00861989" w:rsidP="00861989">
      <w:pPr>
        <w:spacing w:line="240" w:lineRule="auto"/>
        <w:rPr>
          <w:b/>
        </w:rPr>
      </w:pPr>
      <w:r>
        <w:rPr>
          <w:b/>
        </w:rPr>
        <w:t>Exclusion Questions</w:t>
      </w:r>
    </w:p>
    <w:p w14:paraId="5719B2A5" w14:textId="77777777" w:rsidR="00861989" w:rsidRDefault="00861989" w:rsidP="00861989">
      <w:pPr>
        <w:numPr>
          <w:ilvl w:val="0"/>
          <w:numId w:val="2"/>
        </w:numPr>
        <w:spacing w:line="240" w:lineRule="auto"/>
      </w:pPr>
      <w:r>
        <w:t>Self-assessed language proficiency</w:t>
      </w:r>
    </w:p>
    <w:p w14:paraId="0FE73CE2" w14:textId="77777777" w:rsidR="00861989" w:rsidRDefault="00861989" w:rsidP="00861989">
      <w:pPr>
        <w:numPr>
          <w:ilvl w:val="1"/>
          <w:numId w:val="2"/>
        </w:numPr>
        <w:spacing w:line="240" w:lineRule="auto"/>
      </w:pPr>
      <w:r>
        <w:t>“How well do you speak [</w:t>
      </w:r>
      <w:r>
        <w:rPr>
          <w:i/>
        </w:rPr>
        <w:t>insert survey language here</w:t>
      </w:r>
      <w:r>
        <w:t>]?”</w:t>
      </w:r>
    </w:p>
    <w:p w14:paraId="351774E2" w14:textId="77777777" w:rsidR="00861989" w:rsidRDefault="00861989" w:rsidP="00861989">
      <w:pPr>
        <w:numPr>
          <w:ilvl w:val="2"/>
          <w:numId w:val="2"/>
        </w:numPr>
        <w:spacing w:line="240" w:lineRule="auto"/>
      </w:pPr>
      <w:r>
        <w:t>Very well, well, not very good, not good at all</w:t>
      </w:r>
    </w:p>
    <w:p w14:paraId="5FEBC037" w14:textId="77777777" w:rsidR="00861989" w:rsidRDefault="00861989" w:rsidP="00861989">
      <w:pPr>
        <w:numPr>
          <w:ilvl w:val="0"/>
          <w:numId w:val="2"/>
        </w:numPr>
        <w:spacing w:line="240" w:lineRule="auto"/>
      </w:pPr>
      <w:r>
        <w:t>Study purpose</w:t>
      </w:r>
    </w:p>
    <w:p w14:paraId="7239EE12" w14:textId="77777777" w:rsidR="00861989" w:rsidRDefault="00861989" w:rsidP="00861989">
      <w:pPr>
        <w:numPr>
          <w:ilvl w:val="1"/>
          <w:numId w:val="2"/>
        </w:numPr>
        <w:spacing w:line="240" w:lineRule="auto"/>
      </w:pPr>
      <w:r>
        <w:t>“What do you think is the purpose of this study?”</w:t>
      </w:r>
    </w:p>
    <w:p w14:paraId="336F1E8D" w14:textId="77777777" w:rsidR="00861989" w:rsidRDefault="00861989" w:rsidP="00861989">
      <w:pPr>
        <w:numPr>
          <w:ilvl w:val="0"/>
          <w:numId w:val="2"/>
        </w:numPr>
        <w:spacing w:line="240" w:lineRule="auto"/>
      </w:pPr>
      <w:r>
        <w:t>Impression of materials</w:t>
      </w:r>
    </w:p>
    <w:p w14:paraId="48F3E45C" w14:textId="77777777" w:rsidR="00861989" w:rsidRDefault="00861989" w:rsidP="00861989">
      <w:pPr>
        <w:numPr>
          <w:ilvl w:val="1"/>
          <w:numId w:val="2"/>
        </w:numPr>
        <w:spacing w:line="240" w:lineRule="auto"/>
      </w:pPr>
      <w:r>
        <w:t>“What was your impression of the materials in this study?”</w:t>
      </w:r>
    </w:p>
    <w:p w14:paraId="4F8C6ECB" w14:textId="77777777" w:rsidR="00861989" w:rsidRDefault="00861989" w:rsidP="00861989">
      <w:pPr>
        <w:numPr>
          <w:ilvl w:val="0"/>
          <w:numId w:val="2"/>
        </w:numPr>
        <w:spacing w:line="240" w:lineRule="auto"/>
      </w:pPr>
      <w:r>
        <w:t>Previous participation in a similar study</w:t>
      </w:r>
    </w:p>
    <w:p w14:paraId="598345A0" w14:textId="77777777" w:rsidR="00861989" w:rsidRDefault="00861989" w:rsidP="00861989">
      <w:pPr>
        <w:numPr>
          <w:ilvl w:val="1"/>
          <w:numId w:val="2"/>
        </w:numPr>
        <w:spacing w:line="240" w:lineRule="auto"/>
      </w:pPr>
      <w:r>
        <w:t>“Have you ever participated in a similar study?”</w:t>
      </w:r>
    </w:p>
    <w:p w14:paraId="1C12E9D6" w14:textId="77777777" w:rsidR="00861989" w:rsidRDefault="00861989" w:rsidP="00861989">
      <w:pPr>
        <w:spacing w:line="240" w:lineRule="auto"/>
        <w:ind w:left="720"/>
      </w:pPr>
    </w:p>
    <w:p w14:paraId="1CA18100" w14:textId="77777777" w:rsidR="00861989" w:rsidRDefault="00861989" w:rsidP="00861989">
      <w:pPr>
        <w:spacing w:line="256" w:lineRule="auto"/>
        <w:rPr>
          <w:b/>
        </w:rPr>
      </w:pPr>
      <w:r>
        <w:rPr>
          <w:b/>
        </w:rPr>
        <w:t>The Study Experience Questionnaire</w:t>
      </w:r>
    </w:p>
    <w:p w14:paraId="7ADE90B2" w14:textId="77777777" w:rsidR="00861989" w:rsidRDefault="00861989" w:rsidP="00861989">
      <w:pPr>
        <w:spacing w:line="256" w:lineRule="auto"/>
      </w:pPr>
      <w:r>
        <w:t>The following questionnaire is your chance to give feedback on the study you have just participated in.</w:t>
      </w:r>
    </w:p>
    <w:p w14:paraId="4762099B" w14:textId="77777777" w:rsidR="00861989" w:rsidRDefault="00861989" w:rsidP="00861989">
      <w:pPr>
        <w:spacing w:line="256" w:lineRule="auto"/>
      </w:pPr>
      <w:r>
        <w:t xml:space="preserve"> </w:t>
      </w:r>
    </w:p>
    <w:p w14:paraId="17174C6A" w14:textId="77777777" w:rsidR="00861989" w:rsidRDefault="00861989" w:rsidP="00861989">
      <w:pPr>
        <w:spacing w:line="256" w:lineRule="auto"/>
      </w:pPr>
      <w:r>
        <w:t>Please use the following anchors to describe your experience of this study.</w:t>
      </w:r>
    </w:p>
    <w:p w14:paraId="73DB2E76" w14:textId="77777777" w:rsidR="00861989" w:rsidRDefault="00861989" w:rsidP="00861989">
      <w:pPr>
        <w:spacing w:line="256" w:lineRule="auto"/>
      </w:pPr>
      <w:r>
        <w:t xml:space="preserve">Please circle the number that best represents your experience of the study relative to the two ends of the scale. Note that a ‘5’ is the middle of a scale and can be used if you are not sure of an answer.   </w:t>
      </w:r>
    </w:p>
    <w:p w14:paraId="3A92484C" w14:textId="77777777" w:rsidR="00861989" w:rsidRDefault="00861989" w:rsidP="00861989">
      <w:pPr>
        <w:spacing w:line="256" w:lineRule="auto"/>
      </w:pPr>
      <w:r>
        <w:t xml:space="preserve"> </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75"/>
        <w:gridCol w:w="3870"/>
      </w:tblGrid>
      <w:tr w:rsidR="00861989" w14:paraId="40363BDD" w14:textId="77777777" w:rsidTr="00EA09C7">
        <w:trPr>
          <w:trHeight w:val="600"/>
        </w:trPr>
        <w:tc>
          <w:tcPr>
            <w:tcW w:w="9000" w:type="dxa"/>
            <w:gridSpan w:val="3"/>
            <w:tcBorders>
              <w:top w:val="single" w:sz="8" w:space="0" w:color="000000"/>
              <w:left w:val="single" w:sz="8" w:space="0" w:color="000000"/>
              <w:bottom w:val="nil"/>
              <w:right w:val="single" w:sz="8" w:space="0" w:color="000000"/>
            </w:tcBorders>
            <w:tcMar>
              <w:top w:w="100" w:type="dxa"/>
              <w:left w:w="100" w:type="dxa"/>
              <w:bottom w:w="100" w:type="dxa"/>
              <w:right w:w="100" w:type="dxa"/>
            </w:tcMar>
          </w:tcPr>
          <w:p w14:paraId="18EC66F3" w14:textId="77777777" w:rsidR="00861989" w:rsidRDefault="00861989" w:rsidP="00EA09C7">
            <w:pPr>
              <w:jc w:val="center"/>
              <w:rPr>
                <w:b/>
                <w:sz w:val="20"/>
                <w:szCs w:val="20"/>
              </w:rPr>
            </w:pPr>
            <w:r>
              <w:rPr>
                <w:b/>
                <w:sz w:val="20"/>
                <w:szCs w:val="20"/>
              </w:rPr>
              <w:t>How much did you enjoy the study?</w:t>
            </w:r>
          </w:p>
        </w:tc>
      </w:tr>
      <w:tr w:rsidR="00861989" w14:paraId="59DD8E99" w14:textId="77777777" w:rsidTr="00EA09C7">
        <w:trPr>
          <w:trHeight w:val="5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7BA360FA" w14:textId="77777777" w:rsidR="00861989" w:rsidRDefault="00861989" w:rsidP="00EA09C7">
            <w:pPr>
              <w:widowControl w:val="0"/>
              <w:rPr>
                <w:sz w:val="20"/>
                <w:szCs w:val="20"/>
              </w:rPr>
            </w:pPr>
            <w:r>
              <w:rPr>
                <w:sz w:val="20"/>
                <w:szCs w:val="20"/>
              </w:rPr>
              <w:t>I enjoyed the study a lot</w:t>
            </w:r>
          </w:p>
        </w:tc>
        <w:tc>
          <w:tcPr>
            <w:tcW w:w="1275" w:type="dxa"/>
            <w:tcBorders>
              <w:top w:val="nil"/>
              <w:left w:val="nil"/>
              <w:bottom w:val="nil"/>
              <w:right w:val="nil"/>
            </w:tcBorders>
            <w:shd w:val="clear" w:color="auto" w:fill="auto"/>
            <w:tcMar>
              <w:top w:w="100" w:type="dxa"/>
              <w:left w:w="100" w:type="dxa"/>
              <w:bottom w:w="100" w:type="dxa"/>
              <w:right w:w="100" w:type="dxa"/>
            </w:tcMar>
          </w:tcPr>
          <w:p w14:paraId="45CC52E7" w14:textId="77777777" w:rsidR="00861989" w:rsidRDefault="00861989" w:rsidP="00EA09C7">
            <w:pPr>
              <w:jc w:val="center"/>
              <w:rPr>
                <w:sz w:val="20"/>
                <w:szCs w:val="20"/>
              </w:rPr>
            </w:pPr>
            <w:r>
              <w:rPr>
                <w:sz w:val="20"/>
                <w:szCs w:val="20"/>
              </w:rPr>
              <w:t>Not sure</w:t>
            </w:r>
          </w:p>
        </w:tc>
        <w:tc>
          <w:tcPr>
            <w:tcW w:w="3870" w:type="dxa"/>
            <w:tcBorders>
              <w:top w:val="nil"/>
              <w:left w:val="nil"/>
              <w:bottom w:val="nil"/>
              <w:right w:val="single" w:sz="8" w:space="0" w:color="000000"/>
            </w:tcBorders>
            <w:shd w:val="clear" w:color="auto" w:fill="auto"/>
            <w:tcMar>
              <w:top w:w="100" w:type="dxa"/>
              <w:left w:w="100" w:type="dxa"/>
              <w:bottom w:w="100" w:type="dxa"/>
              <w:right w:w="100" w:type="dxa"/>
            </w:tcMar>
          </w:tcPr>
          <w:p w14:paraId="4A9539F7" w14:textId="77777777" w:rsidR="00861989" w:rsidRDefault="00861989" w:rsidP="00EA09C7">
            <w:pPr>
              <w:jc w:val="right"/>
              <w:rPr>
                <w:sz w:val="20"/>
                <w:szCs w:val="20"/>
              </w:rPr>
            </w:pPr>
            <w:r>
              <w:rPr>
                <w:sz w:val="20"/>
                <w:szCs w:val="20"/>
              </w:rPr>
              <w:t>I did</w:t>
            </w:r>
            <w:r>
              <w:rPr>
                <w:b/>
                <w:sz w:val="20"/>
                <w:szCs w:val="20"/>
              </w:rPr>
              <w:t xml:space="preserve"> not</w:t>
            </w:r>
            <w:r>
              <w:rPr>
                <w:sz w:val="20"/>
                <w:szCs w:val="20"/>
              </w:rPr>
              <w:t xml:space="preserve"> enjoy the study at all</w:t>
            </w:r>
          </w:p>
        </w:tc>
      </w:tr>
      <w:tr w:rsidR="00861989" w14:paraId="5A5C7F4D" w14:textId="77777777" w:rsidTr="00EA09C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B46391" w14:textId="77777777" w:rsidR="00861989" w:rsidRDefault="00861989" w:rsidP="00EA09C7">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298C8DB5" w14:textId="77777777" w:rsidR="00861989" w:rsidRDefault="00861989" w:rsidP="00861989">
      <w:pPr>
        <w:spacing w:line="256" w:lineRule="auto"/>
        <w:rPr>
          <w:sz w:val="20"/>
          <w:szCs w:val="20"/>
        </w:rPr>
      </w:pPr>
      <w:r>
        <w:rPr>
          <w:sz w:val="20"/>
          <w:szCs w:val="20"/>
        </w:rPr>
        <w:t xml:space="preserve"> </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60"/>
        <w:gridCol w:w="3885"/>
      </w:tblGrid>
      <w:tr w:rsidR="00861989" w14:paraId="7B300420" w14:textId="77777777" w:rsidTr="00EA09C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10251F57" w14:textId="77777777" w:rsidR="00861989" w:rsidRDefault="00861989" w:rsidP="00EA09C7">
            <w:pPr>
              <w:jc w:val="center"/>
              <w:rPr>
                <w:b/>
                <w:sz w:val="20"/>
                <w:szCs w:val="20"/>
              </w:rPr>
            </w:pPr>
            <w:r>
              <w:rPr>
                <w:b/>
                <w:sz w:val="20"/>
                <w:szCs w:val="20"/>
              </w:rPr>
              <w:lastRenderedPageBreak/>
              <w:t>How nervous were you during the study?</w:t>
            </w:r>
          </w:p>
        </w:tc>
      </w:tr>
      <w:tr w:rsidR="00861989" w14:paraId="6D9D20A3" w14:textId="77777777" w:rsidTr="00EA09C7">
        <w:trPr>
          <w:trHeight w:val="5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7C1B3050" w14:textId="77777777" w:rsidR="00861989" w:rsidRDefault="00861989" w:rsidP="00EA09C7">
            <w:pPr>
              <w:widowControl w:val="0"/>
              <w:rPr>
                <w:sz w:val="20"/>
                <w:szCs w:val="20"/>
              </w:rPr>
            </w:pPr>
            <w:r>
              <w:rPr>
                <w:sz w:val="20"/>
                <w:szCs w:val="20"/>
              </w:rPr>
              <w:t>I was very nervous during the study</w:t>
            </w:r>
          </w:p>
        </w:tc>
        <w:tc>
          <w:tcPr>
            <w:tcW w:w="1260" w:type="dxa"/>
            <w:tcBorders>
              <w:top w:val="nil"/>
              <w:left w:val="nil"/>
              <w:bottom w:val="nil"/>
              <w:right w:val="nil"/>
            </w:tcBorders>
            <w:shd w:val="clear" w:color="auto" w:fill="auto"/>
            <w:tcMar>
              <w:top w:w="100" w:type="dxa"/>
              <w:left w:w="100" w:type="dxa"/>
              <w:bottom w:w="100" w:type="dxa"/>
              <w:right w:w="100" w:type="dxa"/>
            </w:tcMar>
          </w:tcPr>
          <w:p w14:paraId="3A197475" w14:textId="77777777" w:rsidR="00861989" w:rsidRDefault="00861989" w:rsidP="00EA09C7">
            <w:pPr>
              <w:jc w:val="center"/>
              <w:rPr>
                <w:sz w:val="20"/>
                <w:szCs w:val="20"/>
              </w:rPr>
            </w:pPr>
            <w:r>
              <w:rPr>
                <w:sz w:val="20"/>
                <w:szCs w:val="20"/>
              </w:rPr>
              <w:t>Not sure</w:t>
            </w:r>
          </w:p>
        </w:tc>
        <w:tc>
          <w:tcPr>
            <w:tcW w:w="3885" w:type="dxa"/>
            <w:tcBorders>
              <w:top w:val="nil"/>
              <w:left w:val="nil"/>
              <w:bottom w:val="nil"/>
              <w:right w:val="single" w:sz="8" w:space="0" w:color="000000"/>
            </w:tcBorders>
            <w:shd w:val="clear" w:color="auto" w:fill="auto"/>
            <w:tcMar>
              <w:top w:w="100" w:type="dxa"/>
              <w:left w:w="100" w:type="dxa"/>
              <w:bottom w:w="100" w:type="dxa"/>
              <w:right w:w="100" w:type="dxa"/>
            </w:tcMar>
          </w:tcPr>
          <w:p w14:paraId="7D958F08" w14:textId="77777777" w:rsidR="00861989" w:rsidRDefault="00861989" w:rsidP="00EA09C7">
            <w:pPr>
              <w:jc w:val="right"/>
              <w:rPr>
                <w:sz w:val="20"/>
                <w:szCs w:val="20"/>
              </w:rPr>
            </w:pPr>
            <w:r>
              <w:rPr>
                <w:sz w:val="20"/>
                <w:szCs w:val="20"/>
              </w:rPr>
              <w:t xml:space="preserve">I was </w:t>
            </w:r>
            <w:r>
              <w:rPr>
                <w:b/>
                <w:sz w:val="20"/>
                <w:szCs w:val="20"/>
              </w:rPr>
              <w:t>not</w:t>
            </w:r>
            <w:r>
              <w:rPr>
                <w:sz w:val="20"/>
                <w:szCs w:val="20"/>
              </w:rPr>
              <w:t xml:space="preserve"> nervous during the study at all</w:t>
            </w:r>
          </w:p>
        </w:tc>
      </w:tr>
      <w:tr w:rsidR="00861989" w14:paraId="742FB2A7" w14:textId="77777777" w:rsidTr="00EA09C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F9FB6F" w14:textId="77777777" w:rsidR="00861989" w:rsidRDefault="00861989" w:rsidP="00EA09C7">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64E5AEFF" w14:textId="77777777" w:rsidR="00861989" w:rsidRDefault="00861989" w:rsidP="00861989">
      <w:pPr>
        <w:spacing w:line="256" w:lineRule="auto"/>
        <w:rPr>
          <w:sz w:val="20"/>
          <w:szCs w:val="20"/>
        </w:rPr>
      </w:pPr>
      <w:r>
        <w:rPr>
          <w:sz w:val="20"/>
          <w:szCs w:val="20"/>
        </w:rPr>
        <w:t xml:space="preserve"> </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75"/>
        <w:gridCol w:w="3840"/>
      </w:tblGrid>
      <w:tr w:rsidR="00861989" w14:paraId="2E477771" w14:textId="77777777" w:rsidTr="00EA09C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5A775011" w14:textId="77777777" w:rsidR="00861989" w:rsidRDefault="00861989" w:rsidP="00EA09C7">
            <w:pPr>
              <w:jc w:val="center"/>
              <w:rPr>
                <w:b/>
                <w:sz w:val="20"/>
                <w:szCs w:val="20"/>
              </w:rPr>
            </w:pPr>
            <w:r>
              <w:rPr>
                <w:b/>
                <w:sz w:val="20"/>
                <w:szCs w:val="20"/>
              </w:rPr>
              <w:t>How difficult did you find the study?</w:t>
            </w:r>
          </w:p>
        </w:tc>
      </w:tr>
      <w:tr w:rsidR="00861989" w14:paraId="49973FF9" w14:textId="77777777" w:rsidTr="00EA09C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06BDE6AC" w14:textId="77777777" w:rsidR="00861989" w:rsidRDefault="00861989" w:rsidP="00EA09C7">
            <w:pPr>
              <w:widowControl w:val="0"/>
              <w:rPr>
                <w:sz w:val="20"/>
                <w:szCs w:val="20"/>
              </w:rPr>
            </w:pPr>
            <w:r>
              <w:rPr>
                <w:sz w:val="20"/>
                <w:szCs w:val="20"/>
              </w:rPr>
              <w:t>I found the study tasks very difficult to complete</w:t>
            </w:r>
          </w:p>
        </w:tc>
        <w:tc>
          <w:tcPr>
            <w:tcW w:w="1275" w:type="dxa"/>
            <w:tcBorders>
              <w:top w:val="nil"/>
              <w:left w:val="nil"/>
              <w:bottom w:val="nil"/>
              <w:right w:val="nil"/>
            </w:tcBorders>
            <w:shd w:val="clear" w:color="auto" w:fill="auto"/>
            <w:tcMar>
              <w:top w:w="100" w:type="dxa"/>
              <w:left w:w="100" w:type="dxa"/>
              <w:bottom w:w="100" w:type="dxa"/>
              <w:right w:w="100" w:type="dxa"/>
            </w:tcMar>
          </w:tcPr>
          <w:p w14:paraId="3E4705F0" w14:textId="77777777" w:rsidR="00861989" w:rsidRDefault="00861989" w:rsidP="00EA09C7">
            <w:pPr>
              <w:jc w:val="center"/>
              <w:rPr>
                <w:sz w:val="20"/>
                <w:szCs w:val="20"/>
              </w:rPr>
            </w:pPr>
            <w:r>
              <w:rPr>
                <w:sz w:val="20"/>
                <w:szCs w:val="20"/>
              </w:rPr>
              <w:t>Not sure</w:t>
            </w:r>
          </w:p>
        </w:tc>
        <w:tc>
          <w:tcPr>
            <w:tcW w:w="3840" w:type="dxa"/>
            <w:tcBorders>
              <w:top w:val="nil"/>
              <w:left w:val="nil"/>
              <w:bottom w:val="nil"/>
              <w:right w:val="single" w:sz="8" w:space="0" w:color="000000"/>
            </w:tcBorders>
            <w:shd w:val="clear" w:color="auto" w:fill="auto"/>
            <w:tcMar>
              <w:top w:w="100" w:type="dxa"/>
              <w:left w:w="100" w:type="dxa"/>
              <w:bottom w:w="100" w:type="dxa"/>
              <w:right w:w="100" w:type="dxa"/>
            </w:tcMar>
          </w:tcPr>
          <w:p w14:paraId="45BB9D88" w14:textId="77777777" w:rsidR="00861989" w:rsidRDefault="00861989" w:rsidP="00EA09C7">
            <w:pPr>
              <w:jc w:val="right"/>
              <w:rPr>
                <w:sz w:val="20"/>
                <w:szCs w:val="20"/>
              </w:rPr>
            </w:pPr>
            <w:r>
              <w:rPr>
                <w:sz w:val="20"/>
                <w:szCs w:val="20"/>
              </w:rPr>
              <w:t xml:space="preserve">I did </w:t>
            </w:r>
            <w:r>
              <w:rPr>
                <w:b/>
                <w:sz w:val="20"/>
                <w:szCs w:val="20"/>
              </w:rPr>
              <w:t>not</w:t>
            </w:r>
            <w:r>
              <w:rPr>
                <w:sz w:val="20"/>
                <w:szCs w:val="20"/>
              </w:rPr>
              <w:t xml:space="preserve"> find the study tasks difficult to complete at all</w:t>
            </w:r>
          </w:p>
        </w:tc>
      </w:tr>
      <w:tr w:rsidR="00861989" w14:paraId="634F1192" w14:textId="77777777" w:rsidTr="00EA09C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7E1DEE" w14:textId="77777777" w:rsidR="00861989" w:rsidRDefault="00861989" w:rsidP="00EA09C7">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6B61ED45" w14:textId="77777777" w:rsidR="00861989" w:rsidRDefault="00861989" w:rsidP="00861989">
      <w:pPr>
        <w:spacing w:line="256" w:lineRule="auto"/>
        <w:rPr>
          <w:sz w:val="20"/>
          <w:szCs w:val="20"/>
        </w:rPr>
      </w:pPr>
      <w:r>
        <w:rPr>
          <w:sz w:val="20"/>
          <w:szCs w:val="20"/>
        </w:rPr>
        <w:t xml:space="preserve"> </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75"/>
        <w:gridCol w:w="3870"/>
      </w:tblGrid>
      <w:tr w:rsidR="00861989" w14:paraId="579181CF" w14:textId="77777777" w:rsidTr="00EA09C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26D86B1A" w14:textId="77777777" w:rsidR="00861989" w:rsidRDefault="00861989" w:rsidP="00EA09C7">
            <w:pPr>
              <w:jc w:val="center"/>
              <w:rPr>
                <w:b/>
                <w:sz w:val="20"/>
                <w:szCs w:val="20"/>
              </w:rPr>
            </w:pPr>
            <w:r>
              <w:rPr>
                <w:b/>
                <w:sz w:val="20"/>
                <w:szCs w:val="20"/>
              </w:rPr>
              <w:t>How boring did you find the study?</w:t>
            </w:r>
          </w:p>
        </w:tc>
      </w:tr>
      <w:tr w:rsidR="00861989" w14:paraId="23C63714" w14:textId="77777777" w:rsidTr="00EA09C7">
        <w:trPr>
          <w:trHeight w:val="5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042DD957" w14:textId="77777777" w:rsidR="00861989" w:rsidRDefault="00861989" w:rsidP="00EA09C7">
            <w:pPr>
              <w:widowControl w:val="0"/>
              <w:rPr>
                <w:color w:val="404040"/>
                <w:sz w:val="20"/>
                <w:szCs w:val="20"/>
              </w:rPr>
            </w:pPr>
            <w:r>
              <w:rPr>
                <w:color w:val="404040"/>
                <w:sz w:val="20"/>
                <w:szCs w:val="20"/>
              </w:rPr>
              <w:t>I found the study task very boring</w:t>
            </w:r>
          </w:p>
        </w:tc>
        <w:tc>
          <w:tcPr>
            <w:tcW w:w="1275" w:type="dxa"/>
            <w:tcBorders>
              <w:top w:val="nil"/>
              <w:left w:val="nil"/>
              <w:bottom w:val="nil"/>
              <w:right w:val="nil"/>
            </w:tcBorders>
            <w:shd w:val="clear" w:color="auto" w:fill="auto"/>
            <w:tcMar>
              <w:top w:w="100" w:type="dxa"/>
              <w:left w:w="100" w:type="dxa"/>
              <w:bottom w:w="100" w:type="dxa"/>
              <w:right w:w="100" w:type="dxa"/>
            </w:tcMar>
          </w:tcPr>
          <w:p w14:paraId="6DF78ABC" w14:textId="77777777" w:rsidR="00861989" w:rsidRDefault="00861989" w:rsidP="00EA09C7">
            <w:pPr>
              <w:jc w:val="center"/>
              <w:rPr>
                <w:sz w:val="20"/>
                <w:szCs w:val="20"/>
              </w:rPr>
            </w:pPr>
            <w:r>
              <w:rPr>
                <w:sz w:val="20"/>
                <w:szCs w:val="20"/>
              </w:rPr>
              <w:t>Not sure</w:t>
            </w:r>
          </w:p>
        </w:tc>
        <w:tc>
          <w:tcPr>
            <w:tcW w:w="3870" w:type="dxa"/>
            <w:tcBorders>
              <w:top w:val="nil"/>
              <w:left w:val="nil"/>
              <w:bottom w:val="nil"/>
              <w:right w:val="single" w:sz="8" w:space="0" w:color="000000"/>
            </w:tcBorders>
            <w:shd w:val="clear" w:color="auto" w:fill="auto"/>
            <w:tcMar>
              <w:top w:w="100" w:type="dxa"/>
              <w:left w:w="100" w:type="dxa"/>
              <w:bottom w:w="100" w:type="dxa"/>
              <w:right w:w="100" w:type="dxa"/>
            </w:tcMar>
          </w:tcPr>
          <w:p w14:paraId="4C924DF9" w14:textId="77777777" w:rsidR="00861989" w:rsidRDefault="00861989" w:rsidP="00EA09C7">
            <w:pPr>
              <w:jc w:val="right"/>
              <w:rPr>
                <w:color w:val="404040"/>
                <w:sz w:val="20"/>
                <w:szCs w:val="20"/>
              </w:rPr>
            </w:pPr>
            <w:r>
              <w:rPr>
                <w:color w:val="404040"/>
                <w:sz w:val="20"/>
                <w:szCs w:val="20"/>
              </w:rPr>
              <w:t xml:space="preserve">I did </w:t>
            </w:r>
            <w:r>
              <w:rPr>
                <w:b/>
                <w:color w:val="404040"/>
                <w:sz w:val="20"/>
                <w:szCs w:val="20"/>
              </w:rPr>
              <w:t>not</w:t>
            </w:r>
            <w:r>
              <w:rPr>
                <w:color w:val="404040"/>
                <w:sz w:val="20"/>
                <w:szCs w:val="20"/>
              </w:rPr>
              <w:t xml:space="preserve"> find the study activity boring at all</w:t>
            </w:r>
          </w:p>
        </w:tc>
      </w:tr>
      <w:tr w:rsidR="00861989" w14:paraId="3EC692AE" w14:textId="77777777" w:rsidTr="00EA09C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3BCA25" w14:textId="77777777" w:rsidR="00861989" w:rsidRDefault="00861989" w:rsidP="00EA09C7">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62F6019D" w14:textId="77777777" w:rsidR="00861989" w:rsidRDefault="00861989" w:rsidP="00861989">
      <w:pPr>
        <w:spacing w:line="256" w:lineRule="auto"/>
        <w:rPr>
          <w:sz w:val="20"/>
          <w:szCs w:val="20"/>
        </w:rPr>
      </w:pPr>
      <w:r>
        <w:rPr>
          <w:sz w:val="20"/>
          <w:szCs w:val="20"/>
        </w:rPr>
        <w:t xml:space="preserve"> </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75"/>
        <w:gridCol w:w="3870"/>
      </w:tblGrid>
      <w:tr w:rsidR="00861989" w14:paraId="70D371A9" w14:textId="77777777" w:rsidTr="00EA09C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12A8CD2A" w14:textId="77777777" w:rsidR="00861989" w:rsidRDefault="00861989" w:rsidP="00EA09C7">
            <w:pPr>
              <w:jc w:val="center"/>
              <w:rPr>
                <w:b/>
                <w:sz w:val="20"/>
                <w:szCs w:val="20"/>
              </w:rPr>
            </w:pPr>
            <w:r>
              <w:rPr>
                <w:b/>
                <w:sz w:val="20"/>
                <w:szCs w:val="20"/>
              </w:rPr>
              <w:t>How tiring did you find the study?</w:t>
            </w:r>
          </w:p>
        </w:tc>
      </w:tr>
      <w:tr w:rsidR="00861989" w14:paraId="1D0AD80F" w14:textId="77777777" w:rsidTr="00EA09C7">
        <w:trPr>
          <w:trHeight w:val="5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7ABC6371" w14:textId="77777777" w:rsidR="00861989" w:rsidRDefault="00861989" w:rsidP="00EA09C7">
            <w:pPr>
              <w:widowControl w:val="0"/>
              <w:rPr>
                <w:color w:val="404040"/>
                <w:sz w:val="20"/>
                <w:szCs w:val="20"/>
              </w:rPr>
            </w:pPr>
            <w:r>
              <w:rPr>
                <w:color w:val="404040"/>
                <w:sz w:val="20"/>
                <w:szCs w:val="20"/>
              </w:rPr>
              <w:t>I found the study task very tiring</w:t>
            </w:r>
          </w:p>
        </w:tc>
        <w:tc>
          <w:tcPr>
            <w:tcW w:w="1275" w:type="dxa"/>
            <w:tcBorders>
              <w:top w:val="nil"/>
              <w:left w:val="nil"/>
              <w:bottom w:val="nil"/>
              <w:right w:val="nil"/>
            </w:tcBorders>
            <w:shd w:val="clear" w:color="auto" w:fill="auto"/>
            <w:tcMar>
              <w:top w:w="100" w:type="dxa"/>
              <w:left w:w="100" w:type="dxa"/>
              <w:bottom w:w="100" w:type="dxa"/>
              <w:right w:w="100" w:type="dxa"/>
            </w:tcMar>
          </w:tcPr>
          <w:p w14:paraId="283FDA6B" w14:textId="77777777" w:rsidR="00861989" w:rsidRDefault="00861989" w:rsidP="00EA09C7">
            <w:pPr>
              <w:jc w:val="center"/>
              <w:rPr>
                <w:sz w:val="20"/>
                <w:szCs w:val="20"/>
              </w:rPr>
            </w:pPr>
            <w:r>
              <w:rPr>
                <w:sz w:val="20"/>
                <w:szCs w:val="20"/>
              </w:rPr>
              <w:t>Not sure</w:t>
            </w:r>
          </w:p>
        </w:tc>
        <w:tc>
          <w:tcPr>
            <w:tcW w:w="3870" w:type="dxa"/>
            <w:tcBorders>
              <w:top w:val="nil"/>
              <w:left w:val="nil"/>
              <w:bottom w:val="nil"/>
              <w:right w:val="single" w:sz="8" w:space="0" w:color="000000"/>
            </w:tcBorders>
            <w:shd w:val="clear" w:color="auto" w:fill="auto"/>
            <w:tcMar>
              <w:top w:w="100" w:type="dxa"/>
              <w:left w:w="100" w:type="dxa"/>
              <w:bottom w:w="100" w:type="dxa"/>
              <w:right w:w="100" w:type="dxa"/>
            </w:tcMar>
          </w:tcPr>
          <w:p w14:paraId="34AAF1CB" w14:textId="77777777" w:rsidR="00861989" w:rsidRDefault="00861989" w:rsidP="00EA09C7">
            <w:pPr>
              <w:jc w:val="right"/>
              <w:rPr>
                <w:color w:val="404040"/>
                <w:sz w:val="20"/>
                <w:szCs w:val="20"/>
              </w:rPr>
            </w:pPr>
            <w:r>
              <w:rPr>
                <w:color w:val="404040"/>
                <w:sz w:val="20"/>
                <w:szCs w:val="20"/>
              </w:rPr>
              <w:t xml:space="preserve">I did </w:t>
            </w:r>
            <w:r>
              <w:rPr>
                <w:b/>
                <w:color w:val="404040"/>
                <w:sz w:val="20"/>
                <w:szCs w:val="20"/>
              </w:rPr>
              <w:t>not</w:t>
            </w:r>
            <w:r>
              <w:rPr>
                <w:color w:val="404040"/>
                <w:sz w:val="20"/>
                <w:szCs w:val="20"/>
              </w:rPr>
              <w:t xml:space="preserve"> find the study task tiring at all</w:t>
            </w:r>
          </w:p>
        </w:tc>
      </w:tr>
      <w:tr w:rsidR="00861989" w14:paraId="1ECAD4AB" w14:textId="77777777" w:rsidTr="00EA09C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0F6CB9" w14:textId="77777777" w:rsidR="00861989" w:rsidRDefault="00861989" w:rsidP="00EA09C7">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664D6754" w14:textId="77777777" w:rsidR="00861989" w:rsidRDefault="00861989" w:rsidP="00861989">
      <w:pPr>
        <w:spacing w:line="256" w:lineRule="auto"/>
        <w:rPr>
          <w:sz w:val="20"/>
          <w:szCs w:val="20"/>
        </w:rPr>
      </w:pPr>
      <w:r>
        <w:rPr>
          <w:sz w:val="20"/>
          <w:szCs w:val="20"/>
        </w:rPr>
        <w:t xml:space="preserve"> </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75"/>
        <w:gridCol w:w="3840"/>
      </w:tblGrid>
      <w:tr w:rsidR="00861989" w14:paraId="1024260C" w14:textId="77777777" w:rsidTr="00EA09C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4281FF18" w14:textId="77777777" w:rsidR="00861989" w:rsidRDefault="00861989" w:rsidP="00EA09C7">
            <w:pPr>
              <w:jc w:val="center"/>
              <w:rPr>
                <w:b/>
                <w:sz w:val="20"/>
                <w:szCs w:val="20"/>
              </w:rPr>
            </w:pPr>
            <w:r>
              <w:rPr>
                <w:b/>
                <w:sz w:val="20"/>
                <w:szCs w:val="20"/>
              </w:rPr>
              <w:t>How quickly did you adjust to the study task?</w:t>
            </w:r>
          </w:p>
        </w:tc>
      </w:tr>
      <w:tr w:rsidR="00861989" w14:paraId="660F869F" w14:textId="77777777" w:rsidTr="00EA09C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55D4442B" w14:textId="77777777" w:rsidR="00861989" w:rsidRDefault="00861989" w:rsidP="00EA09C7">
            <w:pPr>
              <w:widowControl w:val="0"/>
              <w:rPr>
                <w:color w:val="404040"/>
                <w:sz w:val="20"/>
                <w:szCs w:val="20"/>
              </w:rPr>
            </w:pPr>
            <w:r>
              <w:rPr>
                <w:color w:val="404040"/>
                <w:sz w:val="20"/>
                <w:szCs w:val="20"/>
              </w:rPr>
              <w:lastRenderedPageBreak/>
              <w:t>I was able to adjust to the study task very quickly</w:t>
            </w:r>
          </w:p>
        </w:tc>
        <w:tc>
          <w:tcPr>
            <w:tcW w:w="1275" w:type="dxa"/>
            <w:tcBorders>
              <w:top w:val="nil"/>
              <w:left w:val="nil"/>
              <w:bottom w:val="nil"/>
              <w:right w:val="nil"/>
            </w:tcBorders>
            <w:shd w:val="clear" w:color="auto" w:fill="auto"/>
            <w:tcMar>
              <w:top w:w="100" w:type="dxa"/>
              <w:left w:w="100" w:type="dxa"/>
              <w:bottom w:w="100" w:type="dxa"/>
              <w:right w:w="100" w:type="dxa"/>
            </w:tcMar>
          </w:tcPr>
          <w:p w14:paraId="4B480D19" w14:textId="77777777" w:rsidR="00861989" w:rsidRDefault="00861989" w:rsidP="00EA09C7">
            <w:pPr>
              <w:jc w:val="center"/>
              <w:rPr>
                <w:sz w:val="20"/>
                <w:szCs w:val="20"/>
              </w:rPr>
            </w:pPr>
            <w:r>
              <w:rPr>
                <w:sz w:val="20"/>
                <w:szCs w:val="20"/>
              </w:rPr>
              <w:t>Not sure</w:t>
            </w:r>
          </w:p>
        </w:tc>
        <w:tc>
          <w:tcPr>
            <w:tcW w:w="3840" w:type="dxa"/>
            <w:tcBorders>
              <w:top w:val="nil"/>
              <w:left w:val="nil"/>
              <w:bottom w:val="nil"/>
              <w:right w:val="single" w:sz="8" w:space="0" w:color="000000"/>
            </w:tcBorders>
            <w:shd w:val="clear" w:color="auto" w:fill="auto"/>
            <w:tcMar>
              <w:top w:w="100" w:type="dxa"/>
              <w:left w:w="100" w:type="dxa"/>
              <w:bottom w:w="100" w:type="dxa"/>
              <w:right w:w="100" w:type="dxa"/>
            </w:tcMar>
          </w:tcPr>
          <w:p w14:paraId="262B4C01" w14:textId="77777777" w:rsidR="00861989" w:rsidRDefault="00861989" w:rsidP="00EA09C7">
            <w:pPr>
              <w:jc w:val="right"/>
              <w:rPr>
                <w:color w:val="404040"/>
                <w:sz w:val="20"/>
                <w:szCs w:val="20"/>
              </w:rPr>
            </w:pPr>
            <w:r>
              <w:rPr>
                <w:color w:val="404040"/>
                <w:sz w:val="20"/>
                <w:szCs w:val="20"/>
              </w:rPr>
              <w:t xml:space="preserve">I was </w:t>
            </w:r>
            <w:r>
              <w:rPr>
                <w:b/>
                <w:color w:val="404040"/>
                <w:sz w:val="20"/>
                <w:szCs w:val="20"/>
              </w:rPr>
              <w:t>not</w:t>
            </w:r>
            <w:r>
              <w:rPr>
                <w:color w:val="404040"/>
                <w:sz w:val="20"/>
                <w:szCs w:val="20"/>
              </w:rPr>
              <w:t xml:space="preserve"> able to adjust to the study task quickly</w:t>
            </w:r>
          </w:p>
        </w:tc>
      </w:tr>
      <w:tr w:rsidR="00861989" w14:paraId="7DFD7530" w14:textId="77777777" w:rsidTr="00EA09C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AC6DCE" w14:textId="77777777" w:rsidR="00861989" w:rsidRDefault="00861989" w:rsidP="00EA09C7">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7F85AE4A" w14:textId="77777777" w:rsidR="00861989" w:rsidRDefault="00861989" w:rsidP="00861989">
      <w:pPr>
        <w:spacing w:line="256" w:lineRule="auto"/>
        <w:rPr>
          <w:sz w:val="20"/>
          <w:szCs w:val="20"/>
        </w:rPr>
      </w:pPr>
      <w:r>
        <w:rPr>
          <w:sz w:val="20"/>
          <w:szCs w:val="20"/>
        </w:rPr>
        <w:t xml:space="preserve"> </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60"/>
        <w:gridCol w:w="3885"/>
      </w:tblGrid>
      <w:tr w:rsidR="00861989" w14:paraId="2B1BC5EE" w14:textId="77777777" w:rsidTr="00EA09C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467C56D3" w14:textId="77777777" w:rsidR="00861989" w:rsidRDefault="00861989" w:rsidP="00EA09C7">
            <w:pPr>
              <w:jc w:val="center"/>
              <w:rPr>
                <w:b/>
                <w:sz w:val="20"/>
                <w:szCs w:val="20"/>
              </w:rPr>
            </w:pPr>
            <w:r>
              <w:rPr>
                <w:b/>
                <w:sz w:val="20"/>
                <w:szCs w:val="20"/>
              </w:rPr>
              <w:t>How regularly do you take part in research studies?</w:t>
            </w:r>
          </w:p>
        </w:tc>
      </w:tr>
      <w:tr w:rsidR="00861989" w14:paraId="2C8E4BBB" w14:textId="77777777" w:rsidTr="00EA09C7">
        <w:trPr>
          <w:trHeight w:val="9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6384F6CD" w14:textId="77777777" w:rsidR="00861989" w:rsidRDefault="00861989" w:rsidP="00EA09C7">
            <w:pPr>
              <w:widowControl w:val="0"/>
              <w:rPr>
                <w:color w:val="404040"/>
                <w:sz w:val="20"/>
                <w:szCs w:val="20"/>
              </w:rPr>
            </w:pPr>
            <w:r>
              <w:rPr>
                <w:color w:val="404040"/>
                <w:sz w:val="20"/>
                <w:szCs w:val="20"/>
              </w:rPr>
              <w:t>I have taken part in many research studies</w:t>
            </w:r>
          </w:p>
        </w:tc>
        <w:tc>
          <w:tcPr>
            <w:tcW w:w="1260" w:type="dxa"/>
            <w:tcBorders>
              <w:top w:val="nil"/>
              <w:left w:val="nil"/>
              <w:bottom w:val="nil"/>
              <w:right w:val="nil"/>
            </w:tcBorders>
            <w:shd w:val="clear" w:color="auto" w:fill="auto"/>
            <w:tcMar>
              <w:top w:w="100" w:type="dxa"/>
              <w:left w:w="100" w:type="dxa"/>
              <w:bottom w:w="100" w:type="dxa"/>
              <w:right w:w="100" w:type="dxa"/>
            </w:tcMar>
          </w:tcPr>
          <w:p w14:paraId="7EFD1147" w14:textId="77777777" w:rsidR="00861989" w:rsidRDefault="00861989" w:rsidP="00EA09C7">
            <w:pPr>
              <w:jc w:val="center"/>
              <w:rPr>
                <w:sz w:val="20"/>
                <w:szCs w:val="20"/>
              </w:rPr>
            </w:pPr>
            <w:r>
              <w:rPr>
                <w:sz w:val="20"/>
                <w:szCs w:val="20"/>
              </w:rPr>
              <w:t>Not sure</w:t>
            </w:r>
          </w:p>
        </w:tc>
        <w:tc>
          <w:tcPr>
            <w:tcW w:w="3885" w:type="dxa"/>
            <w:tcBorders>
              <w:top w:val="nil"/>
              <w:left w:val="nil"/>
              <w:bottom w:val="nil"/>
              <w:right w:val="single" w:sz="8" w:space="0" w:color="000000"/>
            </w:tcBorders>
            <w:shd w:val="clear" w:color="auto" w:fill="auto"/>
            <w:tcMar>
              <w:top w:w="100" w:type="dxa"/>
              <w:left w:w="100" w:type="dxa"/>
              <w:bottom w:w="100" w:type="dxa"/>
              <w:right w:w="100" w:type="dxa"/>
            </w:tcMar>
          </w:tcPr>
          <w:p w14:paraId="4D8CC5D5" w14:textId="77777777" w:rsidR="00861989" w:rsidRDefault="00861989" w:rsidP="00EA09C7">
            <w:pPr>
              <w:jc w:val="right"/>
              <w:rPr>
                <w:color w:val="404040"/>
                <w:sz w:val="20"/>
                <w:szCs w:val="20"/>
              </w:rPr>
            </w:pPr>
            <w:r>
              <w:rPr>
                <w:color w:val="404040"/>
                <w:sz w:val="20"/>
                <w:szCs w:val="20"/>
              </w:rPr>
              <w:t xml:space="preserve">I have </w:t>
            </w:r>
            <w:r>
              <w:rPr>
                <w:b/>
                <w:color w:val="404040"/>
                <w:sz w:val="20"/>
                <w:szCs w:val="20"/>
              </w:rPr>
              <w:t>never</w:t>
            </w:r>
            <w:r>
              <w:rPr>
                <w:color w:val="404040"/>
                <w:sz w:val="20"/>
                <w:szCs w:val="20"/>
              </w:rPr>
              <w:t xml:space="preserve"> taken part in a research study before</w:t>
            </w:r>
          </w:p>
        </w:tc>
      </w:tr>
      <w:tr w:rsidR="00861989" w14:paraId="0483AE27" w14:textId="77777777" w:rsidTr="00EA09C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FC061E" w14:textId="77777777" w:rsidR="00861989" w:rsidRDefault="00861989" w:rsidP="00EA09C7">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4ABCCE4E" w14:textId="77777777" w:rsidR="00861989" w:rsidRDefault="00861989" w:rsidP="00861989">
      <w:pPr>
        <w:spacing w:line="256" w:lineRule="auto"/>
        <w:rPr>
          <w:sz w:val="20"/>
          <w:szCs w:val="20"/>
        </w:rPr>
      </w:pPr>
      <w:r>
        <w:rPr>
          <w:sz w:val="20"/>
          <w:szCs w:val="20"/>
        </w:rPr>
        <w:t xml:space="preserve"> </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3870"/>
        <w:gridCol w:w="1275"/>
        <w:gridCol w:w="3855"/>
      </w:tblGrid>
      <w:tr w:rsidR="00861989" w14:paraId="5E964FF2" w14:textId="77777777" w:rsidTr="00EA09C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484372C2" w14:textId="77777777" w:rsidR="00861989" w:rsidRDefault="00861989" w:rsidP="00EA09C7">
            <w:pPr>
              <w:jc w:val="center"/>
              <w:rPr>
                <w:b/>
                <w:sz w:val="20"/>
                <w:szCs w:val="20"/>
              </w:rPr>
            </w:pPr>
            <w:r>
              <w:rPr>
                <w:b/>
                <w:sz w:val="20"/>
                <w:szCs w:val="20"/>
              </w:rPr>
              <w:t>How self-conscious of your responses were you during the study?</w:t>
            </w:r>
          </w:p>
        </w:tc>
      </w:tr>
      <w:tr w:rsidR="00861989" w14:paraId="2D03DB8A" w14:textId="77777777" w:rsidTr="00EA09C7">
        <w:trPr>
          <w:trHeight w:val="980"/>
        </w:trPr>
        <w:tc>
          <w:tcPr>
            <w:tcW w:w="3870" w:type="dxa"/>
            <w:tcBorders>
              <w:top w:val="nil"/>
              <w:left w:val="single" w:sz="8" w:space="0" w:color="000000"/>
              <w:bottom w:val="nil"/>
              <w:right w:val="nil"/>
            </w:tcBorders>
            <w:shd w:val="clear" w:color="auto" w:fill="auto"/>
            <w:tcMar>
              <w:top w:w="100" w:type="dxa"/>
              <w:left w:w="100" w:type="dxa"/>
              <w:bottom w:w="100" w:type="dxa"/>
              <w:right w:w="100" w:type="dxa"/>
            </w:tcMar>
          </w:tcPr>
          <w:p w14:paraId="4785DE17" w14:textId="77777777" w:rsidR="00861989" w:rsidRDefault="00861989" w:rsidP="00EA09C7">
            <w:pPr>
              <w:widowControl w:val="0"/>
              <w:rPr>
                <w:color w:val="404040"/>
                <w:sz w:val="20"/>
                <w:szCs w:val="20"/>
              </w:rPr>
            </w:pPr>
            <w:r>
              <w:rPr>
                <w:color w:val="404040"/>
                <w:sz w:val="20"/>
                <w:szCs w:val="20"/>
              </w:rPr>
              <w:t>I was very self-conscious of the responses I gave in this study</w:t>
            </w:r>
          </w:p>
        </w:tc>
        <w:tc>
          <w:tcPr>
            <w:tcW w:w="1275" w:type="dxa"/>
            <w:tcBorders>
              <w:top w:val="nil"/>
              <w:left w:val="nil"/>
              <w:bottom w:val="nil"/>
              <w:right w:val="nil"/>
            </w:tcBorders>
            <w:shd w:val="clear" w:color="auto" w:fill="auto"/>
            <w:tcMar>
              <w:top w:w="100" w:type="dxa"/>
              <w:left w:w="100" w:type="dxa"/>
              <w:bottom w:w="100" w:type="dxa"/>
              <w:right w:w="100" w:type="dxa"/>
            </w:tcMar>
          </w:tcPr>
          <w:p w14:paraId="75A5F6C3" w14:textId="77777777" w:rsidR="00861989" w:rsidRDefault="00861989" w:rsidP="00EA09C7">
            <w:pPr>
              <w:jc w:val="center"/>
              <w:rPr>
                <w:sz w:val="20"/>
                <w:szCs w:val="20"/>
              </w:rPr>
            </w:pPr>
            <w:r>
              <w:rPr>
                <w:sz w:val="20"/>
                <w:szCs w:val="20"/>
              </w:rPr>
              <w:t>Not sure</w:t>
            </w:r>
          </w:p>
        </w:tc>
        <w:tc>
          <w:tcPr>
            <w:tcW w:w="3855" w:type="dxa"/>
            <w:tcBorders>
              <w:top w:val="nil"/>
              <w:left w:val="nil"/>
              <w:bottom w:val="nil"/>
              <w:right w:val="single" w:sz="8" w:space="0" w:color="000000"/>
            </w:tcBorders>
            <w:shd w:val="clear" w:color="auto" w:fill="auto"/>
            <w:tcMar>
              <w:top w:w="100" w:type="dxa"/>
              <w:left w:w="100" w:type="dxa"/>
              <w:bottom w:w="100" w:type="dxa"/>
              <w:right w:w="100" w:type="dxa"/>
            </w:tcMar>
          </w:tcPr>
          <w:p w14:paraId="7AF891F2" w14:textId="77777777" w:rsidR="00861989" w:rsidRDefault="00861989" w:rsidP="00EA09C7">
            <w:pPr>
              <w:jc w:val="right"/>
              <w:rPr>
                <w:color w:val="404040"/>
                <w:sz w:val="20"/>
                <w:szCs w:val="20"/>
              </w:rPr>
            </w:pPr>
            <w:r>
              <w:rPr>
                <w:color w:val="404040"/>
                <w:sz w:val="20"/>
                <w:szCs w:val="20"/>
              </w:rPr>
              <w:t xml:space="preserve">I was </w:t>
            </w:r>
            <w:r>
              <w:rPr>
                <w:b/>
                <w:color w:val="404040"/>
                <w:sz w:val="20"/>
                <w:szCs w:val="20"/>
              </w:rPr>
              <w:t>not at all</w:t>
            </w:r>
            <w:r>
              <w:rPr>
                <w:color w:val="404040"/>
                <w:sz w:val="20"/>
                <w:szCs w:val="20"/>
              </w:rPr>
              <w:t xml:space="preserve"> self-conscious of the responses I gave in this study</w:t>
            </w:r>
          </w:p>
        </w:tc>
      </w:tr>
      <w:tr w:rsidR="00861989" w14:paraId="031DC2CB" w14:textId="77777777" w:rsidTr="00EA09C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0A02E5" w14:textId="77777777" w:rsidR="00861989" w:rsidRDefault="00861989" w:rsidP="00EA09C7">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27C690AF" w14:textId="77777777" w:rsidR="00861989" w:rsidRDefault="00861989" w:rsidP="00861989">
      <w:pPr>
        <w:rPr>
          <w:color w:val="404040"/>
          <w:sz w:val="20"/>
          <w:szCs w:val="20"/>
        </w:rPr>
      </w:pPr>
      <w:r>
        <w:rPr>
          <w:color w:val="404040"/>
          <w:sz w:val="20"/>
          <w:szCs w:val="20"/>
        </w:rPr>
        <w:t xml:space="preserve"> </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60"/>
        <w:gridCol w:w="3855"/>
      </w:tblGrid>
      <w:tr w:rsidR="00861989" w14:paraId="030DDF19" w14:textId="77777777" w:rsidTr="00EA09C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07A94021" w14:textId="77777777" w:rsidR="00861989" w:rsidRDefault="00861989" w:rsidP="00EA09C7">
            <w:pPr>
              <w:jc w:val="center"/>
              <w:rPr>
                <w:b/>
                <w:sz w:val="20"/>
                <w:szCs w:val="20"/>
              </w:rPr>
            </w:pPr>
            <w:r>
              <w:rPr>
                <w:b/>
                <w:sz w:val="20"/>
                <w:szCs w:val="20"/>
              </w:rPr>
              <w:t>How motivated were you to help the researchers during the study?</w:t>
            </w:r>
          </w:p>
        </w:tc>
      </w:tr>
      <w:tr w:rsidR="00861989" w14:paraId="186A7BC9" w14:textId="77777777" w:rsidTr="00EA09C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463482E5" w14:textId="77777777" w:rsidR="00861989" w:rsidRDefault="00861989" w:rsidP="00EA09C7">
            <w:pPr>
              <w:widowControl w:val="0"/>
              <w:rPr>
                <w:color w:val="404040"/>
                <w:sz w:val="20"/>
                <w:szCs w:val="20"/>
              </w:rPr>
            </w:pPr>
            <w:r>
              <w:rPr>
                <w:color w:val="404040"/>
                <w:sz w:val="20"/>
                <w:szCs w:val="20"/>
              </w:rPr>
              <w:t>I was strongly motivated to help make the study a success for the researchers</w:t>
            </w:r>
          </w:p>
        </w:tc>
        <w:tc>
          <w:tcPr>
            <w:tcW w:w="1260" w:type="dxa"/>
            <w:tcBorders>
              <w:top w:val="nil"/>
              <w:left w:val="nil"/>
              <w:bottom w:val="nil"/>
              <w:right w:val="nil"/>
            </w:tcBorders>
            <w:shd w:val="clear" w:color="auto" w:fill="auto"/>
            <w:tcMar>
              <w:top w:w="100" w:type="dxa"/>
              <w:left w:w="100" w:type="dxa"/>
              <w:bottom w:w="100" w:type="dxa"/>
              <w:right w:w="100" w:type="dxa"/>
            </w:tcMar>
          </w:tcPr>
          <w:p w14:paraId="678E699A" w14:textId="77777777" w:rsidR="00861989" w:rsidRDefault="00861989" w:rsidP="00EA09C7">
            <w:pPr>
              <w:jc w:val="center"/>
              <w:rPr>
                <w:sz w:val="20"/>
                <w:szCs w:val="20"/>
              </w:rPr>
            </w:pPr>
            <w:r>
              <w:rPr>
                <w:sz w:val="20"/>
                <w:szCs w:val="20"/>
              </w:rPr>
              <w:t>Not sure</w:t>
            </w:r>
          </w:p>
        </w:tc>
        <w:tc>
          <w:tcPr>
            <w:tcW w:w="3855" w:type="dxa"/>
            <w:tcBorders>
              <w:top w:val="nil"/>
              <w:left w:val="nil"/>
              <w:bottom w:val="nil"/>
              <w:right w:val="single" w:sz="8" w:space="0" w:color="000000"/>
            </w:tcBorders>
            <w:shd w:val="clear" w:color="auto" w:fill="auto"/>
            <w:tcMar>
              <w:top w:w="100" w:type="dxa"/>
              <w:left w:w="100" w:type="dxa"/>
              <w:bottom w:w="100" w:type="dxa"/>
              <w:right w:w="100" w:type="dxa"/>
            </w:tcMar>
          </w:tcPr>
          <w:p w14:paraId="5D7624B1" w14:textId="77777777" w:rsidR="00861989" w:rsidRDefault="00861989" w:rsidP="00EA09C7">
            <w:pPr>
              <w:jc w:val="right"/>
              <w:rPr>
                <w:color w:val="404040"/>
                <w:sz w:val="20"/>
                <w:szCs w:val="20"/>
              </w:rPr>
            </w:pPr>
            <w:r>
              <w:rPr>
                <w:color w:val="404040"/>
                <w:sz w:val="20"/>
                <w:szCs w:val="20"/>
              </w:rPr>
              <w:t xml:space="preserve">I was </w:t>
            </w:r>
            <w:r>
              <w:rPr>
                <w:b/>
                <w:color w:val="404040"/>
                <w:sz w:val="20"/>
                <w:szCs w:val="20"/>
              </w:rPr>
              <w:t>not</w:t>
            </w:r>
            <w:r>
              <w:rPr>
                <w:color w:val="404040"/>
                <w:sz w:val="20"/>
                <w:szCs w:val="20"/>
              </w:rPr>
              <w:t xml:space="preserve"> at all motivated to help make the study a success for the researchers </w:t>
            </w:r>
          </w:p>
        </w:tc>
      </w:tr>
      <w:tr w:rsidR="00861989" w14:paraId="641281FC" w14:textId="77777777" w:rsidTr="00EA09C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1B8D8F" w14:textId="77777777" w:rsidR="00861989" w:rsidRDefault="00861989" w:rsidP="00EA09C7">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351194FD" w14:textId="77777777" w:rsidR="00861989" w:rsidRDefault="00861989" w:rsidP="00861989">
      <w:pPr>
        <w:spacing w:line="256" w:lineRule="auto"/>
        <w:rPr>
          <w:color w:val="404040"/>
          <w:sz w:val="20"/>
          <w:szCs w:val="20"/>
        </w:rPr>
      </w:pPr>
      <w:r>
        <w:rPr>
          <w:color w:val="404040"/>
          <w:sz w:val="20"/>
          <w:szCs w:val="20"/>
        </w:rPr>
        <w:t xml:space="preserve"> </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60"/>
        <w:gridCol w:w="3855"/>
      </w:tblGrid>
      <w:tr w:rsidR="00861989" w14:paraId="126A92CB" w14:textId="77777777" w:rsidTr="00EA09C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7E8D6BB9" w14:textId="77777777" w:rsidR="00861989" w:rsidRDefault="00861989" w:rsidP="00EA09C7">
            <w:pPr>
              <w:jc w:val="center"/>
              <w:rPr>
                <w:b/>
                <w:sz w:val="20"/>
                <w:szCs w:val="20"/>
              </w:rPr>
            </w:pPr>
            <w:r>
              <w:rPr>
                <w:b/>
                <w:sz w:val="20"/>
                <w:szCs w:val="20"/>
              </w:rPr>
              <w:t>To what extent did you believe you were contributing to important research?</w:t>
            </w:r>
          </w:p>
        </w:tc>
      </w:tr>
      <w:tr w:rsidR="00861989" w14:paraId="352DE2D2" w14:textId="77777777" w:rsidTr="00EA09C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1D8E2F85" w14:textId="77777777" w:rsidR="00861989" w:rsidRDefault="00861989" w:rsidP="00EA09C7">
            <w:pPr>
              <w:widowControl w:val="0"/>
              <w:rPr>
                <w:color w:val="404040"/>
                <w:sz w:val="20"/>
                <w:szCs w:val="20"/>
              </w:rPr>
            </w:pPr>
            <w:r>
              <w:rPr>
                <w:color w:val="404040"/>
                <w:sz w:val="20"/>
                <w:szCs w:val="20"/>
              </w:rPr>
              <w:lastRenderedPageBreak/>
              <w:t>I believe that my participation was contributing to very important research</w:t>
            </w:r>
          </w:p>
        </w:tc>
        <w:tc>
          <w:tcPr>
            <w:tcW w:w="1260" w:type="dxa"/>
            <w:tcBorders>
              <w:top w:val="nil"/>
              <w:left w:val="nil"/>
              <w:bottom w:val="nil"/>
              <w:right w:val="nil"/>
            </w:tcBorders>
            <w:shd w:val="clear" w:color="auto" w:fill="auto"/>
            <w:tcMar>
              <w:top w:w="100" w:type="dxa"/>
              <w:left w:w="100" w:type="dxa"/>
              <w:bottom w:w="100" w:type="dxa"/>
              <w:right w:w="100" w:type="dxa"/>
            </w:tcMar>
          </w:tcPr>
          <w:p w14:paraId="72C1B683" w14:textId="77777777" w:rsidR="00861989" w:rsidRDefault="00861989" w:rsidP="00EA09C7">
            <w:pPr>
              <w:jc w:val="center"/>
              <w:rPr>
                <w:sz w:val="20"/>
                <w:szCs w:val="20"/>
              </w:rPr>
            </w:pPr>
            <w:r>
              <w:rPr>
                <w:sz w:val="20"/>
                <w:szCs w:val="20"/>
              </w:rPr>
              <w:t>Not sure</w:t>
            </w:r>
          </w:p>
        </w:tc>
        <w:tc>
          <w:tcPr>
            <w:tcW w:w="3855" w:type="dxa"/>
            <w:tcBorders>
              <w:top w:val="nil"/>
              <w:left w:val="nil"/>
              <w:bottom w:val="nil"/>
              <w:right w:val="single" w:sz="8" w:space="0" w:color="000000"/>
            </w:tcBorders>
            <w:shd w:val="clear" w:color="auto" w:fill="auto"/>
            <w:tcMar>
              <w:top w:w="100" w:type="dxa"/>
              <w:left w:w="100" w:type="dxa"/>
              <w:bottom w:w="100" w:type="dxa"/>
              <w:right w:w="100" w:type="dxa"/>
            </w:tcMar>
          </w:tcPr>
          <w:p w14:paraId="0C83BE72" w14:textId="77777777" w:rsidR="00861989" w:rsidRDefault="00861989" w:rsidP="00EA09C7">
            <w:pPr>
              <w:jc w:val="right"/>
              <w:rPr>
                <w:color w:val="404040"/>
                <w:sz w:val="20"/>
                <w:szCs w:val="20"/>
              </w:rPr>
            </w:pPr>
            <w:r>
              <w:rPr>
                <w:color w:val="404040"/>
                <w:sz w:val="20"/>
                <w:szCs w:val="20"/>
              </w:rPr>
              <w:t xml:space="preserve">I </w:t>
            </w:r>
            <w:r>
              <w:rPr>
                <w:b/>
                <w:color w:val="404040"/>
                <w:sz w:val="20"/>
                <w:szCs w:val="20"/>
              </w:rPr>
              <w:t>do not</w:t>
            </w:r>
            <w:r>
              <w:rPr>
                <w:color w:val="404040"/>
                <w:sz w:val="20"/>
                <w:szCs w:val="20"/>
              </w:rPr>
              <w:t xml:space="preserve"> believe that my participation was contributing to important research</w:t>
            </w:r>
          </w:p>
        </w:tc>
      </w:tr>
      <w:tr w:rsidR="00861989" w14:paraId="4DD058CE" w14:textId="77777777" w:rsidTr="00EA09C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63701A" w14:textId="77777777" w:rsidR="00861989" w:rsidRDefault="00861989" w:rsidP="00EA09C7">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4CEBBBFD" w14:textId="77777777" w:rsidR="00861989" w:rsidRDefault="00861989" w:rsidP="00861989">
      <w:pPr>
        <w:spacing w:line="256" w:lineRule="auto"/>
        <w:rPr>
          <w:color w:val="404040"/>
          <w:sz w:val="20"/>
          <w:szCs w:val="20"/>
        </w:rPr>
      </w:pPr>
      <w:r>
        <w:rPr>
          <w:color w:val="404040"/>
          <w:sz w:val="20"/>
          <w:szCs w:val="20"/>
        </w:rPr>
        <w:t xml:space="preserve"> </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60"/>
        <w:gridCol w:w="3855"/>
      </w:tblGrid>
      <w:tr w:rsidR="00861989" w14:paraId="79ED7331" w14:textId="77777777" w:rsidTr="00EA09C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0A97BAFF" w14:textId="77777777" w:rsidR="00861989" w:rsidRDefault="00861989" w:rsidP="00EA09C7">
            <w:pPr>
              <w:jc w:val="center"/>
              <w:rPr>
                <w:b/>
                <w:sz w:val="20"/>
                <w:szCs w:val="20"/>
              </w:rPr>
            </w:pPr>
            <w:r>
              <w:rPr>
                <w:b/>
                <w:sz w:val="20"/>
                <w:szCs w:val="20"/>
              </w:rPr>
              <w:t>To what extent were you trying to work out the aim of the study during your participation?</w:t>
            </w:r>
          </w:p>
        </w:tc>
      </w:tr>
      <w:tr w:rsidR="00861989" w14:paraId="5BC89A5A" w14:textId="77777777" w:rsidTr="00EA09C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25692599" w14:textId="77777777" w:rsidR="00861989" w:rsidRDefault="00861989" w:rsidP="00EA09C7">
            <w:pPr>
              <w:widowControl w:val="0"/>
              <w:rPr>
                <w:color w:val="404040"/>
                <w:sz w:val="20"/>
                <w:szCs w:val="20"/>
              </w:rPr>
            </w:pPr>
            <w:r>
              <w:rPr>
                <w:color w:val="404040"/>
                <w:sz w:val="20"/>
                <w:szCs w:val="20"/>
              </w:rPr>
              <w:t>I was trying to work out the aim of the study during my participation</w:t>
            </w:r>
          </w:p>
        </w:tc>
        <w:tc>
          <w:tcPr>
            <w:tcW w:w="1260" w:type="dxa"/>
            <w:tcBorders>
              <w:top w:val="nil"/>
              <w:left w:val="nil"/>
              <w:bottom w:val="nil"/>
              <w:right w:val="nil"/>
            </w:tcBorders>
            <w:shd w:val="clear" w:color="auto" w:fill="auto"/>
            <w:tcMar>
              <w:top w:w="100" w:type="dxa"/>
              <w:left w:w="100" w:type="dxa"/>
              <w:bottom w:w="100" w:type="dxa"/>
              <w:right w:w="100" w:type="dxa"/>
            </w:tcMar>
          </w:tcPr>
          <w:p w14:paraId="4DD42FBB" w14:textId="77777777" w:rsidR="00861989" w:rsidRDefault="00861989" w:rsidP="00EA09C7">
            <w:pPr>
              <w:jc w:val="center"/>
              <w:rPr>
                <w:sz w:val="20"/>
                <w:szCs w:val="20"/>
              </w:rPr>
            </w:pPr>
            <w:r>
              <w:rPr>
                <w:sz w:val="20"/>
                <w:szCs w:val="20"/>
              </w:rPr>
              <w:t>Not sure</w:t>
            </w:r>
          </w:p>
        </w:tc>
        <w:tc>
          <w:tcPr>
            <w:tcW w:w="3855" w:type="dxa"/>
            <w:tcBorders>
              <w:top w:val="nil"/>
              <w:left w:val="nil"/>
              <w:bottom w:val="nil"/>
              <w:right w:val="single" w:sz="8" w:space="0" w:color="000000"/>
            </w:tcBorders>
            <w:shd w:val="clear" w:color="auto" w:fill="auto"/>
            <w:tcMar>
              <w:top w:w="100" w:type="dxa"/>
              <w:left w:w="100" w:type="dxa"/>
              <w:bottom w:w="100" w:type="dxa"/>
              <w:right w:w="100" w:type="dxa"/>
            </w:tcMar>
          </w:tcPr>
          <w:p w14:paraId="6037E7E8" w14:textId="77777777" w:rsidR="00861989" w:rsidRDefault="00861989" w:rsidP="00EA09C7">
            <w:pPr>
              <w:jc w:val="right"/>
              <w:rPr>
                <w:color w:val="404040"/>
                <w:sz w:val="20"/>
                <w:szCs w:val="20"/>
              </w:rPr>
            </w:pPr>
            <w:r>
              <w:rPr>
                <w:color w:val="404040"/>
                <w:sz w:val="20"/>
                <w:szCs w:val="20"/>
              </w:rPr>
              <w:t xml:space="preserve">I was </w:t>
            </w:r>
            <w:r>
              <w:rPr>
                <w:b/>
                <w:color w:val="404040"/>
                <w:sz w:val="20"/>
                <w:szCs w:val="20"/>
              </w:rPr>
              <w:t xml:space="preserve">not </w:t>
            </w:r>
            <w:r>
              <w:rPr>
                <w:color w:val="404040"/>
                <w:sz w:val="20"/>
                <w:szCs w:val="20"/>
              </w:rPr>
              <w:t>trying to work out the aim of the study during my participation</w:t>
            </w:r>
          </w:p>
        </w:tc>
      </w:tr>
      <w:tr w:rsidR="00861989" w14:paraId="6FE83C10" w14:textId="77777777" w:rsidTr="00EA09C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D65E30" w14:textId="77777777" w:rsidR="00861989" w:rsidRDefault="00861989" w:rsidP="00EA09C7">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3B552FD8" w14:textId="77777777" w:rsidR="00861989" w:rsidRDefault="00861989" w:rsidP="00861989">
      <w:pPr>
        <w:spacing w:line="256" w:lineRule="auto"/>
        <w:rPr>
          <w:color w:val="404040"/>
          <w:sz w:val="20"/>
          <w:szCs w:val="20"/>
        </w:rPr>
      </w:pPr>
      <w:r>
        <w:rPr>
          <w:color w:val="404040"/>
          <w:sz w:val="20"/>
          <w:szCs w:val="20"/>
        </w:rPr>
        <w:t xml:space="preserve"> </w:t>
      </w:r>
    </w:p>
    <w:p w14:paraId="4E193906" w14:textId="77777777" w:rsidR="00861989" w:rsidRDefault="00861989" w:rsidP="00861989">
      <w:pPr>
        <w:spacing w:line="256" w:lineRule="auto"/>
        <w:rPr>
          <w:color w:val="404040"/>
          <w:sz w:val="20"/>
          <w:szCs w:val="20"/>
        </w:rPr>
      </w:pPr>
      <w:r>
        <w:rPr>
          <w:color w:val="404040"/>
          <w:sz w:val="20"/>
          <w:szCs w:val="20"/>
        </w:rPr>
        <w:t xml:space="preserve"> </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861989" w14:paraId="40E1FAAB" w14:textId="77777777" w:rsidTr="00EA09C7">
        <w:trPr>
          <w:trHeight w:val="980"/>
        </w:trPr>
        <w:tc>
          <w:tcPr>
            <w:tcW w:w="9000" w:type="dxa"/>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38AD86ED" w14:textId="77777777" w:rsidR="00861989" w:rsidRDefault="00861989" w:rsidP="00EA09C7">
            <w:pPr>
              <w:rPr>
                <w:b/>
                <w:color w:val="404040"/>
                <w:sz w:val="20"/>
                <w:szCs w:val="20"/>
              </w:rPr>
            </w:pPr>
            <w:r>
              <w:rPr>
                <w:b/>
                <w:color w:val="404040"/>
                <w:sz w:val="20"/>
                <w:szCs w:val="20"/>
              </w:rPr>
              <w:t>Do you have any further comments about your experience of this study that we have not addressed above? Please give any further comments about this study below:</w:t>
            </w:r>
          </w:p>
          <w:p w14:paraId="741E1394" w14:textId="77777777" w:rsidR="00861989" w:rsidRDefault="00861989" w:rsidP="00EA09C7">
            <w:pPr>
              <w:rPr>
                <w:b/>
                <w:color w:val="404040"/>
                <w:sz w:val="20"/>
                <w:szCs w:val="20"/>
              </w:rPr>
            </w:pPr>
          </w:p>
        </w:tc>
      </w:tr>
    </w:tbl>
    <w:p w14:paraId="385A4D29" w14:textId="77777777" w:rsidR="00861989" w:rsidRDefault="00861989" w:rsidP="00861989">
      <w:pPr>
        <w:rPr>
          <w:color w:val="404040"/>
          <w:sz w:val="20"/>
          <w:szCs w:val="20"/>
        </w:rPr>
      </w:pPr>
      <w:r>
        <w:rPr>
          <w:color w:val="404040"/>
          <w:sz w:val="20"/>
          <w:szCs w:val="20"/>
        </w:rPr>
        <w:t xml:space="preserve"> </w:t>
      </w:r>
    </w:p>
    <w:p w14:paraId="7B4EEBF7" w14:textId="77777777" w:rsidR="00861989" w:rsidRDefault="00861989" w:rsidP="00861989">
      <w:pPr>
        <w:spacing w:before="300" w:line="240" w:lineRule="auto"/>
        <w:rPr>
          <w:b/>
        </w:rPr>
      </w:pPr>
    </w:p>
    <w:p w14:paraId="1DBF6D46" w14:textId="77777777" w:rsidR="00861989" w:rsidRDefault="00861989" w:rsidP="00861989">
      <w:pPr>
        <w:spacing w:before="300" w:line="240" w:lineRule="auto"/>
        <w:jc w:val="center"/>
        <w:rPr>
          <w:b/>
        </w:rPr>
      </w:pPr>
      <w:r>
        <w:br w:type="page"/>
      </w:r>
    </w:p>
    <w:p w14:paraId="53CFEAB9" w14:textId="77777777" w:rsidR="00861989" w:rsidRDefault="00861989" w:rsidP="00861989">
      <w:pPr>
        <w:pStyle w:val="Heading1"/>
        <w:spacing w:before="300" w:line="240" w:lineRule="auto"/>
        <w:rPr>
          <w:b w:val="0"/>
        </w:rPr>
      </w:pPr>
      <w:bookmarkStart w:id="59" w:name="_i74hgbk3372h" w:colFirst="0" w:colLast="0"/>
      <w:bookmarkEnd w:id="59"/>
      <w:r>
        <w:lastRenderedPageBreak/>
        <w:t>Appendix D</w:t>
      </w:r>
    </w:p>
    <w:p w14:paraId="6A6CA24E" w14:textId="77777777" w:rsidR="00861989" w:rsidRDefault="00861989" w:rsidP="00861989">
      <w:pPr>
        <w:spacing w:before="300" w:line="240" w:lineRule="auto"/>
        <w:jc w:val="center"/>
      </w:pPr>
      <w:r>
        <w:t>Exclusion Ratings</w:t>
      </w:r>
    </w:p>
    <w:p w14:paraId="649B8823" w14:textId="77777777" w:rsidR="00861989" w:rsidRDefault="00861989" w:rsidP="00861989">
      <w:pPr>
        <w:spacing w:after="160" w:line="240" w:lineRule="auto"/>
        <w:rPr>
          <w:b/>
        </w:rPr>
      </w:pPr>
      <w:r>
        <w:rPr>
          <w:b/>
        </w:rPr>
        <w:t>How exclusions were made</w:t>
      </w:r>
    </w:p>
    <w:p w14:paraId="3DC2A5F2" w14:textId="77777777" w:rsidR="00861989" w:rsidRDefault="00861989" w:rsidP="00861989">
      <w:pPr>
        <w:numPr>
          <w:ilvl w:val="0"/>
          <w:numId w:val="6"/>
        </w:numPr>
        <w:spacing w:after="160" w:line="240" w:lineRule="auto"/>
      </w:pPr>
      <w:r>
        <w:t>No or NA gets 0 points; Maybe gets 1 point; Yes/test gets 2 points; Participants are marked as “excluded” if they get 4 total points across three coders.</w:t>
      </w:r>
    </w:p>
    <w:p w14:paraId="6F64F8B9" w14:textId="77777777" w:rsidR="00861989" w:rsidRDefault="00861989" w:rsidP="00861989">
      <w:pPr>
        <w:numPr>
          <w:ilvl w:val="0"/>
          <w:numId w:val="6"/>
        </w:numPr>
        <w:spacing w:after="160" w:line="240" w:lineRule="auto"/>
      </w:pPr>
      <w:r>
        <w:t>Participants are also marked as “nonsense” if they did not write a legible answer or simply typed gibberish. These data points are not excluded but marked.</w:t>
      </w:r>
    </w:p>
    <w:p w14:paraId="0FA6B9CF" w14:textId="77777777" w:rsidR="00861989" w:rsidRDefault="00861989" w:rsidP="00861989">
      <w:pPr>
        <w:spacing w:after="160" w:line="240" w:lineRule="auto"/>
        <w:rPr>
          <w:b/>
        </w:rPr>
      </w:pPr>
      <w:r>
        <w:rPr>
          <w:b/>
        </w:rPr>
        <w:t>Instructions Given to Raters</w:t>
      </w:r>
    </w:p>
    <w:p w14:paraId="0A33038F" w14:textId="77777777" w:rsidR="00861989" w:rsidRDefault="00861989" w:rsidP="00861989">
      <w:pPr>
        <w:numPr>
          <w:ilvl w:val="0"/>
          <w:numId w:val="6"/>
        </w:numPr>
        <w:spacing w:after="160" w:line="240" w:lineRule="auto"/>
        <w:rPr>
          <w:i/>
        </w:rPr>
      </w:pPr>
      <w:r>
        <w:rPr>
          <w:i/>
        </w:rPr>
        <w:t>Note: These instructions were adapted from instructions written by William McAuliffe and Hannah Moshontz for an unrelated project</w:t>
      </w:r>
    </w:p>
    <w:p w14:paraId="621C31C1" w14:textId="77777777" w:rsidR="00861989" w:rsidRDefault="00861989" w:rsidP="00861989">
      <w:pPr>
        <w:spacing w:after="160" w:line="240" w:lineRule="auto"/>
        <w:ind w:left="720" w:firstLine="720"/>
      </w:pPr>
      <w:r>
        <w:t>We need help coding open-ended responses that will inform our pre-registered exclusion criteria for this project. Specifically, we will exclude data on the basis of a suspicion check (whether people guess the study hypothesis) and previous study participation (whether people describe having participated in similar studies before).</w:t>
      </w:r>
    </w:p>
    <w:p w14:paraId="6EADAAC7" w14:textId="77777777" w:rsidR="00861989" w:rsidRDefault="00861989" w:rsidP="00861989">
      <w:pPr>
        <w:spacing w:after="160" w:line="240" w:lineRule="auto"/>
        <w:ind w:left="720" w:firstLine="720"/>
      </w:pPr>
      <w:r>
        <w:t>All participants were asked two questions (with some labs asking slight variations): What is, in your opinion, the purpose of this study? (purpose) Have you ever participated in a similar study? If yes, please describe the study. (previous)</w:t>
      </w:r>
    </w:p>
    <w:p w14:paraId="177D8331" w14:textId="77777777" w:rsidR="00861989" w:rsidRDefault="00861989" w:rsidP="00861989">
      <w:pPr>
        <w:spacing w:after="160" w:line="240" w:lineRule="auto"/>
        <w:ind w:left="720" w:firstLine="720"/>
      </w:pPr>
      <w:r>
        <w:t>Your task is to evaluate people’s answers to these questions. We will have 2 people evaluate every response and then we will exclude people based on the average.</w:t>
      </w:r>
    </w:p>
    <w:p w14:paraId="451E9BAF" w14:textId="77777777" w:rsidR="00861989" w:rsidRDefault="00861989" w:rsidP="00861989">
      <w:pPr>
        <w:spacing w:after="160" w:line="240" w:lineRule="auto"/>
        <w:ind w:left="720" w:firstLine="720"/>
      </w:pPr>
      <w:r>
        <w:t>For each question this is how we would like you to evaluate answers. If you are coding from a language other than English, please directly assess the question (rather than translating it) and provide a code/label in English (yes, maybe, no, test, as described below).</w:t>
      </w:r>
    </w:p>
    <w:p w14:paraId="42475AD8" w14:textId="77777777" w:rsidR="00861989" w:rsidRDefault="00861989" w:rsidP="00861989">
      <w:pPr>
        <w:numPr>
          <w:ilvl w:val="0"/>
          <w:numId w:val="6"/>
        </w:numPr>
        <w:spacing w:line="240" w:lineRule="auto"/>
        <w:rPr>
          <w:b/>
        </w:rPr>
      </w:pPr>
      <w:r>
        <w:rPr>
          <w:b/>
        </w:rPr>
        <w:t>Purpose</w:t>
      </w:r>
    </w:p>
    <w:p w14:paraId="4674FB3E" w14:textId="77777777" w:rsidR="00861989" w:rsidRDefault="00861989" w:rsidP="00861989">
      <w:pPr>
        <w:numPr>
          <w:ilvl w:val="1"/>
          <w:numId w:val="6"/>
        </w:numPr>
        <w:spacing w:line="240" w:lineRule="auto"/>
        <w:rPr>
          <w:i/>
        </w:rPr>
      </w:pPr>
      <w:r>
        <w:rPr>
          <w:i/>
        </w:rPr>
        <w:t>Yes</w:t>
      </w:r>
    </w:p>
    <w:p w14:paraId="10D74D26" w14:textId="77777777" w:rsidR="00861989" w:rsidRDefault="00861989" w:rsidP="00861989">
      <w:pPr>
        <w:numPr>
          <w:ilvl w:val="2"/>
          <w:numId w:val="6"/>
        </w:numPr>
        <w:spacing w:line="240" w:lineRule="auto"/>
      </w:pPr>
      <w:r>
        <w:t>The participant identified that we are studying justified true belief and gettier cases.</w:t>
      </w:r>
    </w:p>
    <w:p w14:paraId="2EB75331" w14:textId="77777777" w:rsidR="00861989" w:rsidRDefault="00861989" w:rsidP="00861989">
      <w:pPr>
        <w:numPr>
          <w:ilvl w:val="3"/>
          <w:numId w:val="6"/>
        </w:numPr>
        <w:spacing w:line="240" w:lineRule="auto"/>
      </w:pPr>
      <w:r>
        <w:t>Example “yes” coding cases: “To test exceptions to the Justified True Belief theory”</w:t>
      </w:r>
    </w:p>
    <w:p w14:paraId="49FF54F8" w14:textId="77777777" w:rsidR="00861989" w:rsidRDefault="00861989" w:rsidP="00861989">
      <w:pPr>
        <w:numPr>
          <w:ilvl w:val="1"/>
          <w:numId w:val="6"/>
        </w:numPr>
        <w:spacing w:line="240" w:lineRule="auto"/>
        <w:rPr>
          <w:i/>
        </w:rPr>
      </w:pPr>
      <w:r>
        <w:rPr>
          <w:i/>
        </w:rPr>
        <w:t>Maybe</w:t>
      </w:r>
    </w:p>
    <w:p w14:paraId="636B8396" w14:textId="77777777" w:rsidR="00861989" w:rsidRDefault="00861989" w:rsidP="00861989">
      <w:pPr>
        <w:numPr>
          <w:ilvl w:val="2"/>
          <w:numId w:val="6"/>
        </w:numPr>
        <w:spacing w:line="240" w:lineRule="auto"/>
      </w:pPr>
      <w:r>
        <w:t>The participant describes something similar to the true study hypothesis (true knowledge is different from a lucky or incidentally correct belief).</w:t>
      </w:r>
    </w:p>
    <w:p w14:paraId="2EA3F500" w14:textId="77777777" w:rsidR="00861989" w:rsidRDefault="00861989" w:rsidP="00861989">
      <w:pPr>
        <w:numPr>
          <w:ilvl w:val="3"/>
          <w:numId w:val="6"/>
        </w:numPr>
        <w:spacing w:line="240" w:lineRule="auto"/>
      </w:pPr>
      <w:r>
        <w:t>Example “maybe” coding cases: “To see if a story can change ones perception of knowledge based on luck or ability”</w:t>
      </w:r>
    </w:p>
    <w:p w14:paraId="62FABCDE" w14:textId="77777777" w:rsidR="00861989" w:rsidRDefault="00861989" w:rsidP="00861989">
      <w:pPr>
        <w:numPr>
          <w:ilvl w:val="1"/>
          <w:numId w:val="6"/>
        </w:numPr>
        <w:spacing w:line="240" w:lineRule="auto"/>
        <w:rPr>
          <w:i/>
        </w:rPr>
      </w:pPr>
      <w:r>
        <w:rPr>
          <w:i/>
        </w:rPr>
        <w:t>No</w:t>
      </w:r>
    </w:p>
    <w:p w14:paraId="482C6F82" w14:textId="77777777" w:rsidR="00861989" w:rsidRDefault="00861989" w:rsidP="00861989">
      <w:pPr>
        <w:numPr>
          <w:ilvl w:val="2"/>
          <w:numId w:val="6"/>
        </w:numPr>
        <w:spacing w:line="240" w:lineRule="auto"/>
      </w:pPr>
      <w:r>
        <w:t>The participant did not identify the study hypothesis or offer a very vague description, which might include the words belief or knowledge.</w:t>
      </w:r>
    </w:p>
    <w:p w14:paraId="6BBEA66A" w14:textId="77777777" w:rsidR="00861989" w:rsidRDefault="00861989" w:rsidP="00861989">
      <w:pPr>
        <w:numPr>
          <w:ilvl w:val="3"/>
          <w:numId w:val="6"/>
        </w:numPr>
        <w:spacing w:line="240" w:lineRule="auto"/>
      </w:pPr>
      <w:r>
        <w:t xml:space="preserve">Example “no” coding cases: “I think the purpose was to see how do people classify if someone knows something or if they just </w:t>
      </w:r>
      <w:r>
        <w:lastRenderedPageBreak/>
        <w:t>strongly agree with it”; OR “understand how people view scenarios based on the words used to describe them”</w:t>
      </w:r>
    </w:p>
    <w:p w14:paraId="0C0328B2" w14:textId="77777777" w:rsidR="00861989" w:rsidRDefault="00861989" w:rsidP="00861989">
      <w:pPr>
        <w:numPr>
          <w:ilvl w:val="1"/>
          <w:numId w:val="6"/>
        </w:numPr>
        <w:spacing w:line="240" w:lineRule="auto"/>
        <w:rPr>
          <w:i/>
        </w:rPr>
      </w:pPr>
      <w:r>
        <w:rPr>
          <w:i/>
        </w:rPr>
        <w:t>Test</w:t>
      </w:r>
    </w:p>
    <w:p w14:paraId="703CF5A0" w14:textId="77777777" w:rsidR="00861989" w:rsidRDefault="00861989" w:rsidP="00861989">
      <w:pPr>
        <w:numPr>
          <w:ilvl w:val="2"/>
          <w:numId w:val="6"/>
        </w:numPr>
        <w:spacing w:line="240" w:lineRule="auto"/>
      </w:pPr>
      <w:r>
        <w:t>The response indicates that it is a test case</w:t>
      </w:r>
    </w:p>
    <w:p w14:paraId="6DA7E778" w14:textId="77777777" w:rsidR="00861989" w:rsidRDefault="00861989" w:rsidP="00861989">
      <w:pPr>
        <w:numPr>
          <w:ilvl w:val="3"/>
          <w:numId w:val="6"/>
        </w:numPr>
        <w:spacing w:line="240" w:lineRule="auto"/>
      </w:pPr>
      <w:r>
        <w:t>Example “test” coding case: “TEST”; OR “test”; OR “this is a test”</w:t>
      </w:r>
    </w:p>
    <w:p w14:paraId="5D67D99B" w14:textId="77777777" w:rsidR="00861989" w:rsidRDefault="00861989" w:rsidP="00861989">
      <w:pPr>
        <w:numPr>
          <w:ilvl w:val="1"/>
          <w:numId w:val="6"/>
        </w:numPr>
        <w:spacing w:line="240" w:lineRule="auto"/>
        <w:rPr>
          <w:i/>
        </w:rPr>
      </w:pPr>
      <w:r>
        <w:rPr>
          <w:i/>
        </w:rPr>
        <w:t>NA</w:t>
      </w:r>
    </w:p>
    <w:p w14:paraId="7414089D" w14:textId="77777777" w:rsidR="00861989" w:rsidRDefault="00861989" w:rsidP="00861989">
      <w:pPr>
        <w:numPr>
          <w:ilvl w:val="2"/>
          <w:numId w:val="6"/>
        </w:numPr>
        <w:spacing w:line="240" w:lineRule="auto"/>
      </w:pPr>
      <w:r>
        <w:t>If you are unsure how to code a response, you can write NA.</w:t>
      </w:r>
    </w:p>
    <w:p w14:paraId="3F9B7229" w14:textId="77777777" w:rsidR="00861989" w:rsidRDefault="00861989" w:rsidP="00861989">
      <w:pPr>
        <w:numPr>
          <w:ilvl w:val="3"/>
          <w:numId w:val="6"/>
        </w:numPr>
        <w:spacing w:line="240" w:lineRule="auto"/>
      </w:pPr>
      <w:r>
        <w:t>Example “NA” coding case: “nnnnnnnnnnn”</w:t>
      </w:r>
    </w:p>
    <w:p w14:paraId="497763F0" w14:textId="77777777" w:rsidR="00861989" w:rsidRDefault="00861989" w:rsidP="00861989">
      <w:pPr>
        <w:numPr>
          <w:ilvl w:val="0"/>
          <w:numId w:val="6"/>
        </w:numPr>
        <w:spacing w:line="240" w:lineRule="auto"/>
        <w:rPr>
          <w:b/>
        </w:rPr>
      </w:pPr>
      <w:r>
        <w:rPr>
          <w:b/>
        </w:rPr>
        <w:t>Previous</w:t>
      </w:r>
    </w:p>
    <w:p w14:paraId="0441CE40" w14:textId="77777777" w:rsidR="00861989" w:rsidRDefault="00861989" w:rsidP="00861989">
      <w:pPr>
        <w:numPr>
          <w:ilvl w:val="1"/>
          <w:numId w:val="6"/>
        </w:numPr>
        <w:spacing w:line="240" w:lineRule="auto"/>
        <w:rPr>
          <w:i/>
        </w:rPr>
      </w:pPr>
      <w:r>
        <w:rPr>
          <w:i/>
        </w:rPr>
        <w:t>Yes</w:t>
      </w:r>
    </w:p>
    <w:p w14:paraId="6B921B7A" w14:textId="77777777" w:rsidR="00861989" w:rsidRDefault="00861989" w:rsidP="00861989">
      <w:pPr>
        <w:numPr>
          <w:ilvl w:val="2"/>
          <w:numId w:val="6"/>
        </w:numPr>
        <w:spacing w:line="240" w:lineRule="auto"/>
      </w:pPr>
      <w:r>
        <w:t>The participant has participated in this exact study before, or an exact replication of it.</w:t>
      </w:r>
    </w:p>
    <w:p w14:paraId="5F351A4B" w14:textId="77777777" w:rsidR="00861989" w:rsidRDefault="00861989" w:rsidP="00861989">
      <w:pPr>
        <w:numPr>
          <w:ilvl w:val="3"/>
          <w:numId w:val="6"/>
        </w:numPr>
        <w:spacing w:line="240" w:lineRule="auto"/>
      </w:pPr>
      <w:r>
        <w:t>Example “yes” coding cases: “Yes, I completed this study before.”</w:t>
      </w:r>
    </w:p>
    <w:p w14:paraId="133E9C92" w14:textId="77777777" w:rsidR="00861989" w:rsidRDefault="00861989" w:rsidP="00861989">
      <w:pPr>
        <w:numPr>
          <w:ilvl w:val="1"/>
          <w:numId w:val="6"/>
        </w:numPr>
        <w:spacing w:line="240" w:lineRule="auto"/>
        <w:rPr>
          <w:i/>
        </w:rPr>
      </w:pPr>
      <w:r>
        <w:rPr>
          <w:i/>
        </w:rPr>
        <w:t>Maybe</w:t>
      </w:r>
    </w:p>
    <w:p w14:paraId="6409410A" w14:textId="77777777" w:rsidR="00861989" w:rsidRDefault="00861989" w:rsidP="00861989">
      <w:pPr>
        <w:numPr>
          <w:ilvl w:val="2"/>
          <w:numId w:val="6"/>
        </w:numPr>
        <w:spacing w:line="240" w:lineRule="auto"/>
      </w:pPr>
      <w:r>
        <w:t>The participant has participated in a similar study before, or may have based on their description.</w:t>
      </w:r>
    </w:p>
    <w:p w14:paraId="5210F8B8" w14:textId="77777777" w:rsidR="00861989" w:rsidRDefault="00861989" w:rsidP="00861989">
      <w:pPr>
        <w:numPr>
          <w:ilvl w:val="3"/>
          <w:numId w:val="6"/>
        </w:numPr>
        <w:spacing w:line="240" w:lineRule="auto"/>
      </w:pPr>
      <w:r>
        <w:t>Example “maybe” coding cases: “Yes another study that was very similar.”; “Yes, I have participated in a study that asked similar questions but had slightly different scenarios”</w:t>
      </w:r>
    </w:p>
    <w:p w14:paraId="70228DBF" w14:textId="77777777" w:rsidR="00861989" w:rsidRDefault="00861989" w:rsidP="00861989">
      <w:pPr>
        <w:numPr>
          <w:ilvl w:val="1"/>
          <w:numId w:val="6"/>
        </w:numPr>
        <w:spacing w:line="240" w:lineRule="auto"/>
        <w:rPr>
          <w:i/>
        </w:rPr>
      </w:pPr>
      <w:r>
        <w:rPr>
          <w:i/>
        </w:rPr>
        <w:t>No</w:t>
      </w:r>
    </w:p>
    <w:p w14:paraId="78A4CF98" w14:textId="77777777" w:rsidR="00861989" w:rsidRDefault="00861989" w:rsidP="00861989">
      <w:pPr>
        <w:numPr>
          <w:ilvl w:val="2"/>
          <w:numId w:val="6"/>
        </w:numPr>
        <w:spacing w:line="240" w:lineRule="auto"/>
      </w:pPr>
      <w:r>
        <w:t>The participant has not participated in this study or a similar study before based on their description.</w:t>
      </w:r>
    </w:p>
    <w:p w14:paraId="65BCFA1F" w14:textId="77777777" w:rsidR="00861989" w:rsidRDefault="00861989" w:rsidP="00861989">
      <w:pPr>
        <w:numPr>
          <w:ilvl w:val="3"/>
          <w:numId w:val="6"/>
        </w:numPr>
        <w:spacing w:line="240" w:lineRule="auto"/>
      </w:pPr>
      <w:r>
        <w:t>Example “no” coding cases: “nope”; “Yes, I have participated in a study for course credit before.”’; “Yes, I have done studies where I read scenarios and answered questions about them.”</w:t>
      </w:r>
    </w:p>
    <w:p w14:paraId="1DD45380" w14:textId="77777777" w:rsidR="00861989" w:rsidRDefault="00861989" w:rsidP="00861989">
      <w:pPr>
        <w:numPr>
          <w:ilvl w:val="1"/>
          <w:numId w:val="6"/>
        </w:numPr>
        <w:spacing w:line="240" w:lineRule="auto"/>
        <w:rPr>
          <w:i/>
        </w:rPr>
      </w:pPr>
      <w:r>
        <w:rPr>
          <w:i/>
        </w:rPr>
        <w:t>Test</w:t>
      </w:r>
    </w:p>
    <w:p w14:paraId="75941FFA" w14:textId="77777777" w:rsidR="00861989" w:rsidRDefault="00861989" w:rsidP="00861989">
      <w:pPr>
        <w:numPr>
          <w:ilvl w:val="2"/>
          <w:numId w:val="6"/>
        </w:numPr>
        <w:spacing w:line="240" w:lineRule="auto"/>
      </w:pPr>
      <w:r>
        <w:t>The response indicates that it is a test case</w:t>
      </w:r>
    </w:p>
    <w:p w14:paraId="4E9BA8CA" w14:textId="77777777" w:rsidR="00861989" w:rsidRDefault="00861989" w:rsidP="00861989">
      <w:pPr>
        <w:numPr>
          <w:ilvl w:val="3"/>
          <w:numId w:val="6"/>
        </w:numPr>
        <w:spacing w:line="240" w:lineRule="auto"/>
      </w:pPr>
      <w:r>
        <w:t>Example “test” coding case: “TEST”; OR “test”; OR “this is a test”</w:t>
      </w:r>
    </w:p>
    <w:p w14:paraId="44A727AC" w14:textId="77777777" w:rsidR="00861989" w:rsidRDefault="00861989" w:rsidP="00861989">
      <w:pPr>
        <w:numPr>
          <w:ilvl w:val="1"/>
          <w:numId w:val="6"/>
        </w:numPr>
        <w:spacing w:line="240" w:lineRule="auto"/>
        <w:rPr>
          <w:i/>
        </w:rPr>
      </w:pPr>
      <w:r>
        <w:rPr>
          <w:i/>
        </w:rPr>
        <w:t>NA</w:t>
      </w:r>
    </w:p>
    <w:p w14:paraId="5BA9C69A" w14:textId="77777777" w:rsidR="00861989" w:rsidRDefault="00861989" w:rsidP="00861989">
      <w:pPr>
        <w:numPr>
          <w:ilvl w:val="2"/>
          <w:numId w:val="6"/>
        </w:numPr>
        <w:spacing w:line="240" w:lineRule="auto"/>
      </w:pPr>
      <w:r>
        <w:t>If you are unsure how to code a response, you can write NA.</w:t>
      </w:r>
    </w:p>
    <w:p w14:paraId="1B34E8F9" w14:textId="77777777" w:rsidR="00861989" w:rsidRDefault="00861989" w:rsidP="00861989">
      <w:pPr>
        <w:numPr>
          <w:ilvl w:val="3"/>
          <w:numId w:val="6"/>
        </w:numPr>
        <w:spacing w:line="240" w:lineRule="auto"/>
      </w:pPr>
      <w:r>
        <w:t>Example “NA” coding case: “nnnnnnnnnnn”</w:t>
      </w:r>
    </w:p>
    <w:p w14:paraId="57DA68EE" w14:textId="77777777" w:rsidR="00861989" w:rsidRDefault="00861989" w:rsidP="00861989">
      <w:pPr>
        <w:spacing w:after="160" w:line="240" w:lineRule="auto"/>
        <w:ind w:left="720"/>
        <w:rPr>
          <w:b/>
        </w:rPr>
      </w:pPr>
    </w:p>
    <w:p w14:paraId="70F84F72" w14:textId="77777777" w:rsidR="00861989" w:rsidRDefault="00861989" w:rsidP="00861989">
      <w:pPr>
        <w:numPr>
          <w:ilvl w:val="0"/>
          <w:numId w:val="6"/>
        </w:numPr>
        <w:spacing w:after="160" w:line="240" w:lineRule="auto"/>
      </w:pPr>
      <w:r>
        <w:rPr>
          <w:b/>
        </w:rPr>
        <w:t>Do’s and Don’ts</w:t>
      </w:r>
      <w:r>
        <w:t xml:space="preserve"> Take breaks! This work is hopefully interesting, but it can be cognitively exhausting. If you are having trouble paying attention while you are doing this or if you feel tired of it, please take a break.</w:t>
      </w:r>
    </w:p>
    <w:p w14:paraId="010CB238" w14:textId="77777777" w:rsidR="00861989" w:rsidRDefault="00861989" w:rsidP="00861989">
      <w:pPr>
        <w:numPr>
          <w:ilvl w:val="0"/>
          <w:numId w:val="6"/>
        </w:numPr>
        <w:spacing w:after="160" w:line="240" w:lineRule="auto"/>
      </w:pPr>
      <w:r>
        <w:t>After you label a response, do not go back and change it later. This may be tempting to do after mentally comparing how you rated different responses, but just carefully work through each response and know that your initial rating is final.</w:t>
      </w:r>
    </w:p>
    <w:p w14:paraId="5F1DADBD" w14:textId="77777777" w:rsidR="00861989" w:rsidRDefault="00861989" w:rsidP="00861989">
      <w:pPr>
        <w:numPr>
          <w:ilvl w:val="0"/>
          <w:numId w:val="6"/>
        </w:numPr>
        <w:spacing w:after="160" w:line="240" w:lineRule="auto"/>
      </w:pPr>
      <w:r>
        <w:t>Don’t discuss your ratings with other raters—this will invalidate everyone’s work. Do assign labels for every response in your assigned sheet(s). If you would like to contribute more, please email the person listed at the top of this sheet.</w:t>
      </w:r>
    </w:p>
    <w:p w14:paraId="109F09A0" w14:textId="77777777" w:rsidR="00861989" w:rsidRDefault="00861989" w:rsidP="00861989">
      <w:pPr>
        <w:numPr>
          <w:ilvl w:val="0"/>
          <w:numId w:val="6"/>
        </w:numPr>
        <w:spacing w:after="160" w:line="240" w:lineRule="auto"/>
      </w:pPr>
      <w:r>
        <w:rPr>
          <w:b/>
        </w:rPr>
        <w:lastRenderedPageBreak/>
        <w:t>To summarize, for each set of answers</w:t>
      </w:r>
      <w:r>
        <w:t xml:space="preserve"> Read the answer to the question and assign a label that describes either whether people intuited the study hypothesis (for purpose) or whether people participated in a similar study previously (for previous)</w:t>
      </w:r>
    </w:p>
    <w:p w14:paraId="4040F586" w14:textId="77777777" w:rsidR="00861989" w:rsidRDefault="00861989" w:rsidP="00861989">
      <w:pPr>
        <w:numPr>
          <w:ilvl w:val="0"/>
          <w:numId w:val="6"/>
        </w:numPr>
        <w:spacing w:after="160" w:line="240" w:lineRule="auto"/>
      </w:pPr>
      <w:r>
        <w:rPr>
          <w:b/>
        </w:rPr>
        <w:t>Coding form includes</w:t>
      </w:r>
      <w:r>
        <w:t xml:space="preserve"> [id] A subject id number [survey_lang] [purpose/previous] The answer people gave to the question [code] The code/label that you are assigning to the answer (yes, no, maybe, test)</w:t>
      </w:r>
      <w:r>
        <w:br w:type="page"/>
      </w:r>
    </w:p>
    <w:p w14:paraId="1717EA94" w14:textId="77777777" w:rsidR="00861989" w:rsidRDefault="00861989" w:rsidP="00861989">
      <w:pPr>
        <w:pStyle w:val="Heading1"/>
        <w:spacing w:before="300" w:line="240" w:lineRule="auto"/>
        <w:rPr>
          <w:b w:val="0"/>
        </w:rPr>
      </w:pPr>
      <w:bookmarkStart w:id="60" w:name="_ilhhhxilinl7" w:colFirst="0" w:colLast="0"/>
      <w:bookmarkEnd w:id="60"/>
      <w:r>
        <w:lastRenderedPageBreak/>
        <w:t>Appendix E</w:t>
      </w:r>
    </w:p>
    <w:p w14:paraId="0B8EDB87" w14:textId="77777777" w:rsidR="00861989" w:rsidRDefault="00861989" w:rsidP="00861989">
      <w:pPr>
        <w:spacing w:before="300" w:line="240" w:lineRule="auto"/>
        <w:jc w:val="center"/>
      </w:pPr>
      <w:r>
        <w:t>Extension Vignettes</w:t>
      </w:r>
    </w:p>
    <w:p w14:paraId="02888085" w14:textId="77777777" w:rsidR="00861989" w:rsidRDefault="00861989" w:rsidP="00861989">
      <w:pPr>
        <w:spacing w:after="200"/>
        <w:rPr>
          <w:b/>
        </w:rPr>
      </w:pPr>
      <w:r>
        <w:rPr>
          <w:b/>
        </w:rPr>
        <w:t xml:space="preserve">Art/Julie Vignette </w:t>
      </w:r>
    </w:p>
    <w:p w14:paraId="49B723D1" w14:textId="77777777" w:rsidR="00861989" w:rsidRDefault="00861989" w:rsidP="00861989">
      <w:pPr>
        <w:spacing w:after="200"/>
        <w:ind w:firstLine="720"/>
      </w:pPr>
      <w:r>
        <w:t>An expertise extension was added after the primary protocol of the study by three collection sites (representing 10 samples: AC1804, AC1805, AC1805_N, AC1807, AC1810, AC1808, AC1809, AC1907, AC1907, and AC1940). In this extension, protagonist expertise (two levels: expert and novice) was manipulated in addition to the primary manipulation of propositional knowledge (three levels: knowledge control, gettier case, and ignorance control). Specifically, after subjects completed the main portion of the approved protocol, they were then randomly assigned to receive one of six versions (i.e., 3 propositional knowledge conditions x 2 expertise conditions) of a new vignette created specifically for the proposed extension (Art/Juli). After reading their one randomly assigned vignette, participants then completed dependent measures adapted from the main protocol of the study.</w:t>
      </w:r>
    </w:p>
    <w:p w14:paraId="11E5D6EE" w14:textId="77777777" w:rsidR="00861989" w:rsidRDefault="00861989" w:rsidP="00861989">
      <w:pPr>
        <w:spacing w:after="200" w:line="301" w:lineRule="auto"/>
        <w:rPr>
          <w:b/>
          <w:i/>
        </w:rPr>
      </w:pPr>
      <w:r>
        <w:rPr>
          <w:b/>
          <w:i/>
        </w:rPr>
        <w:t xml:space="preserve">Expert Conditions </w:t>
      </w:r>
    </w:p>
    <w:p w14:paraId="39733650" w14:textId="77777777" w:rsidR="00861989" w:rsidRDefault="00861989" w:rsidP="00861989">
      <w:pPr>
        <w:spacing w:after="200" w:line="240" w:lineRule="auto"/>
        <w:rPr>
          <w:b/>
        </w:rPr>
      </w:pPr>
      <w:r>
        <w:rPr>
          <w:i/>
        </w:rPr>
        <w:t>For the expert Julie vignette, all participants first read:</w:t>
      </w:r>
    </w:p>
    <w:p w14:paraId="13F76A57" w14:textId="77777777" w:rsidR="00861989" w:rsidRDefault="00861989" w:rsidP="00861989">
      <w:pPr>
        <w:pBdr>
          <w:top w:val="nil"/>
          <w:left w:val="nil"/>
          <w:bottom w:val="nil"/>
          <w:right w:val="nil"/>
          <w:between w:val="nil"/>
        </w:pBdr>
        <w:spacing w:after="160" w:line="240" w:lineRule="auto"/>
        <w:ind w:left="720" w:firstLine="720"/>
      </w:pPr>
      <w:r>
        <w:t xml:space="preserve">Julie is an experienced art appraiser who is visiting a museum with her friend to see a special exhibit of rare works of art. Upon entering the museum, a particular painting catches her eye. Julie analyzes the painting’s overall appearance, brush strokes and technique. She examines the signature at the bottom of the painting and tells her friend, “This painting was done by Monet.” </w:t>
      </w:r>
    </w:p>
    <w:p w14:paraId="15B745D4" w14:textId="77777777" w:rsidR="00861989" w:rsidRDefault="00861989" w:rsidP="00861989">
      <w:pPr>
        <w:numPr>
          <w:ilvl w:val="0"/>
          <w:numId w:val="9"/>
        </w:numPr>
        <w:shd w:val="clear" w:color="auto" w:fill="auto"/>
        <w:spacing w:after="200" w:line="301" w:lineRule="auto"/>
      </w:pPr>
      <w:r>
        <w:t xml:space="preserve">In the </w:t>
      </w:r>
      <w:r>
        <w:rPr>
          <w:b/>
        </w:rPr>
        <w:t>knowledge</w:t>
      </w:r>
      <w:r>
        <w:t xml:space="preserve"> condition, participants then read: </w:t>
      </w:r>
    </w:p>
    <w:p w14:paraId="32FE8EAA" w14:textId="77777777" w:rsidR="00861989" w:rsidRDefault="00861989" w:rsidP="00861989">
      <w:pPr>
        <w:pBdr>
          <w:top w:val="nil"/>
          <w:left w:val="nil"/>
          <w:bottom w:val="nil"/>
          <w:right w:val="nil"/>
          <w:between w:val="nil"/>
        </w:pBdr>
        <w:spacing w:after="160" w:line="240" w:lineRule="auto"/>
        <w:ind w:left="720" w:firstLine="720"/>
      </w:pPr>
      <w:r>
        <w:t xml:space="preserve">What Julie does not realize is that a collection of Monet’s paintings was recently found in a residential estate. These paintings were kept in pristine condition and include some never before seen works done by Monet. Julie has never encountered one of these newly discovered works as they have not been available to the public. When she tells her friend, “This painting was done by Monet,” the painting she is looking at is indeed a real work of art done by Monet. </w:t>
      </w:r>
    </w:p>
    <w:p w14:paraId="6AB3CF85" w14:textId="77777777" w:rsidR="00861989" w:rsidRDefault="00861989" w:rsidP="00861989">
      <w:pPr>
        <w:numPr>
          <w:ilvl w:val="0"/>
          <w:numId w:val="8"/>
        </w:numPr>
        <w:shd w:val="clear" w:color="auto" w:fill="auto"/>
        <w:spacing w:after="200" w:line="301" w:lineRule="auto"/>
      </w:pPr>
      <w:r>
        <w:t xml:space="preserve">In the </w:t>
      </w:r>
      <w:r>
        <w:rPr>
          <w:b/>
        </w:rPr>
        <w:t>ignorance</w:t>
      </w:r>
      <w:r>
        <w:t xml:space="preserve"> condition, participants then read: </w:t>
      </w:r>
    </w:p>
    <w:p w14:paraId="0F2D1143" w14:textId="77777777" w:rsidR="00861989" w:rsidRDefault="00861989" w:rsidP="00861989">
      <w:pPr>
        <w:pBdr>
          <w:top w:val="nil"/>
          <w:left w:val="nil"/>
          <w:bottom w:val="nil"/>
          <w:right w:val="nil"/>
          <w:between w:val="nil"/>
        </w:pBdr>
        <w:spacing w:after="160" w:line="240" w:lineRule="auto"/>
        <w:ind w:left="720" w:firstLine="720"/>
      </w:pPr>
      <w:r>
        <w:lastRenderedPageBreak/>
        <w:t xml:space="preserve">What Julie does not realize is that there is a forger in the area who has been illegally duplicating many esteemed artists’ works, including some done by Monet. This forger is very talented and his works have been making their way into local exhibitions. And, when Julie tells her friend, “This painting was done by Monet,” the painting she is looking at is indeed a fake work of art done by the forger, not by Monet. </w:t>
      </w:r>
    </w:p>
    <w:p w14:paraId="4EFBF90D" w14:textId="77777777" w:rsidR="00861989" w:rsidRDefault="00861989" w:rsidP="00861989">
      <w:pPr>
        <w:numPr>
          <w:ilvl w:val="0"/>
          <w:numId w:val="9"/>
        </w:numPr>
        <w:shd w:val="clear" w:color="auto" w:fill="auto"/>
        <w:spacing w:after="200" w:line="301" w:lineRule="auto"/>
      </w:pPr>
      <w:r>
        <w:t xml:space="preserve">In the </w:t>
      </w:r>
      <w:r>
        <w:rPr>
          <w:b/>
        </w:rPr>
        <w:t xml:space="preserve">Gettier </w:t>
      </w:r>
      <w:r>
        <w:t xml:space="preserve">condition, participants then read: </w:t>
      </w:r>
    </w:p>
    <w:p w14:paraId="338E4D07" w14:textId="77777777" w:rsidR="00861989" w:rsidRDefault="00861989" w:rsidP="00861989">
      <w:pPr>
        <w:pBdr>
          <w:top w:val="nil"/>
          <w:left w:val="nil"/>
          <w:bottom w:val="nil"/>
          <w:right w:val="nil"/>
          <w:between w:val="nil"/>
        </w:pBdr>
        <w:spacing w:after="160" w:line="240" w:lineRule="auto"/>
        <w:ind w:left="720" w:firstLine="720"/>
      </w:pPr>
      <w:r>
        <w:t xml:space="preserve">What Julie does not realize is that there is a forger in the area who has been illegally duplicating many esteemed artists’ works, including some done by Monet. This forger is very talented and his works are starting to make their way into local exhibitions. Still, when Julie tells her friend, “This painting was done by Monet,” the painting she is looking at is indeed a real work of art done by Monet. </w:t>
      </w:r>
    </w:p>
    <w:p w14:paraId="752DCF32" w14:textId="77777777" w:rsidR="00861989" w:rsidRDefault="00861989" w:rsidP="00861989">
      <w:pPr>
        <w:spacing w:after="200" w:line="301" w:lineRule="auto"/>
        <w:rPr>
          <w:b/>
          <w:i/>
        </w:rPr>
      </w:pPr>
      <w:r>
        <w:rPr>
          <w:b/>
          <w:i/>
        </w:rPr>
        <w:t>Novice Conditions</w:t>
      </w:r>
    </w:p>
    <w:p w14:paraId="7972A034" w14:textId="77777777" w:rsidR="00861989" w:rsidRDefault="00861989" w:rsidP="00861989">
      <w:pPr>
        <w:spacing w:after="200" w:line="240" w:lineRule="auto"/>
        <w:rPr>
          <w:i/>
        </w:rPr>
      </w:pPr>
      <w:r>
        <w:rPr>
          <w:i/>
        </w:rPr>
        <w:t>For the novice Julie vignette, all participants first read:</w:t>
      </w:r>
    </w:p>
    <w:p w14:paraId="3D78F296" w14:textId="77777777" w:rsidR="00861989" w:rsidRDefault="00861989" w:rsidP="00861989">
      <w:pPr>
        <w:pBdr>
          <w:top w:val="nil"/>
          <w:left w:val="nil"/>
          <w:bottom w:val="nil"/>
          <w:right w:val="nil"/>
          <w:between w:val="nil"/>
        </w:pBdr>
        <w:spacing w:after="160" w:line="240" w:lineRule="auto"/>
        <w:ind w:left="720" w:firstLine="720"/>
      </w:pPr>
      <w:r>
        <w:t xml:space="preserve">Julie is visiting a museum with her friend to see a special exhibit of rare works of art. Upon entering the museum, a particular painting catches her eye. Julie analyzes the painting’s overall appearance, brush strokes and technique. She examines the signature at the bottom of the painting and tells her friend, “This painting was done by Monet.” </w:t>
      </w:r>
    </w:p>
    <w:p w14:paraId="63FF3C88" w14:textId="77777777" w:rsidR="00861989" w:rsidRDefault="00861989" w:rsidP="00861989">
      <w:pPr>
        <w:numPr>
          <w:ilvl w:val="0"/>
          <w:numId w:val="9"/>
        </w:numPr>
        <w:shd w:val="clear" w:color="auto" w:fill="auto"/>
        <w:spacing w:after="200" w:line="301" w:lineRule="auto"/>
      </w:pPr>
      <w:r>
        <w:t xml:space="preserve">In the </w:t>
      </w:r>
      <w:r>
        <w:rPr>
          <w:b/>
        </w:rPr>
        <w:t>knowledge</w:t>
      </w:r>
      <w:r>
        <w:t xml:space="preserve"> condition, participants then read: </w:t>
      </w:r>
      <w:r>
        <w:rPr>
          <w:u w:val="single"/>
        </w:rPr>
        <w:t xml:space="preserve"> </w:t>
      </w:r>
    </w:p>
    <w:p w14:paraId="51C217A7" w14:textId="77777777" w:rsidR="00861989" w:rsidRDefault="00861989" w:rsidP="00861989">
      <w:pPr>
        <w:pBdr>
          <w:top w:val="nil"/>
          <w:left w:val="nil"/>
          <w:bottom w:val="nil"/>
          <w:right w:val="nil"/>
          <w:between w:val="nil"/>
        </w:pBdr>
        <w:spacing w:after="160" w:line="240" w:lineRule="auto"/>
        <w:ind w:left="720" w:firstLine="720"/>
      </w:pPr>
      <w:r>
        <w:t>What Julie does not realize is that a collection of Monet’s paintings was recently found in a residential estate. These paintings were kept in pristine condition and include some never before seen works done by Monet.</w:t>
      </w:r>
    </w:p>
    <w:p w14:paraId="1E12513D" w14:textId="77777777" w:rsidR="00861989" w:rsidRDefault="00861989" w:rsidP="00861989">
      <w:pPr>
        <w:pBdr>
          <w:top w:val="nil"/>
          <w:left w:val="nil"/>
          <w:bottom w:val="nil"/>
          <w:right w:val="nil"/>
          <w:between w:val="nil"/>
        </w:pBdr>
        <w:spacing w:after="160" w:line="240" w:lineRule="auto"/>
        <w:ind w:left="720" w:firstLine="720"/>
      </w:pPr>
      <w:r>
        <w:t xml:space="preserve">Julie has never encountered one of these newly discovered works as they have not been available to the public. When she tells her friend, “This painting was done by Monet,” the painting she is looking at is indeed a real work of art done by Monet. </w:t>
      </w:r>
    </w:p>
    <w:p w14:paraId="3FC35665" w14:textId="77777777" w:rsidR="00861989" w:rsidRDefault="00861989" w:rsidP="00861989">
      <w:pPr>
        <w:numPr>
          <w:ilvl w:val="0"/>
          <w:numId w:val="8"/>
        </w:numPr>
        <w:shd w:val="clear" w:color="auto" w:fill="auto"/>
        <w:spacing w:after="200" w:line="301" w:lineRule="auto"/>
      </w:pPr>
      <w:r>
        <w:t xml:space="preserve">In the </w:t>
      </w:r>
      <w:r>
        <w:rPr>
          <w:b/>
        </w:rPr>
        <w:t>ignorance</w:t>
      </w:r>
      <w:r>
        <w:t xml:space="preserve"> condition, participants then read: </w:t>
      </w:r>
    </w:p>
    <w:p w14:paraId="43D6343D" w14:textId="77777777" w:rsidR="00861989" w:rsidRDefault="00861989" w:rsidP="00861989">
      <w:pPr>
        <w:spacing w:after="160" w:line="240" w:lineRule="auto"/>
        <w:ind w:left="720" w:firstLine="720"/>
      </w:pPr>
      <w:r>
        <w:t xml:space="preserve">What Julie does not realize is that there is a forger in the area who has been illegally duplicating many esteemed artists’ works, including some done by Monet. This forger is very talented and his works have been making their way into local exhibitions. And, when Julie tells her friend, “This painting was done by Monet,” the painting she is looking at is indeed a fake work of art done by the forger, not by Monet. </w:t>
      </w:r>
    </w:p>
    <w:p w14:paraId="0B9ECFF2" w14:textId="77777777" w:rsidR="00861989" w:rsidRDefault="00861989" w:rsidP="00861989">
      <w:pPr>
        <w:numPr>
          <w:ilvl w:val="0"/>
          <w:numId w:val="8"/>
        </w:numPr>
        <w:shd w:val="clear" w:color="auto" w:fill="auto"/>
        <w:spacing w:after="200" w:line="301" w:lineRule="auto"/>
      </w:pPr>
      <w:r>
        <w:t xml:space="preserve">In the </w:t>
      </w:r>
      <w:r>
        <w:rPr>
          <w:b/>
        </w:rPr>
        <w:t xml:space="preserve">Gettier </w:t>
      </w:r>
      <w:r>
        <w:t xml:space="preserve">condition, participants then read:  </w:t>
      </w:r>
    </w:p>
    <w:p w14:paraId="669C2AD6" w14:textId="77777777" w:rsidR="00861989" w:rsidRDefault="00861989" w:rsidP="00861989">
      <w:pPr>
        <w:pBdr>
          <w:top w:val="nil"/>
          <w:left w:val="nil"/>
          <w:bottom w:val="nil"/>
          <w:right w:val="nil"/>
          <w:between w:val="nil"/>
        </w:pBdr>
        <w:spacing w:after="160" w:line="240" w:lineRule="auto"/>
        <w:ind w:left="720" w:firstLine="720"/>
      </w:pPr>
      <w:r>
        <w:t xml:space="preserve">What Julie does not realize is that there is a forger in the area who has been illegally duplicating many esteemed artists’ works, including some done by Monet. This forger is very talented and his works are starting to make their way into local exhibitions. Still, when Julie tells her friend, “This painting was done by Monet,” the painting she is looking at is indeed a real work of art done by Monet. </w:t>
      </w:r>
    </w:p>
    <w:p w14:paraId="10244F3A" w14:textId="77777777" w:rsidR="00861989" w:rsidRDefault="00861989" w:rsidP="00861989">
      <w:pPr>
        <w:spacing w:before="200" w:after="200" w:line="240" w:lineRule="auto"/>
        <w:rPr>
          <w:i/>
        </w:rPr>
      </w:pPr>
      <w:r>
        <w:rPr>
          <w:b/>
          <w:i/>
        </w:rPr>
        <w:t>Measured Variables for Art/Julie (Presented in this Order)</w:t>
      </w:r>
    </w:p>
    <w:p w14:paraId="5C0024BB" w14:textId="77777777" w:rsidR="00861989" w:rsidRDefault="00861989" w:rsidP="00861989">
      <w:pPr>
        <w:numPr>
          <w:ilvl w:val="0"/>
          <w:numId w:val="3"/>
        </w:numPr>
        <w:shd w:val="clear" w:color="auto" w:fill="auto"/>
        <w:spacing w:line="240" w:lineRule="auto"/>
      </w:pPr>
      <w:r>
        <w:lastRenderedPageBreak/>
        <w:t>Primary knowledge probe (based on Turri et al., 2015):</w:t>
      </w:r>
    </w:p>
    <w:p w14:paraId="0C8E10C6" w14:textId="77777777" w:rsidR="00861989" w:rsidRDefault="00861989" w:rsidP="00861989">
      <w:pPr>
        <w:numPr>
          <w:ilvl w:val="1"/>
          <w:numId w:val="3"/>
        </w:numPr>
        <w:shd w:val="clear" w:color="auto" w:fill="auto"/>
        <w:spacing w:line="240" w:lineRule="auto"/>
      </w:pPr>
      <w:r>
        <w:t xml:space="preserve"> </w:t>
      </w:r>
      <w:r>
        <w:rPr>
          <w:b/>
        </w:rPr>
        <w:t>“Julie ______ that she is looking at a real painting done by Monet.”</w:t>
      </w:r>
    </w:p>
    <w:p w14:paraId="4126328D" w14:textId="77777777" w:rsidR="00861989" w:rsidRDefault="00861989" w:rsidP="00861989">
      <w:pPr>
        <w:numPr>
          <w:ilvl w:val="2"/>
          <w:numId w:val="3"/>
        </w:numPr>
        <w:shd w:val="clear" w:color="auto" w:fill="auto"/>
        <w:spacing w:line="240" w:lineRule="auto"/>
      </w:pPr>
      <w:r>
        <w:t xml:space="preserve">Visual analogue scale, 0-100: </w:t>
      </w:r>
    </w:p>
    <w:p w14:paraId="716E3505" w14:textId="77777777" w:rsidR="00861989" w:rsidRDefault="00861989" w:rsidP="00861989">
      <w:pPr>
        <w:numPr>
          <w:ilvl w:val="3"/>
          <w:numId w:val="3"/>
        </w:numPr>
        <w:shd w:val="clear" w:color="auto" w:fill="auto"/>
        <w:spacing w:line="240" w:lineRule="auto"/>
      </w:pPr>
      <w:r>
        <w:t>[only believes &lt;-------------------------&gt; knows]</w:t>
      </w:r>
    </w:p>
    <w:p w14:paraId="2BF4ECF1" w14:textId="77777777" w:rsidR="00861989" w:rsidRDefault="00861989" w:rsidP="00861989">
      <w:pPr>
        <w:numPr>
          <w:ilvl w:val="0"/>
          <w:numId w:val="3"/>
        </w:numPr>
        <w:shd w:val="clear" w:color="auto" w:fill="auto"/>
        <w:spacing w:line="240" w:lineRule="auto"/>
      </w:pPr>
      <w:r>
        <w:t xml:space="preserve">Comprehension question (based on Turri et al., 2015): </w:t>
      </w:r>
    </w:p>
    <w:p w14:paraId="6E329138" w14:textId="77777777" w:rsidR="00861989" w:rsidRDefault="00861989" w:rsidP="00861989">
      <w:pPr>
        <w:numPr>
          <w:ilvl w:val="1"/>
          <w:numId w:val="3"/>
        </w:numPr>
        <w:shd w:val="clear" w:color="auto" w:fill="auto"/>
        <w:spacing w:line="240" w:lineRule="auto"/>
        <w:rPr>
          <w:b/>
        </w:rPr>
      </w:pPr>
      <w:r>
        <w:rPr>
          <w:b/>
        </w:rPr>
        <w:t>“Julie is pointing at a _____. ”</w:t>
      </w:r>
    </w:p>
    <w:p w14:paraId="24FA0FF9" w14:textId="77777777" w:rsidR="00861989" w:rsidRDefault="00861989" w:rsidP="00861989">
      <w:pPr>
        <w:numPr>
          <w:ilvl w:val="2"/>
          <w:numId w:val="3"/>
        </w:numPr>
        <w:shd w:val="clear" w:color="auto" w:fill="auto"/>
        <w:spacing w:line="240" w:lineRule="auto"/>
      </w:pPr>
      <w:r>
        <w:t>Binary: [real painting done by Monet/fake painting done by a forger]</w:t>
      </w:r>
    </w:p>
    <w:p w14:paraId="28439C66" w14:textId="77777777" w:rsidR="00861989" w:rsidRDefault="00861989" w:rsidP="00861989">
      <w:pPr>
        <w:numPr>
          <w:ilvl w:val="0"/>
          <w:numId w:val="3"/>
        </w:numPr>
        <w:shd w:val="clear" w:color="auto" w:fill="auto"/>
        <w:spacing w:line="240" w:lineRule="auto"/>
      </w:pPr>
      <w:r>
        <w:t>Reasonableness probe (based on Turri et al., 2015):</w:t>
      </w:r>
    </w:p>
    <w:p w14:paraId="44D3BFD5" w14:textId="77777777" w:rsidR="00861989" w:rsidRDefault="00861989" w:rsidP="00861989">
      <w:pPr>
        <w:numPr>
          <w:ilvl w:val="1"/>
          <w:numId w:val="3"/>
        </w:numPr>
        <w:shd w:val="clear" w:color="auto" w:fill="auto"/>
        <w:spacing w:line="240" w:lineRule="auto"/>
        <w:rPr>
          <w:b/>
        </w:rPr>
      </w:pPr>
      <w:r>
        <w:rPr>
          <w:b/>
        </w:rPr>
        <w:t xml:space="preserve">“It is _____ for Julie to think that she is pointing at a real painting done by Monet.” </w:t>
      </w:r>
    </w:p>
    <w:p w14:paraId="0A7332DD" w14:textId="77777777" w:rsidR="00861989" w:rsidRDefault="00861989" w:rsidP="00861989">
      <w:pPr>
        <w:numPr>
          <w:ilvl w:val="2"/>
          <w:numId w:val="3"/>
        </w:numPr>
        <w:shd w:val="clear" w:color="auto" w:fill="auto"/>
        <w:spacing w:line="240" w:lineRule="auto"/>
      </w:pPr>
      <w:r>
        <w:t>Visual analogue scale, 0-100:</w:t>
      </w:r>
    </w:p>
    <w:p w14:paraId="0072EBA8" w14:textId="77777777" w:rsidR="00861989" w:rsidRDefault="00861989" w:rsidP="00861989">
      <w:pPr>
        <w:numPr>
          <w:ilvl w:val="3"/>
          <w:numId w:val="3"/>
        </w:numPr>
        <w:shd w:val="clear" w:color="auto" w:fill="auto"/>
        <w:spacing w:line="240" w:lineRule="auto"/>
      </w:pPr>
      <w:r>
        <w:t>[unreasonable &lt;-------------------------&gt; reasonable]</w:t>
      </w:r>
    </w:p>
    <w:p w14:paraId="53C73551" w14:textId="77777777" w:rsidR="00861989" w:rsidRDefault="00861989" w:rsidP="00861989">
      <w:pPr>
        <w:numPr>
          <w:ilvl w:val="0"/>
          <w:numId w:val="3"/>
        </w:numPr>
        <w:shd w:val="clear" w:color="auto" w:fill="auto"/>
        <w:spacing w:line="240" w:lineRule="auto"/>
      </w:pPr>
      <w:r>
        <w:t>Luck/Ability probe (based on Turri, 2016b)</w:t>
      </w:r>
    </w:p>
    <w:p w14:paraId="1C55417E" w14:textId="77777777" w:rsidR="00861989" w:rsidRDefault="00861989" w:rsidP="00861989">
      <w:pPr>
        <w:numPr>
          <w:ilvl w:val="1"/>
          <w:numId w:val="3"/>
        </w:numPr>
        <w:shd w:val="clear" w:color="auto" w:fill="auto"/>
        <w:spacing w:line="240" w:lineRule="auto"/>
        <w:rPr>
          <w:b/>
        </w:rPr>
      </w:pPr>
      <w:r>
        <w:rPr>
          <w:b/>
        </w:rPr>
        <w:t>“Julie got the ______ answer because of her  _____.”</w:t>
      </w:r>
    </w:p>
    <w:p w14:paraId="0DBE2E48" w14:textId="77777777" w:rsidR="00861989" w:rsidRDefault="00861989" w:rsidP="00861989">
      <w:pPr>
        <w:numPr>
          <w:ilvl w:val="2"/>
          <w:numId w:val="3"/>
        </w:numPr>
        <w:shd w:val="clear" w:color="auto" w:fill="auto"/>
        <w:spacing w:line="240" w:lineRule="auto"/>
      </w:pPr>
      <w:r>
        <w:t xml:space="preserve">Requires two responses: </w:t>
      </w:r>
    </w:p>
    <w:p w14:paraId="540239C6" w14:textId="77777777" w:rsidR="00861989" w:rsidRDefault="00861989" w:rsidP="00861989">
      <w:pPr>
        <w:numPr>
          <w:ilvl w:val="3"/>
          <w:numId w:val="3"/>
        </w:numPr>
        <w:shd w:val="clear" w:color="auto" w:fill="auto"/>
        <w:spacing w:line="240" w:lineRule="auto"/>
      </w:pPr>
      <w:r>
        <w:t>Binary: [right/wrong]</w:t>
      </w:r>
    </w:p>
    <w:p w14:paraId="746F54EA" w14:textId="77777777" w:rsidR="00861989" w:rsidRDefault="00861989" w:rsidP="00861989">
      <w:pPr>
        <w:numPr>
          <w:ilvl w:val="3"/>
          <w:numId w:val="3"/>
        </w:numPr>
        <w:shd w:val="clear" w:color="auto" w:fill="auto"/>
        <w:spacing w:line="240" w:lineRule="auto"/>
      </w:pPr>
      <w:r>
        <w:t>Visual analogue scale, 0-100:</w:t>
      </w:r>
    </w:p>
    <w:p w14:paraId="6E199C1A" w14:textId="77777777" w:rsidR="00861989" w:rsidRDefault="00861989" w:rsidP="00861989">
      <w:pPr>
        <w:numPr>
          <w:ilvl w:val="4"/>
          <w:numId w:val="3"/>
        </w:numPr>
        <w:shd w:val="clear" w:color="auto" w:fill="auto"/>
        <w:spacing w:line="240" w:lineRule="auto"/>
      </w:pPr>
      <w:r>
        <w:t>[(in)ability&lt;-------------------------&gt; (good/bad) luck]</w:t>
      </w:r>
    </w:p>
    <w:p w14:paraId="67867E77" w14:textId="77777777" w:rsidR="00861989" w:rsidRDefault="00861989" w:rsidP="00861989">
      <w:pPr>
        <w:numPr>
          <w:ilvl w:val="0"/>
          <w:numId w:val="3"/>
        </w:numPr>
        <w:shd w:val="clear" w:color="auto" w:fill="auto"/>
        <w:spacing w:line="240" w:lineRule="auto"/>
      </w:pPr>
      <w:r>
        <w:t>Alternative knowledge probe (based on Nagel et al., 2013)</w:t>
      </w:r>
    </w:p>
    <w:p w14:paraId="2DAE8029" w14:textId="77777777" w:rsidR="00861989" w:rsidRDefault="00861989" w:rsidP="00861989">
      <w:pPr>
        <w:numPr>
          <w:ilvl w:val="1"/>
          <w:numId w:val="3"/>
        </w:numPr>
        <w:shd w:val="clear" w:color="auto" w:fill="auto"/>
        <w:spacing w:line="240" w:lineRule="auto"/>
        <w:rPr>
          <w:b/>
        </w:rPr>
      </w:pPr>
      <w:r>
        <w:rPr>
          <w:b/>
        </w:rPr>
        <w:t>“In your view, which of the following sentences better describes Julie’s situation?”</w:t>
      </w:r>
    </w:p>
    <w:p w14:paraId="1A777213" w14:textId="77777777" w:rsidR="00861989" w:rsidRDefault="00861989" w:rsidP="00861989">
      <w:pPr>
        <w:numPr>
          <w:ilvl w:val="2"/>
          <w:numId w:val="3"/>
        </w:numPr>
        <w:shd w:val="clear" w:color="auto" w:fill="auto"/>
        <w:spacing w:line="240" w:lineRule="auto"/>
        <w:rPr>
          <w:b/>
        </w:rPr>
      </w:pPr>
      <w:r>
        <w:t>Binary: ["Julie knows that the painting she is pointing at is a real painting done by Monet." OR "Julie feels like she knows that the painting she is pointing at is a real painting done by Monet, but she doesn't actually know that it is."]</w:t>
      </w:r>
    </w:p>
    <w:p w14:paraId="17DCE75A" w14:textId="77777777" w:rsidR="00455E2B" w:rsidRPr="00455E2B" w:rsidRDefault="00455E2B" w:rsidP="00455E2B">
      <w:pPr>
        <w:shd w:val="clear" w:color="auto" w:fill="auto"/>
        <w:ind w:left="720" w:hanging="720"/>
        <w:rPr>
          <w:color w:val="000000"/>
          <w:lang w:val="en-US"/>
        </w:rPr>
      </w:pPr>
    </w:p>
    <w:p w14:paraId="2FB0C99B" w14:textId="77777777" w:rsidR="00455E2B" w:rsidRPr="00455E2B" w:rsidRDefault="00455E2B" w:rsidP="00455E2B">
      <w:pPr>
        <w:shd w:val="clear" w:color="auto" w:fill="auto"/>
        <w:spacing w:after="240" w:line="240" w:lineRule="auto"/>
        <w:rPr>
          <w:lang w:val="en-US"/>
        </w:rPr>
      </w:pPr>
    </w:p>
    <w:p w14:paraId="0BC9B8D1" w14:textId="77777777" w:rsidR="00E03554" w:rsidRDefault="00E03554">
      <w:pPr>
        <w:spacing w:after="160"/>
      </w:pPr>
    </w:p>
    <w:sectPr w:rsidR="00E035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5A9CD" w14:textId="77777777" w:rsidR="008556F9" w:rsidRDefault="008556F9">
      <w:pPr>
        <w:spacing w:line="240" w:lineRule="auto"/>
      </w:pPr>
      <w:r>
        <w:separator/>
      </w:r>
    </w:p>
  </w:endnote>
  <w:endnote w:type="continuationSeparator" w:id="0">
    <w:p w14:paraId="748936E8" w14:textId="77777777" w:rsidR="008556F9" w:rsidRDefault="008556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868A2" w14:textId="77777777" w:rsidR="008556F9" w:rsidRDefault="008556F9">
      <w:pPr>
        <w:spacing w:line="240" w:lineRule="auto"/>
      </w:pPr>
      <w:r>
        <w:separator/>
      </w:r>
    </w:p>
  </w:footnote>
  <w:footnote w:type="continuationSeparator" w:id="0">
    <w:p w14:paraId="1C5DF91F" w14:textId="77777777" w:rsidR="008556F9" w:rsidRDefault="008556F9">
      <w:pPr>
        <w:spacing w:line="240" w:lineRule="auto"/>
      </w:pPr>
      <w:r>
        <w:continuationSeparator/>
      </w:r>
    </w:p>
  </w:footnote>
  <w:footnote w:id="1">
    <w:p w14:paraId="1AEA7F6B" w14:textId="77777777" w:rsidR="00E03554" w:rsidRDefault="00DF0CFA">
      <w:pPr>
        <w:spacing w:line="240" w:lineRule="auto"/>
        <w:rPr>
          <w:sz w:val="20"/>
          <w:szCs w:val="20"/>
        </w:rPr>
      </w:pPr>
      <w:r>
        <w:rPr>
          <w:vertAlign w:val="superscript"/>
        </w:rPr>
        <w:footnoteRef/>
      </w:r>
      <w:r>
        <w:rPr>
          <w:sz w:val="20"/>
          <w:szCs w:val="20"/>
        </w:rPr>
        <w:t xml:space="preserve"> </w:t>
      </w:r>
      <w:r>
        <w:rPr>
          <w:sz w:val="21"/>
          <w:szCs w:val="21"/>
        </w:rPr>
        <w:t>The Stage 1 registered report manuscript included sections that described the recruitment and approval of collaborators who would collect data. We have restructured the Method section to more closely resemble that of a typical empirical article. The original text, updated to reflect the study’s completion, can be found in Appendix A.</w:t>
      </w:r>
    </w:p>
  </w:footnote>
  <w:footnote w:id="2">
    <w:p w14:paraId="3126F2D4" w14:textId="77777777" w:rsidR="00E03554" w:rsidRDefault="00DF0CFA">
      <w:pPr>
        <w:spacing w:line="240" w:lineRule="auto"/>
        <w:rPr>
          <w:sz w:val="20"/>
          <w:szCs w:val="20"/>
        </w:rPr>
      </w:pPr>
      <w:r>
        <w:rPr>
          <w:vertAlign w:val="superscript"/>
        </w:rPr>
        <w:footnoteRef/>
      </w:r>
      <w:r>
        <w:rPr>
          <w:sz w:val="20"/>
          <w:szCs w:val="20"/>
        </w:rPr>
        <w:t xml:space="preserve"> </w:t>
      </w:r>
      <w:r>
        <w:rPr>
          <w:sz w:val="21"/>
          <w:szCs w:val="21"/>
        </w:rPr>
        <w:t>In the approved protocol, we described a plan for data collection whereby each lab pre-registered a target sample size of 50-100 and stopped collecting data on April 1, 2020 or once all contributors reached their pre-registered target sample size. Due to the COVID-19 pandemic, this plan was not followed. The deadline for data collection was extended to June 1, 2021. Many data collection sites stopped collecting data earlier.</w:t>
      </w:r>
    </w:p>
  </w:footnote>
  <w:footnote w:id="3">
    <w:p w14:paraId="3E3E8961" w14:textId="77777777" w:rsidR="00E03554" w:rsidRDefault="00DF0CFA">
      <w:pPr>
        <w:spacing w:line="240" w:lineRule="auto"/>
        <w:rPr>
          <w:sz w:val="20"/>
          <w:szCs w:val="20"/>
        </w:rPr>
      </w:pPr>
      <w:r>
        <w:rPr>
          <w:vertAlign w:val="superscript"/>
        </w:rPr>
        <w:footnoteRef/>
      </w:r>
      <w:r>
        <w:rPr>
          <w:sz w:val="20"/>
          <w:szCs w:val="20"/>
        </w:rPr>
        <w:t xml:space="preserve"> </w:t>
      </w:r>
      <w:r>
        <w:rPr>
          <w:sz w:val="21"/>
          <w:szCs w:val="21"/>
        </w:rPr>
        <w:t>There may be measurement error in participants' reported years of education. Less than the equivalent of a high school diploma was reported by 620 participants, 52 of whom reported one year of education.</w:t>
      </w:r>
    </w:p>
  </w:footnote>
  <w:footnote w:id="4">
    <w:p w14:paraId="00292A54" w14:textId="77777777" w:rsidR="00E03554" w:rsidRDefault="00DF0CFA">
      <w:pPr>
        <w:spacing w:line="240" w:lineRule="auto"/>
        <w:rPr>
          <w:sz w:val="21"/>
          <w:szCs w:val="21"/>
        </w:rPr>
      </w:pPr>
      <w:r>
        <w:rPr>
          <w:vertAlign w:val="superscript"/>
        </w:rPr>
        <w:footnoteRef/>
      </w:r>
      <w:r>
        <w:rPr>
          <w:rFonts w:ascii="Arial" w:eastAsia="Arial" w:hAnsi="Arial" w:cs="Arial"/>
          <w:sz w:val="21"/>
          <w:szCs w:val="21"/>
        </w:rPr>
        <w:t xml:space="preserve"> </w:t>
      </w:r>
      <w:r>
        <w:rPr>
          <w:sz w:val="21"/>
          <w:szCs w:val="21"/>
        </w:rPr>
        <w:t>While we planned to measure participants’ racial and ethnic identities using an open-ended response, racial and ethnic identity was measured using non-exclusive categories with an open-ended fill-in option for reasons that were not documented. Student research teams designed different response options tailored to their geographic region (see all variations in Appendix C). All data collection sites allowed people to select multiple racial and ethnic identities, and all asked whether participants identified as White (either “White/European”, “White/European descent”, or “European descent”).</w:t>
      </w:r>
    </w:p>
  </w:footnote>
  <w:footnote w:id="5">
    <w:p w14:paraId="4649950F" w14:textId="77777777" w:rsidR="00E03554" w:rsidRDefault="00DF0CFA">
      <w:pPr>
        <w:spacing w:line="240" w:lineRule="auto"/>
        <w:rPr>
          <w:sz w:val="20"/>
          <w:szCs w:val="20"/>
        </w:rPr>
      </w:pPr>
      <w:r>
        <w:rPr>
          <w:vertAlign w:val="superscript"/>
        </w:rPr>
        <w:footnoteRef/>
      </w:r>
      <w:r>
        <w:rPr>
          <w:sz w:val="20"/>
          <w:szCs w:val="20"/>
          <w:vertAlign w:val="superscript"/>
        </w:rPr>
        <w:t xml:space="preserve"> </w:t>
      </w:r>
      <w:r>
        <w:rPr>
          <w:color w:val="333333"/>
          <w:sz w:val="21"/>
          <w:szCs w:val="21"/>
        </w:rPr>
        <w:t>We did not pre-register the exclusion of people who reported their age as over 100; 7 people were excluded on the basis of this criteria alone (i.e., they did not meet any other exclusion criteria). These responses may have been errors in data entry, or they may have been unlabeled test responses.</w:t>
      </w:r>
    </w:p>
  </w:footnote>
  <w:footnote w:id="6">
    <w:p w14:paraId="0FE8314D" w14:textId="77777777" w:rsidR="00E03554" w:rsidRDefault="00DF0CFA">
      <w:pPr>
        <w:spacing w:line="240" w:lineRule="auto"/>
        <w:rPr>
          <w:sz w:val="20"/>
          <w:szCs w:val="20"/>
        </w:rPr>
      </w:pPr>
      <w:r>
        <w:rPr>
          <w:vertAlign w:val="superscript"/>
        </w:rPr>
        <w:footnoteRef/>
      </w:r>
      <w:r>
        <w:rPr>
          <w:color w:val="333333"/>
          <w:sz w:val="21"/>
          <w:szCs w:val="21"/>
        </w:rPr>
        <w:t xml:space="preserve"> </w:t>
      </w:r>
      <w:proofErr w:type="spellStart"/>
      <w:r>
        <w:rPr>
          <w:color w:val="333333"/>
          <w:sz w:val="21"/>
          <w:szCs w:val="21"/>
        </w:rPr>
        <w:t>Turri</w:t>
      </w:r>
      <w:proofErr w:type="spellEnd"/>
      <w:r>
        <w:rPr>
          <w:color w:val="333333"/>
          <w:sz w:val="21"/>
          <w:szCs w:val="21"/>
        </w:rPr>
        <w:t xml:space="preserve"> et al. (2015) used the same type of question for the same purpose and excluded 15 of 135 participants on this basis. </w:t>
      </w:r>
    </w:p>
  </w:footnote>
  <w:footnote w:id="7">
    <w:p w14:paraId="59B81875" w14:textId="77777777" w:rsidR="00E03554" w:rsidRDefault="00DF0CFA">
      <w:pPr>
        <w:spacing w:line="240" w:lineRule="auto"/>
        <w:rPr>
          <w:sz w:val="20"/>
          <w:szCs w:val="20"/>
        </w:rPr>
      </w:pPr>
      <w:r>
        <w:rPr>
          <w:vertAlign w:val="superscript"/>
        </w:rPr>
        <w:footnoteRef/>
      </w:r>
      <w:r>
        <w:rPr>
          <w:sz w:val="20"/>
          <w:szCs w:val="20"/>
          <w:vertAlign w:val="superscript"/>
        </w:rPr>
        <w:t xml:space="preserve"> </w:t>
      </w:r>
      <w:r>
        <w:rPr>
          <w:color w:val="333333"/>
          <w:sz w:val="21"/>
          <w:szCs w:val="21"/>
        </w:rPr>
        <w:t>The approved protocol described a power analysis conducted prior to data collection. The text from the original protocol is reproduced in full in Appendix A, and is summarized here.</w:t>
      </w:r>
    </w:p>
  </w:footnote>
  <w:footnote w:id="8">
    <w:p w14:paraId="068F3745" w14:textId="77777777" w:rsidR="00E03554" w:rsidRDefault="00DF0CFA">
      <w:pPr>
        <w:spacing w:line="240" w:lineRule="auto"/>
      </w:pPr>
      <w:r>
        <w:rPr>
          <w:vertAlign w:val="superscript"/>
        </w:rPr>
        <w:footnoteRef/>
      </w:r>
      <w:r>
        <w:rPr>
          <w:sz w:val="20"/>
          <w:szCs w:val="20"/>
          <w:vertAlign w:val="superscript"/>
        </w:rPr>
        <w:t xml:space="preserve"> </w:t>
      </w:r>
      <w:r>
        <w:rPr>
          <w:color w:val="333333"/>
        </w:rPr>
        <w:t>Teams that participated in this extension were required to collect twice as many participants so that they could meet the sample size requirement (</w:t>
      </w:r>
      <w:r>
        <w:rPr>
          <w:i/>
          <w:color w:val="333333"/>
        </w:rPr>
        <w:t>n</w:t>
      </w:r>
      <w:r>
        <w:rPr>
          <w:color w:val="333333"/>
        </w:rPr>
        <w:t xml:space="preserve"> = 50) for participants using only the pre-approved continuous measure (half in the continuous condition and half in the binary condition; </w:t>
      </w:r>
      <w:r>
        <w:rPr>
          <w:i/>
          <w:color w:val="333333"/>
        </w:rPr>
        <w:t>n</w:t>
      </w:r>
      <w:r>
        <w:rPr>
          <w:color w:val="333333"/>
        </w:rPr>
        <w:t xml:space="preserve"> &gt; 100). However, because we converted all continuous responses to binary responses (see Analytic Approach section below for more details), the binary responses collected using this extension were also included with the converted binary responses in analyses.</w:t>
      </w:r>
    </w:p>
  </w:footnote>
  <w:footnote w:id="9">
    <w:p w14:paraId="3F4801B9" w14:textId="77777777" w:rsidR="00E03554" w:rsidRDefault="00DF0CFA">
      <w:pPr>
        <w:spacing w:line="240" w:lineRule="auto"/>
        <w:rPr>
          <w:sz w:val="20"/>
          <w:szCs w:val="20"/>
        </w:rPr>
      </w:pPr>
      <w:r>
        <w:rPr>
          <w:vertAlign w:val="superscript"/>
        </w:rPr>
        <w:footnoteRef/>
      </w:r>
      <w:r>
        <w:rPr>
          <w:sz w:val="20"/>
          <w:szCs w:val="20"/>
        </w:rPr>
        <w:t xml:space="preserve"> </w:t>
      </w:r>
      <w:r>
        <w:rPr>
          <w:color w:val="333333"/>
          <w:sz w:val="21"/>
          <w:szCs w:val="21"/>
        </w:rPr>
        <w:t>For participants from the United States, less than a high- school education was coded as 10 years, a high school diploma was coded as 12 years, some college or a 2-year college degree was coded as 14 years, a 4-year college degree was coded as 16 years, a master’s was coded as 18 years, and a doctorate or professional degree was coded as 20 years. For participants from Portugal, the labels and coding were the same except that a 3-year college degree was coded as 15 years and a doctorate degree was coded to 21 years.</w:t>
      </w:r>
    </w:p>
  </w:footnote>
  <w:footnote w:id="10">
    <w:p w14:paraId="4876DDC3" w14:textId="77777777" w:rsidR="00E03554" w:rsidRDefault="00DF0CFA">
      <w:pPr>
        <w:spacing w:line="240" w:lineRule="auto"/>
        <w:rPr>
          <w:sz w:val="20"/>
          <w:szCs w:val="20"/>
        </w:rPr>
      </w:pPr>
      <w:r>
        <w:rPr>
          <w:vertAlign w:val="superscript"/>
        </w:rPr>
        <w:footnoteRef/>
      </w:r>
      <w:r>
        <w:rPr>
          <w:sz w:val="20"/>
          <w:szCs w:val="20"/>
          <w:vertAlign w:val="superscript"/>
        </w:rPr>
        <w:t xml:space="preserve"> </w:t>
      </w:r>
      <w:r>
        <w:rPr>
          <w:sz w:val="21"/>
          <w:szCs w:val="21"/>
        </w:rPr>
        <w:t>Data collection sites were not given instructions about avoiding or clearly identifying test responses. At many data collection sites, the students and other researchers executing the study tested their survey link multiple times (e.g., as inferred by responses to open-ended questions marked “test”).</w:t>
      </w:r>
    </w:p>
  </w:footnote>
  <w:footnote w:id="11">
    <w:p w14:paraId="13266D97" w14:textId="77777777" w:rsidR="00E03554" w:rsidRDefault="00DF0CFA">
      <w:pPr>
        <w:spacing w:line="240" w:lineRule="auto"/>
        <w:rPr>
          <w:sz w:val="20"/>
          <w:szCs w:val="20"/>
        </w:rPr>
      </w:pPr>
      <w:r>
        <w:rPr>
          <w:vertAlign w:val="superscript"/>
        </w:rPr>
        <w:footnoteRef/>
      </w:r>
      <w:r>
        <w:rPr>
          <w:sz w:val="20"/>
          <w:szCs w:val="20"/>
        </w:rPr>
        <w:t xml:space="preserve"> </w:t>
      </w:r>
      <w:r>
        <w:rPr>
          <w:sz w:val="21"/>
          <w:szCs w:val="21"/>
        </w:rPr>
        <w:t>In the approved protocol, data collection was described as taking place in labs. Labs were described as uniquely identifying data collection sites. However, at some data collection sites, multiple student-led teams joined this project (e.g., under the mentorship of the same PI, multiple students joined the project as “labs”). Observations were labeled as belonging to both a “lab” (which we describe as a “student-led team”) and a data collection site. For analyses, the data collection site was used in place of the “lab” variable described in the approved protocol.</w:t>
      </w:r>
    </w:p>
  </w:footnote>
  <w:footnote w:id="12">
    <w:p w14:paraId="4446F4F9" w14:textId="77777777" w:rsidR="00E03554" w:rsidRDefault="00DF0CFA">
      <w:pPr>
        <w:spacing w:line="240" w:lineRule="auto"/>
        <w:rPr>
          <w:sz w:val="21"/>
          <w:szCs w:val="21"/>
        </w:rPr>
      </w:pPr>
      <w:r>
        <w:rPr>
          <w:vertAlign w:val="superscript"/>
        </w:rPr>
        <w:footnoteRef/>
      </w:r>
      <w:r>
        <w:rPr>
          <w:sz w:val="21"/>
          <w:szCs w:val="21"/>
        </w:rPr>
        <w:t xml:space="preserve"> </w:t>
      </w:r>
      <w:r>
        <w:rPr>
          <w:color w:val="333333"/>
          <w:sz w:val="21"/>
          <w:szCs w:val="21"/>
        </w:rPr>
        <w:t>In the approved protocol, the results section focused heavily on the project’s logistics and structured results reporting in ways that would not allow for a transparent and thorough description of model fit and other important aspects of results, like assumption checks. Further, some model specification details in the approved protocol conflicted with stated research questions (e.g., we specified that the null model would include the focal predictor, which would have rendered the null model invalid as null models are not supposed to include any predictor).</w:t>
      </w:r>
    </w:p>
  </w:footnote>
  <w:footnote w:id="13">
    <w:p w14:paraId="7130DA5B" w14:textId="77777777" w:rsidR="00E03554" w:rsidRDefault="00DF0CFA">
      <w:pPr>
        <w:spacing w:line="240" w:lineRule="auto"/>
        <w:rPr>
          <w:sz w:val="20"/>
          <w:szCs w:val="20"/>
        </w:rPr>
      </w:pPr>
      <w:r>
        <w:rPr>
          <w:vertAlign w:val="superscript"/>
        </w:rPr>
        <w:footnoteRef/>
      </w:r>
      <w:r>
        <w:rPr>
          <w:sz w:val="20"/>
          <w:szCs w:val="20"/>
        </w:rPr>
        <w:t xml:space="preserve"> Only participants who missed the Darrel comprehension check question (</w:t>
      </w:r>
      <w:r>
        <w:rPr>
          <w:i/>
          <w:sz w:val="20"/>
          <w:szCs w:val="20"/>
        </w:rPr>
        <w:t xml:space="preserve">n = </w:t>
      </w:r>
      <w:r>
        <w:rPr>
          <w:sz w:val="20"/>
          <w:szCs w:val="20"/>
        </w:rPr>
        <w:t>1138) were excluded from this analysis to replicate the exclusion criteria implemented in the original experiment.</w:t>
      </w:r>
    </w:p>
  </w:footnote>
  <w:footnote w:id="14">
    <w:p w14:paraId="3CB0DA21" w14:textId="77777777" w:rsidR="00861989" w:rsidRDefault="00861989" w:rsidP="00861989">
      <w:pPr>
        <w:spacing w:line="240" w:lineRule="auto"/>
        <w:rPr>
          <w:sz w:val="20"/>
          <w:szCs w:val="20"/>
        </w:rPr>
      </w:pPr>
      <w:r>
        <w:rPr>
          <w:vertAlign w:val="superscript"/>
        </w:rPr>
        <w:footnoteRef/>
      </w:r>
      <w:r>
        <w:rPr>
          <w:sz w:val="20"/>
          <w:szCs w:val="20"/>
        </w:rPr>
        <w:t xml:space="preserve"> We originally planned that every lab would pre-register their study on the OSF; however, some labs did not carry out their pre-registration on the OSF (or did not make them publicly available) because those student teams did not fully complete the project and thus never made their OSF pages public. However, all teams were required to create an OSF page (public or private) that was reviewed and approved before being authorized to collect data.</w:t>
      </w:r>
    </w:p>
  </w:footnote>
  <w:footnote w:id="15">
    <w:p w14:paraId="67ACF7E8" w14:textId="77777777" w:rsidR="00861989" w:rsidRDefault="00861989" w:rsidP="00861989">
      <w:pPr>
        <w:spacing w:line="240" w:lineRule="auto"/>
        <w:rPr>
          <w:sz w:val="20"/>
          <w:szCs w:val="20"/>
        </w:rPr>
      </w:pPr>
      <w:r>
        <w:rPr>
          <w:vertAlign w:val="superscript"/>
        </w:rPr>
        <w:footnoteRef/>
      </w:r>
      <w:r>
        <w:rPr>
          <w:sz w:val="20"/>
          <w:szCs w:val="20"/>
        </w:rPr>
        <w:t xml:space="preserve"> Due to the delays in initializing the centralized data collection on </w:t>
      </w:r>
      <w:proofErr w:type="spellStart"/>
      <w:r>
        <w:rPr>
          <w:sz w:val="20"/>
          <w:szCs w:val="20"/>
        </w:rPr>
        <w:t>SoSciSurvey</w:t>
      </w:r>
      <w:proofErr w:type="spellEnd"/>
      <w:r>
        <w:rPr>
          <w:sz w:val="20"/>
          <w:szCs w:val="20"/>
        </w:rPr>
        <w:t xml:space="preserve">, data collection could not begin until January, 2019. </w:t>
      </w:r>
    </w:p>
  </w:footnote>
  <w:footnote w:id="16">
    <w:p w14:paraId="71AF69E7" w14:textId="77777777" w:rsidR="00861989" w:rsidRDefault="00861989" w:rsidP="00861989">
      <w:pPr>
        <w:spacing w:line="240" w:lineRule="auto"/>
        <w:rPr>
          <w:sz w:val="20"/>
          <w:szCs w:val="20"/>
        </w:rPr>
      </w:pPr>
      <w:r>
        <w:rPr>
          <w:vertAlign w:val="superscript"/>
        </w:rPr>
        <w:footnoteRef/>
      </w:r>
      <w:r>
        <w:rPr>
          <w:sz w:val="20"/>
          <w:szCs w:val="20"/>
        </w:rPr>
        <w:t xml:space="preserve"> Due to complications caused by the COVID-19 pandemic, we extended the deadline to stop data collection to June 1st, 2021 to accommodate teams struggling to collect data from their typical participant pools. </w:t>
      </w:r>
    </w:p>
  </w:footnote>
  <w:footnote w:id="17">
    <w:p w14:paraId="717EAEF6" w14:textId="77777777" w:rsidR="00861989" w:rsidRDefault="00861989" w:rsidP="00861989">
      <w:pPr>
        <w:spacing w:line="240" w:lineRule="auto"/>
        <w:rPr>
          <w:sz w:val="20"/>
          <w:szCs w:val="20"/>
        </w:rPr>
      </w:pPr>
      <w:r>
        <w:rPr>
          <w:vertAlign w:val="superscript"/>
        </w:rPr>
        <w:footnoteRef/>
      </w:r>
      <w:r>
        <w:rPr>
          <w:sz w:val="20"/>
          <w:szCs w:val="20"/>
        </w:rPr>
        <w:t xml:space="preserve">   The term “country” was changed to </w:t>
      </w:r>
      <w:r>
        <w:rPr>
          <w:color w:val="333333"/>
          <w:sz w:val="20"/>
          <w:szCs w:val="20"/>
        </w:rPr>
        <w:t xml:space="preserve">geopolitical region </w:t>
      </w:r>
      <w:r>
        <w:rPr>
          <w:color w:val="333333"/>
          <w:sz w:val="20"/>
          <w:szCs w:val="20"/>
        </w:rPr>
        <w:t>in order to accomodate the fact that not all regions included in the data are recognized as countries (i.e., Taiwan).</w:t>
      </w:r>
      <w:r>
        <w:rPr>
          <w:sz w:val="20"/>
          <w:szCs w:val="20"/>
        </w:rPr>
        <w:t xml:space="preserve"> This term change is highlighted throughout the document.</w:t>
      </w:r>
    </w:p>
  </w:footnote>
  <w:footnote w:id="18">
    <w:p w14:paraId="240B10E0" w14:textId="77777777" w:rsidR="00861989" w:rsidRDefault="00861989" w:rsidP="00861989">
      <w:pPr>
        <w:spacing w:line="240" w:lineRule="auto"/>
        <w:rPr>
          <w:sz w:val="20"/>
          <w:szCs w:val="20"/>
        </w:rPr>
      </w:pPr>
      <w:r>
        <w:rPr>
          <w:vertAlign w:val="superscript"/>
        </w:rPr>
        <w:footnoteRef/>
      </w:r>
      <w:r>
        <w:rPr>
          <w:sz w:val="20"/>
          <w:szCs w:val="20"/>
        </w:rPr>
        <w:t xml:space="preserve"> In order to meet the pedagogical needs of some student teams, a few exceptions were allowed to ensure that students could still participate in the study given that the pandemic made data collection more difficult for some teams. </w:t>
      </w:r>
    </w:p>
  </w:footnote>
  <w:footnote w:id="19">
    <w:p w14:paraId="57931E71" w14:textId="77777777" w:rsidR="00861989" w:rsidRDefault="00861989" w:rsidP="00861989">
      <w:pPr>
        <w:spacing w:line="240" w:lineRule="auto"/>
        <w:rPr>
          <w:sz w:val="20"/>
          <w:szCs w:val="20"/>
        </w:rPr>
      </w:pPr>
      <w:r>
        <w:rPr>
          <w:vertAlign w:val="superscript"/>
        </w:rPr>
        <w:footnoteRef/>
      </w:r>
      <w:r>
        <w:rPr>
          <w:sz w:val="20"/>
          <w:szCs w:val="20"/>
        </w:rPr>
        <w:t xml:space="preserve"> These materials were not always available for each student team. Thus, the data from each team was only included in the overall analyses if we were able to check raw data files and codebooks for accuracy and errors, which was only an issue for teams that </w:t>
      </w:r>
      <w:r>
        <w:rPr>
          <w:sz w:val="20"/>
          <w:szCs w:val="20"/>
        </w:rPr>
        <w:t xml:space="preserve">collected data via Qualtrics. Given that we are using multilevel modeling, we only needed to check the quality of raw data files and codebooks for those data not collected via SoSciSurvey to be considered valid and usable. We automatically had access to the raw data and codebook for all samples collected via SoSciSurvey, so we always used those data rather than any data posted to the OSF. Analysis scripts, cleaned data, and narrative summaries were pedagogically important, but had no bearing on the results of the overall analyses reported in this paper.  </w:t>
      </w:r>
    </w:p>
  </w:footnote>
  <w:footnote w:id="20">
    <w:p w14:paraId="4203B050" w14:textId="77777777" w:rsidR="00861989" w:rsidRDefault="00861989" w:rsidP="00861989">
      <w:pPr>
        <w:spacing w:line="240" w:lineRule="auto"/>
        <w:rPr>
          <w:sz w:val="20"/>
          <w:szCs w:val="20"/>
        </w:rPr>
      </w:pPr>
      <w:r>
        <w:rPr>
          <w:vertAlign w:val="superscript"/>
        </w:rPr>
        <w:footnoteRef/>
      </w:r>
      <w:r>
        <w:rPr>
          <w:sz w:val="20"/>
          <w:szCs w:val="20"/>
        </w:rPr>
        <w:t xml:space="preserve"> Given that most sites ended up moving to online collection due to the pandemic, most sites collected data online and thus we opted to no longer use this variable.</w:t>
      </w:r>
    </w:p>
  </w:footnote>
  <w:footnote w:id="21">
    <w:p w14:paraId="228FD00B" w14:textId="77777777" w:rsidR="00861989" w:rsidRDefault="00861989" w:rsidP="00861989">
      <w:pPr>
        <w:spacing w:line="240" w:lineRule="auto"/>
        <w:rPr>
          <w:sz w:val="20"/>
          <w:szCs w:val="20"/>
        </w:rPr>
      </w:pPr>
      <w:r>
        <w:rPr>
          <w:vertAlign w:val="superscript"/>
        </w:rPr>
        <w:footnoteRef/>
      </w:r>
      <w:r>
        <w:rPr>
          <w:sz w:val="20"/>
          <w:szCs w:val="20"/>
        </w:rPr>
        <w:t xml:space="preserve"> Again, the pandemic resulted in most sites testing participants individually and thus rendered this covariate unusable, so we dropped it from our analyses. </w:t>
      </w:r>
    </w:p>
  </w:footnote>
  <w:footnote w:id="22">
    <w:p w14:paraId="022D0DD1" w14:textId="77777777" w:rsidR="00861989" w:rsidRDefault="00861989" w:rsidP="00861989">
      <w:pPr>
        <w:spacing w:line="240" w:lineRule="auto"/>
        <w:rPr>
          <w:sz w:val="20"/>
          <w:szCs w:val="20"/>
        </w:rPr>
      </w:pPr>
      <w:r>
        <w:rPr>
          <w:vertAlign w:val="superscript"/>
        </w:rPr>
        <w:footnoteRef/>
      </w:r>
      <w:r>
        <w:rPr>
          <w:sz w:val="20"/>
          <w:szCs w:val="20"/>
        </w:rPr>
        <w:t xml:space="preserve"> We ended up allowing one site to use a paid data collection site to gather data for this study due to pedagogical reasons; although, this site was ultimately not included in analyses for other reasons.</w:t>
      </w:r>
    </w:p>
  </w:footnote>
  <w:footnote w:id="23">
    <w:p w14:paraId="1577B9E9" w14:textId="77777777" w:rsidR="00861989" w:rsidRDefault="00861989" w:rsidP="00861989">
      <w:pPr>
        <w:spacing w:line="240" w:lineRule="auto"/>
        <w:rPr>
          <w:sz w:val="20"/>
          <w:szCs w:val="20"/>
        </w:rPr>
      </w:pPr>
      <w:r>
        <w:rPr>
          <w:vertAlign w:val="superscript"/>
        </w:rPr>
        <w:footnoteRef/>
      </w:r>
      <w:r>
        <w:rPr>
          <w:sz w:val="16"/>
          <w:szCs w:val="16"/>
        </w:rPr>
        <w:t xml:space="preserve"> </w:t>
      </w:r>
      <w:r>
        <w:rPr>
          <w:sz w:val="20"/>
          <w:szCs w:val="20"/>
        </w:rPr>
        <w:t xml:space="preserve">While we originally planned to measure this, labs that opted to collect community samples did not add any question to the survey that would allow us to track which participants were from the “community” and which were typical university students. Thus, the only tracking of this we did was asking labs whether they did any community sampling as part of their study. </w:t>
      </w:r>
    </w:p>
  </w:footnote>
  <w:footnote w:id="24">
    <w:p w14:paraId="2D23CEDA" w14:textId="77777777" w:rsidR="00861989" w:rsidRDefault="00861989" w:rsidP="00861989">
      <w:pPr>
        <w:spacing w:line="240" w:lineRule="auto"/>
        <w:rPr>
          <w:sz w:val="20"/>
          <w:szCs w:val="20"/>
        </w:rPr>
      </w:pPr>
      <w:r>
        <w:rPr>
          <w:vertAlign w:val="superscript"/>
        </w:rPr>
        <w:footnoteRef/>
      </w:r>
      <w:r>
        <w:rPr>
          <w:sz w:val="20"/>
          <w:szCs w:val="20"/>
        </w:rPr>
        <w:t xml:space="preserve"> For pedagogical reasons, some sites were </w:t>
      </w:r>
      <w:r>
        <w:rPr>
          <w:sz w:val="20"/>
          <w:szCs w:val="20"/>
        </w:rPr>
        <w:t>allowed to use Qualtrics with their students.</w:t>
      </w:r>
    </w:p>
  </w:footnote>
  <w:footnote w:id="25">
    <w:p w14:paraId="51C35C4F" w14:textId="77777777" w:rsidR="00861989" w:rsidRDefault="00861989" w:rsidP="00861989">
      <w:pPr>
        <w:spacing w:line="240" w:lineRule="auto"/>
        <w:rPr>
          <w:sz w:val="20"/>
          <w:szCs w:val="20"/>
        </w:rPr>
      </w:pPr>
      <w:r>
        <w:rPr>
          <w:vertAlign w:val="superscript"/>
        </w:rPr>
        <w:footnoteRef/>
      </w:r>
      <w:r>
        <w:rPr>
          <w:sz w:val="20"/>
          <w:szCs w:val="20"/>
        </w:rPr>
        <w:t xml:space="preserve"> This sentence was edited slightly for clarity and accuracy. </w:t>
      </w:r>
    </w:p>
  </w:footnote>
  <w:footnote w:id="26">
    <w:p w14:paraId="4EB917BE" w14:textId="77777777" w:rsidR="00861989" w:rsidRDefault="00861989" w:rsidP="00861989">
      <w:pPr>
        <w:spacing w:line="240" w:lineRule="auto"/>
        <w:rPr>
          <w:sz w:val="16"/>
          <w:szCs w:val="16"/>
        </w:rPr>
      </w:pPr>
      <w:r>
        <w:rPr>
          <w:vertAlign w:val="superscript"/>
        </w:rPr>
        <w:footnoteRef/>
      </w:r>
      <w:r>
        <w:rPr>
          <w:sz w:val="16"/>
          <w:szCs w:val="16"/>
        </w:rPr>
        <w:t xml:space="preserve"> </w:t>
      </w:r>
      <w:r>
        <w:rPr>
          <w:sz w:val="20"/>
          <w:szCs w:val="20"/>
        </w:rPr>
        <w:t>Some sites failed to pre-register their study after being approved for data collection (or kept their OSF private).</w:t>
      </w:r>
    </w:p>
  </w:footnote>
  <w:footnote w:id="27">
    <w:p w14:paraId="2DD0B415" w14:textId="77777777" w:rsidR="00861989" w:rsidRDefault="00861989" w:rsidP="00861989">
      <w:pPr>
        <w:spacing w:line="240" w:lineRule="auto"/>
        <w:rPr>
          <w:sz w:val="20"/>
          <w:szCs w:val="20"/>
        </w:rPr>
      </w:pPr>
      <w:r>
        <w:rPr>
          <w:vertAlign w:val="superscript"/>
        </w:rPr>
        <w:footnoteRef/>
      </w:r>
      <w:r>
        <w:rPr>
          <w:sz w:val="20"/>
          <w:szCs w:val="20"/>
        </w:rPr>
        <w:t xml:space="preserve"> We ended up never asking participants if the language they were being tested in was their first language. </w:t>
      </w:r>
    </w:p>
  </w:footnote>
  <w:footnote w:id="28">
    <w:p w14:paraId="3A995E39" w14:textId="77777777" w:rsidR="00861989" w:rsidRDefault="00861989" w:rsidP="00861989">
      <w:pPr>
        <w:spacing w:line="240" w:lineRule="auto"/>
        <w:rPr>
          <w:sz w:val="20"/>
          <w:szCs w:val="20"/>
        </w:rPr>
      </w:pPr>
      <w:r>
        <w:rPr>
          <w:vertAlign w:val="superscript"/>
        </w:rPr>
        <w:footnoteRef/>
      </w:r>
      <w:r>
        <w:rPr>
          <w:sz w:val="20"/>
          <w:szCs w:val="20"/>
        </w:rPr>
        <w:t xml:space="preserve">  Due to logistic issues, we opted to instead ask for bilingual volunteers to rate each response (three rates per response) to determine if the participant met the exclusion criterion (rated as no = 0, maybe = 1, and yes = 2). If the mean rating for a participant was anything below 2, they were then excluded from the overall analyses. </w:t>
      </w:r>
    </w:p>
  </w:footnote>
  <w:footnote w:id="29">
    <w:p w14:paraId="28C08D52" w14:textId="77777777" w:rsidR="00861989" w:rsidRDefault="00861989" w:rsidP="00861989">
      <w:pPr>
        <w:spacing w:line="240" w:lineRule="auto"/>
        <w:rPr>
          <w:sz w:val="20"/>
          <w:szCs w:val="20"/>
        </w:rPr>
      </w:pPr>
      <w:r>
        <w:rPr>
          <w:vertAlign w:val="superscript"/>
        </w:rPr>
        <w:footnoteRef/>
      </w:r>
      <w:r>
        <w:rPr>
          <w:sz w:val="20"/>
          <w:szCs w:val="20"/>
        </w:rPr>
        <w:t xml:space="preserve"> Due to a miscommunication error that occurred during the creation of the </w:t>
      </w:r>
      <w:r>
        <w:rPr>
          <w:sz w:val="20"/>
          <w:szCs w:val="20"/>
        </w:rPr>
        <w:t xml:space="preserve">centralized survey on SoSciSurvey, the study experience questionnaire was included at the end of the core survey; thus, all collection sites ended up including this exploratory measure at the end of their survey. Data from this survey will not be used in the present study, but may be used for a future paper. </w:t>
      </w:r>
    </w:p>
  </w:footnote>
  <w:footnote w:id="30">
    <w:p w14:paraId="7DFA49BE" w14:textId="77777777" w:rsidR="00861989" w:rsidRDefault="00861989" w:rsidP="00861989">
      <w:pPr>
        <w:spacing w:line="240" w:lineRule="auto"/>
        <w:rPr>
          <w:sz w:val="20"/>
          <w:szCs w:val="20"/>
        </w:rPr>
      </w:pPr>
      <w:r>
        <w:rPr>
          <w:vertAlign w:val="superscript"/>
        </w:rPr>
        <w:footnoteRef/>
      </w:r>
      <w:r>
        <w:rPr>
          <w:sz w:val="20"/>
          <w:szCs w:val="20"/>
        </w:rPr>
        <w:t xml:space="preserve"> Requiring translators to have experience with test development turned out not to be feasible and thus we did not enforce this requirement. </w:t>
      </w:r>
    </w:p>
  </w:footnote>
  <w:footnote w:id="31">
    <w:p w14:paraId="05EBFEC1" w14:textId="77777777" w:rsidR="00861989" w:rsidRDefault="00861989" w:rsidP="00861989">
      <w:pPr>
        <w:spacing w:line="240" w:lineRule="auto"/>
        <w:rPr>
          <w:sz w:val="20"/>
          <w:szCs w:val="20"/>
        </w:rPr>
      </w:pPr>
      <w:r>
        <w:rPr>
          <w:vertAlign w:val="superscript"/>
        </w:rPr>
        <w:footnoteRef/>
      </w:r>
      <w:r>
        <w:rPr>
          <w:sz w:val="20"/>
          <w:szCs w:val="20"/>
        </w:rPr>
        <w:t xml:space="preserve"> Some collection sites mistakenly worded the study purpose in their informed consent materials slightly differently, but none of these mistakes resulted in the experimenters giving away the true purpose of the study and so were not excluded. More details for these deviations can be found on the OSF. </w:t>
      </w:r>
    </w:p>
  </w:footnote>
  <w:footnote w:id="32">
    <w:p w14:paraId="4998E7FD" w14:textId="77777777" w:rsidR="00861989" w:rsidRDefault="00861989" w:rsidP="00861989">
      <w:pPr>
        <w:spacing w:line="240" w:lineRule="auto"/>
        <w:rPr>
          <w:sz w:val="20"/>
          <w:szCs w:val="20"/>
        </w:rPr>
      </w:pPr>
      <w:r>
        <w:rPr>
          <w:vertAlign w:val="superscript"/>
        </w:rPr>
        <w:footnoteRef/>
      </w:r>
      <w:r>
        <w:rPr>
          <w:sz w:val="20"/>
          <w:szCs w:val="20"/>
        </w:rPr>
        <w:t xml:space="preserve"> This sentence originally described comprehension questions as control variables, but this description was inaccurate. Thus, we reworded the sentence to accurately reflect that comprehension questions were planned for exclusion purposes. </w:t>
      </w:r>
    </w:p>
  </w:footnote>
  <w:footnote w:id="33">
    <w:p w14:paraId="0A089F64" w14:textId="77777777" w:rsidR="00861989" w:rsidRDefault="00861989" w:rsidP="00861989">
      <w:pPr>
        <w:spacing w:line="240" w:lineRule="auto"/>
        <w:rPr>
          <w:sz w:val="20"/>
          <w:szCs w:val="20"/>
        </w:rPr>
      </w:pPr>
      <w:r>
        <w:rPr>
          <w:vertAlign w:val="superscript"/>
        </w:rPr>
        <w:footnoteRef/>
      </w:r>
      <w:r>
        <w:rPr>
          <w:sz w:val="20"/>
          <w:szCs w:val="20"/>
        </w:rPr>
        <w:t xml:space="preserve"> Again, we reworded “control” variables to accurately reflect that we meant “exclusion” variables. </w:t>
      </w:r>
    </w:p>
  </w:footnote>
  <w:footnote w:id="34">
    <w:p w14:paraId="07D787F0" w14:textId="77777777" w:rsidR="00861989" w:rsidRDefault="00861989" w:rsidP="00861989">
      <w:pPr>
        <w:spacing w:line="240" w:lineRule="auto"/>
        <w:rPr>
          <w:sz w:val="20"/>
          <w:szCs w:val="20"/>
        </w:rPr>
      </w:pPr>
      <w:r>
        <w:rPr>
          <w:vertAlign w:val="superscript"/>
        </w:rPr>
        <w:footnoteRef/>
      </w:r>
      <w:r>
        <w:rPr>
          <w:sz w:val="20"/>
          <w:szCs w:val="20"/>
        </w:rPr>
        <w:t xml:space="preserve"> Reworded “control” to “exclusion” for accuracy. </w:t>
      </w:r>
    </w:p>
  </w:footnote>
  <w:footnote w:id="35">
    <w:p w14:paraId="7286B609" w14:textId="77777777" w:rsidR="00861989" w:rsidRDefault="00861989" w:rsidP="00861989">
      <w:pPr>
        <w:spacing w:line="240" w:lineRule="auto"/>
        <w:rPr>
          <w:sz w:val="20"/>
          <w:szCs w:val="20"/>
        </w:rPr>
      </w:pPr>
      <w:r>
        <w:rPr>
          <w:vertAlign w:val="superscript"/>
        </w:rPr>
        <w:footnoteRef/>
      </w:r>
      <w:r>
        <w:rPr>
          <w:sz w:val="20"/>
          <w:szCs w:val="20"/>
        </w:rPr>
        <w:t xml:space="preserve"> As previously discussed, due to a miscommunication error that occurred during the creation of the </w:t>
      </w:r>
      <w:r>
        <w:rPr>
          <w:sz w:val="20"/>
          <w:szCs w:val="20"/>
        </w:rPr>
        <w:t xml:space="preserve">centralized survey on SoSciSurvey, the study experience questionnaire was included at the end of the core survey; thus, all collection sites ended up including this exploratory measure at the end of their survey. Data from this survey will not be used in the present study, but may be used for a future paper. </w:t>
      </w:r>
    </w:p>
  </w:footnote>
  <w:footnote w:id="36">
    <w:p w14:paraId="35026BC9" w14:textId="77777777" w:rsidR="00861989" w:rsidRDefault="00861989" w:rsidP="00861989">
      <w:pPr>
        <w:spacing w:line="240" w:lineRule="auto"/>
        <w:rPr>
          <w:sz w:val="20"/>
          <w:szCs w:val="20"/>
        </w:rPr>
      </w:pPr>
      <w:r>
        <w:rPr>
          <w:vertAlign w:val="superscript"/>
        </w:rPr>
        <w:footnoteRef/>
      </w:r>
      <w:r>
        <w:rPr>
          <w:sz w:val="20"/>
          <w:szCs w:val="20"/>
        </w:rPr>
        <w:t xml:space="preserve"> We ended up allowing one site to use a paid data collection site to gather data for this study due to pedagogical reasons; although, this site was ultimately not included in analyses for other reasons.</w:t>
      </w:r>
    </w:p>
  </w:footnote>
  <w:footnote w:id="37">
    <w:p w14:paraId="38EDC2E1" w14:textId="77777777" w:rsidR="00861989" w:rsidRDefault="00861989" w:rsidP="00861989">
      <w:pPr>
        <w:spacing w:line="240" w:lineRule="auto"/>
        <w:rPr>
          <w:sz w:val="20"/>
          <w:szCs w:val="20"/>
        </w:rPr>
      </w:pPr>
      <w:r>
        <w:rPr>
          <w:vertAlign w:val="superscript"/>
        </w:rPr>
        <w:footnoteRef/>
      </w:r>
      <w:r>
        <w:rPr>
          <w:sz w:val="20"/>
          <w:szCs w:val="20"/>
        </w:rPr>
        <w:t xml:space="preserve"> The overall deadline to end data collection was extended to June 1st, 2021 to accommodate complications in data collection caused by the COVID-19 pandemic. </w:t>
      </w:r>
    </w:p>
  </w:footnote>
  <w:footnote w:id="38">
    <w:p w14:paraId="145A08CF" w14:textId="77777777" w:rsidR="00861989" w:rsidRDefault="00861989" w:rsidP="00861989">
      <w:pPr>
        <w:spacing w:line="240" w:lineRule="auto"/>
        <w:rPr>
          <w:sz w:val="20"/>
          <w:szCs w:val="20"/>
        </w:rPr>
      </w:pPr>
      <w:r>
        <w:rPr>
          <w:vertAlign w:val="superscript"/>
        </w:rPr>
        <w:footnoteRef/>
      </w:r>
      <w:r>
        <w:rPr>
          <w:sz w:val="20"/>
          <w:szCs w:val="20"/>
        </w:rPr>
        <w:t xml:space="preserve">  Due to the extreme bimodal distributions we observed in our data causing severe statistical violations that would have rendered our originally planned analyses uninterpretable, we had to convert the continuous measures to binary.</w:t>
      </w:r>
    </w:p>
  </w:footnote>
  <w:footnote w:id="39">
    <w:p w14:paraId="5D10A339" w14:textId="77777777" w:rsidR="00861989" w:rsidRDefault="00861989" w:rsidP="00861989">
      <w:pPr>
        <w:spacing w:line="240" w:lineRule="auto"/>
        <w:rPr>
          <w:sz w:val="20"/>
          <w:szCs w:val="20"/>
        </w:rPr>
      </w:pPr>
      <w:r>
        <w:rPr>
          <w:vertAlign w:val="superscript"/>
        </w:rPr>
        <w:footnoteRef/>
      </w:r>
      <w:r>
        <w:rPr>
          <w:sz w:val="20"/>
          <w:szCs w:val="20"/>
        </w:rPr>
        <w:t xml:space="preserve"> Due to being overcapacity for onboarding new labs and concerns about our small administrative team being able to manage more collection sites, we opted to not make an additional call for contributors.</w:t>
      </w:r>
    </w:p>
  </w:footnote>
  <w:footnote w:id="40">
    <w:p w14:paraId="62529A1F" w14:textId="77777777" w:rsidR="00861989" w:rsidRDefault="00861989" w:rsidP="00861989">
      <w:pPr>
        <w:spacing w:line="240" w:lineRule="auto"/>
        <w:rPr>
          <w:sz w:val="20"/>
          <w:szCs w:val="20"/>
        </w:rPr>
      </w:pPr>
      <w:r>
        <w:rPr>
          <w:vertAlign w:val="superscript"/>
        </w:rPr>
        <w:footnoteRef/>
      </w:r>
      <w:r>
        <w:rPr>
          <w:sz w:val="20"/>
          <w:szCs w:val="20"/>
        </w:rPr>
        <w:t xml:space="preserve"> Due to the deadline for stopping data collection being extended through to June 1st, 2021 because of the COVID-19 pandemic, we continued accepting labs until April of 2021.  </w:t>
      </w:r>
    </w:p>
  </w:footnote>
  <w:footnote w:id="41">
    <w:p w14:paraId="15EF7DFE" w14:textId="77777777" w:rsidR="00861989" w:rsidRDefault="00861989" w:rsidP="00861989">
      <w:pPr>
        <w:spacing w:line="240" w:lineRule="auto"/>
        <w:rPr>
          <w:sz w:val="20"/>
          <w:szCs w:val="20"/>
        </w:rPr>
      </w:pPr>
      <w:r>
        <w:rPr>
          <w:vertAlign w:val="superscript"/>
        </w:rPr>
        <w:footnoteRef/>
      </w:r>
      <w:r>
        <w:rPr>
          <w:sz w:val="20"/>
          <w:szCs w:val="20"/>
        </w:rPr>
        <w:t xml:space="preserve"> This sentence was edited slightly for clarity and accuracy. We previously stated that the Gerald vignette was chosen, in part, because it had minimally matched controls available; however, this was inaccurate. The controls used in the study from which it was taken were not similar to those </w:t>
      </w:r>
      <w:r>
        <w:rPr>
          <w:sz w:val="20"/>
          <w:szCs w:val="20"/>
        </w:rPr>
        <w:t xml:space="preserve">used in the Turri et al. (2015) study and ultimately had to be altered to be usable. Thus, the primary reason for its inclusion was its prevalence in the epistemics literature. </w:t>
      </w:r>
    </w:p>
  </w:footnote>
  <w:footnote w:id="42">
    <w:p w14:paraId="1FC12DE0" w14:textId="77777777" w:rsidR="00861989" w:rsidRDefault="00861989" w:rsidP="00861989">
      <w:pPr>
        <w:spacing w:line="240" w:lineRule="auto"/>
        <w:rPr>
          <w:sz w:val="20"/>
          <w:szCs w:val="20"/>
        </w:rPr>
      </w:pPr>
      <w:r>
        <w:rPr>
          <w:vertAlign w:val="superscript"/>
        </w:rPr>
        <w:footnoteRef/>
      </w:r>
      <w:r>
        <w:rPr>
          <w:sz w:val="20"/>
          <w:szCs w:val="20"/>
        </w:rPr>
        <w:t xml:space="preserve"> These materials were not always available for each student team. Thus, the data from each team was only included in the overall analyses if we were able to check raw data files and codebooks for accuracy and errors, which was only an issue for teams that </w:t>
      </w:r>
      <w:r>
        <w:rPr>
          <w:sz w:val="20"/>
          <w:szCs w:val="20"/>
        </w:rPr>
        <w:t xml:space="preserve">collected data via Qualtrics. Given that we are using multilevel modeling, we only needed to check the quality of raw data files and codebooks for those data not collected via SoSciSurvey to be considered valid and usable. We automatically had access to the raw data and codebook for all samples collected via SoSciSurvey, so we always used those data rather than any data posted to the OSF. Analysis scripts, cleaned data, and narrative summaries were pedagogically important, but had no bearing on the results of the overall analyses reported in this paper.  </w:t>
      </w:r>
    </w:p>
  </w:footnote>
  <w:footnote w:id="43">
    <w:p w14:paraId="5109B17B" w14:textId="77777777" w:rsidR="00861989" w:rsidRDefault="00861989" w:rsidP="00861989">
      <w:pPr>
        <w:spacing w:line="240" w:lineRule="auto"/>
        <w:rPr>
          <w:sz w:val="20"/>
          <w:szCs w:val="20"/>
        </w:rPr>
      </w:pPr>
      <w:r>
        <w:rPr>
          <w:vertAlign w:val="superscript"/>
        </w:rPr>
        <w:footnoteRef/>
      </w:r>
      <w:r>
        <w:rPr>
          <w:sz w:val="20"/>
          <w:szCs w:val="20"/>
        </w:rPr>
        <w:t xml:space="preserve"> The continuously measured variables were ultimately converted to binary measures due to severe statistical violations caused by highly bimodal distributions that would have rendered our planned analyses uninterpretable. </w:t>
      </w:r>
    </w:p>
  </w:footnote>
  <w:footnote w:id="44">
    <w:p w14:paraId="7BEAA3FB" w14:textId="77777777" w:rsidR="00861989" w:rsidRDefault="00861989" w:rsidP="00861989">
      <w:pPr>
        <w:spacing w:line="240" w:lineRule="auto"/>
        <w:rPr>
          <w:sz w:val="20"/>
          <w:szCs w:val="20"/>
        </w:rPr>
      </w:pPr>
      <w:r>
        <w:rPr>
          <w:vertAlign w:val="superscript"/>
        </w:rPr>
        <w:footnoteRef/>
      </w:r>
      <w:r>
        <w:rPr>
          <w:sz w:val="20"/>
          <w:szCs w:val="20"/>
        </w:rPr>
        <w:t xml:space="preserve"> Due to inconsistencies of student teams reporting their final site-level analyses, we have opted not to report which analyses were conducted by student teams. </w:t>
      </w:r>
    </w:p>
  </w:footnote>
  <w:footnote w:id="45">
    <w:p w14:paraId="73A1CE64" w14:textId="77777777" w:rsidR="00861989" w:rsidRDefault="00861989" w:rsidP="00861989">
      <w:pPr>
        <w:spacing w:line="240" w:lineRule="auto"/>
        <w:rPr>
          <w:sz w:val="20"/>
          <w:szCs w:val="20"/>
        </w:rPr>
      </w:pPr>
      <w:r>
        <w:rPr>
          <w:vertAlign w:val="superscript"/>
        </w:rPr>
        <w:footnoteRef/>
      </w:r>
      <w:r>
        <w:rPr>
          <w:sz w:val="20"/>
          <w:szCs w:val="20"/>
        </w:rPr>
        <w:t xml:space="preserve"> This data template was ultimately not used due to the vast majority of samples being collected via the centralized </w:t>
      </w:r>
      <w:r>
        <w:rPr>
          <w:sz w:val="20"/>
          <w:szCs w:val="20"/>
        </w:rPr>
        <w:t xml:space="preserve">data collection via SoSciSurvey. </w:t>
      </w:r>
    </w:p>
  </w:footnote>
  <w:footnote w:id="46">
    <w:p w14:paraId="2177B60F" w14:textId="77777777" w:rsidR="00861989" w:rsidRDefault="00861989" w:rsidP="00861989">
      <w:pPr>
        <w:spacing w:line="240" w:lineRule="auto"/>
        <w:rPr>
          <w:sz w:val="20"/>
          <w:szCs w:val="20"/>
        </w:rPr>
      </w:pPr>
      <w:r>
        <w:rPr>
          <w:vertAlign w:val="superscript"/>
        </w:rPr>
        <w:footnoteRef/>
      </w:r>
      <w:r>
        <w:rPr>
          <w:sz w:val="20"/>
          <w:szCs w:val="20"/>
        </w:rPr>
        <w:t xml:space="preserve"> As previously discussed, the continuous dependent variables were ultimately converted to binary variables to ensure the statistical conclusion validity of our planned analyses. </w:t>
      </w:r>
    </w:p>
  </w:footnote>
  <w:footnote w:id="47">
    <w:p w14:paraId="08902E4D" w14:textId="77777777" w:rsidR="00861989" w:rsidRDefault="00861989" w:rsidP="00861989">
      <w:pPr>
        <w:spacing w:line="240" w:lineRule="auto"/>
        <w:rPr>
          <w:sz w:val="20"/>
          <w:szCs w:val="20"/>
        </w:rPr>
      </w:pPr>
      <w:r>
        <w:rPr>
          <w:vertAlign w:val="superscript"/>
        </w:rPr>
        <w:footnoteRef/>
      </w:r>
      <w:r>
        <w:rPr>
          <w:sz w:val="20"/>
          <w:szCs w:val="20"/>
        </w:rPr>
        <w:t xml:space="preserve"> Again, we opted to not use two of the three test setting covariates (online vs in person; individually vs in group) due to the COVID-19 pandemic causing most teams to collect data online.</w:t>
      </w:r>
    </w:p>
  </w:footnote>
  <w:footnote w:id="48">
    <w:p w14:paraId="1E4CF313" w14:textId="77777777" w:rsidR="00861989" w:rsidRDefault="00861989" w:rsidP="00861989">
      <w:pPr>
        <w:spacing w:line="240" w:lineRule="auto"/>
        <w:rPr>
          <w:sz w:val="20"/>
          <w:szCs w:val="20"/>
        </w:rPr>
      </w:pPr>
      <w:r>
        <w:rPr>
          <w:vertAlign w:val="superscript"/>
        </w:rPr>
        <w:footnoteRef/>
      </w:r>
      <w:r>
        <w:rPr>
          <w:sz w:val="20"/>
          <w:szCs w:val="20"/>
        </w:rPr>
        <w:t xml:space="preserve"> This null model was incorrectly described as including the primary predictor variable (condition). In practice, null models do not include any predictors. Thus, to ensure proper model testing, we did not follow this particular erroneous plan when constructing the true null model for our analyses. </w:t>
      </w:r>
    </w:p>
  </w:footnote>
  <w:footnote w:id="49">
    <w:p w14:paraId="0915F519" w14:textId="77777777" w:rsidR="00861989" w:rsidRDefault="00861989" w:rsidP="00861989">
      <w:pPr>
        <w:spacing w:line="240" w:lineRule="auto"/>
        <w:rPr>
          <w:sz w:val="20"/>
          <w:szCs w:val="20"/>
        </w:rPr>
      </w:pPr>
      <w:r>
        <w:rPr>
          <w:vertAlign w:val="superscript"/>
        </w:rPr>
        <w:footnoteRef/>
      </w:r>
      <w:r>
        <w:rPr>
          <w:sz w:val="20"/>
          <w:szCs w:val="20"/>
        </w:rPr>
        <w:t xml:space="preserve"> As per common practice for assessing multilevel models, we did not use the ICCs for random variables and instead relied on changes in the AIC and in the pseudo R-squares to determine how much variation in the data was accounted for by each random variable. </w:t>
      </w:r>
    </w:p>
  </w:footnote>
  <w:footnote w:id="50">
    <w:p w14:paraId="2A6887B7" w14:textId="77777777" w:rsidR="00861989" w:rsidRDefault="00861989" w:rsidP="00861989">
      <w:pPr>
        <w:spacing w:line="240" w:lineRule="auto"/>
        <w:rPr>
          <w:sz w:val="20"/>
          <w:szCs w:val="20"/>
        </w:rPr>
      </w:pPr>
      <w:r>
        <w:rPr>
          <w:vertAlign w:val="superscript"/>
        </w:rPr>
        <w:footnoteRef/>
      </w:r>
      <w:r>
        <w:rPr>
          <w:sz w:val="20"/>
          <w:szCs w:val="20"/>
        </w:rPr>
        <w:t xml:space="preserve"> Because we converted our dependent variables to binary variables, it no longer made sense to assess whether judgements differed from chance based on their confidence intervals crossing the 50 mark. </w:t>
      </w:r>
    </w:p>
  </w:footnote>
  <w:footnote w:id="51">
    <w:p w14:paraId="072B43D6" w14:textId="77777777" w:rsidR="00861989" w:rsidRDefault="00861989" w:rsidP="00861989">
      <w:pPr>
        <w:spacing w:line="240" w:lineRule="auto"/>
        <w:rPr>
          <w:sz w:val="20"/>
          <w:szCs w:val="20"/>
        </w:rPr>
      </w:pPr>
      <w:r>
        <w:rPr>
          <w:vertAlign w:val="superscript"/>
        </w:rPr>
        <w:footnoteRef/>
      </w:r>
      <w:r>
        <w:rPr>
          <w:sz w:val="20"/>
          <w:szCs w:val="20"/>
        </w:rPr>
        <w:t xml:space="preserve"> Given that we ended up assessing how much variation could be explained by vignettes using different model testing procedures, we opted to not test how correlated vignette responses were with each other. </w:t>
      </w:r>
    </w:p>
  </w:footnote>
  <w:footnote w:id="52">
    <w:p w14:paraId="21D61FBE" w14:textId="77777777" w:rsidR="00861989" w:rsidRDefault="00861989" w:rsidP="00861989">
      <w:pPr>
        <w:spacing w:line="240" w:lineRule="auto"/>
        <w:rPr>
          <w:sz w:val="20"/>
          <w:szCs w:val="20"/>
        </w:rPr>
      </w:pPr>
      <w:r>
        <w:rPr>
          <w:vertAlign w:val="superscript"/>
        </w:rPr>
        <w:footnoteRef/>
      </w:r>
      <w:r>
        <w:rPr>
          <w:sz w:val="20"/>
          <w:szCs w:val="20"/>
        </w:rPr>
        <w:t xml:space="preserve"> Given that the procedures described here for testing the random effects included in our planned multilevel models were erroneously described and do not follow current common practices in multilevel modeling, these procedures were not followed. Instead, current common practices were used while maintaining results-blindness to ensure that conclusions derived from testing these models would be both statistically valid and uninfluenced by knowledge of how these changes might alter the final results. </w:t>
      </w:r>
    </w:p>
  </w:footnote>
  <w:footnote w:id="53">
    <w:p w14:paraId="2E8C7BF0" w14:textId="77777777" w:rsidR="00861989" w:rsidRDefault="00861989" w:rsidP="00861989">
      <w:pPr>
        <w:spacing w:line="240" w:lineRule="auto"/>
        <w:rPr>
          <w:sz w:val="20"/>
          <w:szCs w:val="20"/>
        </w:rPr>
      </w:pPr>
      <w:r>
        <w:rPr>
          <w:vertAlign w:val="superscript"/>
        </w:rPr>
        <w:footnoteRef/>
      </w:r>
      <w:r>
        <w:rPr>
          <w:sz w:val="20"/>
          <w:szCs w:val="20"/>
        </w:rPr>
        <w:t xml:space="preserve"> The way these results were ultimately reported changed due to our decision to convert the continuous dependent variables to binary ones. </w:t>
      </w:r>
    </w:p>
  </w:footnote>
  <w:footnote w:id="54">
    <w:p w14:paraId="5E7B7DB4" w14:textId="77777777" w:rsidR="00861989" w:rsidRDefault="00861989" w:rsidP="00861989">
      <w:pPr>
        <w:spacing w:line="240" w:lineRule="auto"/>
        <w:rPr>
          <w:sz w:val="20"/>
          <w:szCs w:val="20"/>
        </w:rPr>
      </w:pPr>
      <w:r>
        <w:rPr>
          <w:vertAlign w:val="superscript"/>
        </w:rPr>
        <w:footnoteRef/>
      </w:r>
      <w:r>
        <w:rPr>
          <w:sz w:val="20"/>
          <w:szCs w:val="20"/>
        </w:rPr>
        <w:t xml:space="preserve"> Again, to ensure that we follow common practices in multilevel modeling, the variation accounted for by the random variables was assessed using changes to AIC and measures of pseudo R-squared rather than the random slope variance. </w:t>
      </w:r>
    </w:p>
  </w:footnote>
  <w:footnote w:id="55">
    <w:p w14:paraId="42924239" w14:textId="77777777" w:rsidR="00861989" w:rsidRDefault="00861989" w:rsidP="00861989">
      <w:pPr>
        <w:spacing w:line="240" w:lineRule="auto"/>
        <w:rPr>
          <w:sz w:val="20"/>
          <w:szCs w:val="20"/>
        </w:rPr>
      </w:pPr>
      <w:r>
        <w:rPr>
          <w:vertAlign w:val="superscript"/>
        </w:rPr>
        <w:footnoteRef/>
      </w:r>
      <w:r>
        <w:rPr>
          <w:sz w:val="20"/>
          <w:szCs w:val="20"/>
        </w:rPr>
        <w:t xml:space="preserve"> Because we did not ultimately calculate regression coefficients between vignettes, we did not utilize any family-wise error correction method. </w:t>
      </w:r>
    </w:p>
  </w:footnote>
  <w:footnote w:id="56">
    <w:p w14:paraId="00036AC3" w14:textId="77777777" w:rsidR="00861989" w:rsidRDefault="00861989" w:rsidP="00861989">
      <w:pPr>
        <w:spacing w:line="240" w:lineRule="auto"/>
        <w:rPr>
          <w:sz w:val="20"/>
          <w:szCs w:val="20"/>
        </w:rPr>
      </w:pPr>
      <w:r>
        <w:rPr>
          <w:vertAlign w:val="superscript"/>
        </w:rPr>
        <w:footnoteRef/>
      </w:r>
      <w:r>
        <w:rPr>
          <w:sz w:val="20"/>
          <w:szCs w:val="20"/>
        </w:rPr>
        <w:t xml:space="preserve"> Again, we opted not to follow this plan in order to better follow current common practices in multilevel modeling. Thus, we did not test which covariate structure fit the data best. </w:t>
      </w:r>
    </w:p>
  </w:footnote>
  <w:footnote w:id="57">
    <w:p w14:paraId="1E237D74" w14:textId="77777777" w:rsidR="00861989" w:rsidRDefault="00861989" w:rsidP="00861989">
      <w:pPr>
        <w:spacing w:line="240" w:lineRule="auto"/>
        <w:rPr>
          <w:sz w:val="20"/>
          <w:szCs w:val="20"/>
        </w:rPr>
      </w:pPr>
      <w:r>
        <w:rPr>
          <w:vertAlign w:val="superscript"/>
        </w:rPr>
        <w:footnoteRef/>
      </w:r>
      <w:r>
        <w:rPr>
          <w:sz w:val="20"/>
          <w:szCs w:val="20"/>
        </w:rPr>
        <w:t xml:space="preserve"> Once again, to ensure that our analyses followed current common practices in multilevel modeling, we did not add each covariate to the model one at a time. Instead, all covariates were entered simultaneously to determine their influence. </w:t>
      </w:r>
    </w:p>
  </w:footnote>
  <w:footnote w:id="58">
    <w:p w14:paraId="529090F9" w14:textId="77777777" w:rsidR="00861989" w:rsidRDefault="00861989" w:rsidP="00861989">
      <w:pPr>
        <w:spacing w:line="240" w:lineRule="auto"/>
        <w:rPr>
          <w:sz w:val="20"/>
          <w:szCs w:val="20"/>
        </w:rPr>
      </w:pPr>
      <w:r>
        <w:rPr>
          <w:vertAlign w:val="superscript"/>
        </w:rPr>
        <w:footnoteRef/>
      </w:r>
      <w:r>
        <w:rPr>
          <w:sz w:val="20"/>
          <w:szCs w:val="20"/>
        </w:rPr>
        <w:t xml:space="preserve"> For reasonableness attribution, we altered our planned analyses in all of the same ways that we did for knowledge attribution. As previously discussed, we decided to make these changes to accommodate our conversion of the variable from continuous to binary and to ensure that we follow current common practices in multilevel modeling.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2D8AA" w14:textId="2960A506" w:rsidR="00E03554" w:rsidRDefault="00DF0CFA">
    <w:pPr>
      <w:jc w:val="right"/>
    </w:pPr>
    <w:r>
      <w:fldChar w:fldCharType="begin"/>
    </w:r>
    <w:r>
      <w:instrText>PAGE</w:instrText>
    </w:r>
    <w:r>
      <w:fldChar w:fldCharType="separate"/>
    </w:r>
    <w:r w:rsidR="004A7BAA">
      <w:rPr>
        <w:noProof/>
      </w:rPr>
      <w:t>97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733"/>
    <w:multiLevelType w:val="multilevel"/>
    <w:tmpl w:val="9E06E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501070"/>
    <w:multiLevelType w:val="multilevel"/>
    <w:tmpl w:val="B4083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716F25"/>
    <w:multiLevelType w:val="multilevel"/>
    <w:tmpl w:val="674C4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241783"/>
    <w:multiLevelType w:val="multilevel"/>
    <w:tmpl w:val="77D24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1A3776"/>
    <w:multiLevelType w:val="multilevel"/>
    <w:tmpl w:val="CCF6A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432C51"/>
    <w:multiLevelType w:val="multilevel"/>
    <w:tmpl w:val="92148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DE7E85"/>
    <w:multiLevelType w:val="multilevel"/>
    <w:tmpl w:val="268C2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AD0901"/>
    <w:multiLevelType w:val="multilevel"/>
    <w:tmpl w:val="5D029874"/>
    <w:lvl w:ilvl="0">
      <w:start w:val="1"/>
      <w:numFmt w:val="bullet"/>
      <w:lvlText w:val="●"/>
      <w:lvlJc w:val="left"/>
      <w:pPr>
        <w:ind w:left="720" w:hanging="360"/>
      </w:pPr>
      <w:rPr>
        <w:rFonts w:ascii="Helvetica Neue" w:eastAsia="Helvetica Neue" w:hAnsi="Helvetica Neue" w:cs="Helvetica Neue"/>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147035"/>
    <w:multiLevelType w:val="multilevel"/>
    <w:tmpl w:val="DE4CA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6275268">
    <w:abstractNumId w:val="7"/>
  </w:num>
  <w:num w:numId="2" w16cid:durableId="1175340911">
    <w:abstractNumId w:val="8"/>
  </w:num>
  <w:num w:numId="3" w16cid:durableId="1011687086">
    <w:abstractNumId w:val="1"/>
  </w:num>
  <w:num w:numId="4" w16cid:durableId="854729928">
    <w:abstractNumId w:val="5"/>
  </w:num>
  <w:num w:numId="5" w16cid:durableId="714308292">
    <w:abstractNumId w:val="6"/>
  </w:num>
  <w:num w:numId="6" w16cid:durableId="1847209242">
    <w:abstractNumId w:val="0"/>
  </w:num>
  <w:num w:numId="7" w16cid:durableId="734201686">
    <w:abstractNumId w:val="2"/>
  </w:num>
  <w:num w:numId="8" w16cid:durableId="954598353">
    <w:abstractNumId w:val="3"/>
  </w:num>
  <w:num w:numId="9" w16cid:durableId="227814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554"/>
    <w:rsid w:val="00054587"/>
    <w:rsid w:val="00092148"/>
    <w:rsid w:val="000A41CF"/>
    <w:rsid w:val="000C2969"/>
    <w:rsid w:val="0025357A"/>
    <w:rsid w:val="002E6378"/>
    <w:rsid w:val="003431F3"/>
    <w:rsid w:val="00455E2B"/>
    <w:rsid w:val="004A7BAA"/>
    <w:rsid w:val="004F64E2"/>
    <w:rsid w:val="00653524"/>
    <w:rsid w:val="006631EA"/>
    <w:rsid w:val="00744B2B"/>
    <w:rsid w:val="00757D34"/>
    <w:rsid w:val="0081504D"/>
    <w:rsid w:val="008556F9"/>
    <w:rsid w:val="00861989"/>
    <w:rsid w:val="00872E25"/>
    <w:rsid w:val="00882514"/>
    <w:rsid w:val="008D41E2"/>
    <w:rsid w:val="008F2001"/>
    <w:rsid w:val="00A544A7"/>
    <w:rsid w:val="00B772BC"/>
    <w:rsid w:val="00BD59E7"/>
    <w:rsid w:val="00BE3641"/>
    <w:rsid w:val="00C4583A"/>
    <w:rsid w:val="00CA24CF"/>
    <w:rsid w:val="00CA24D3"/>
    <w:rsid w:val="00CE1496"/>
    <w:rsid w:val="00CE50FA"/>
    <w:rsid w:val="00D42D85"/>
    <w:rsid w:val="00DF0CFA"/>
    <w:rsid w:val="00E03554"/>
    <w:rsid w:val="00F04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F3AD"/>
  <w15:docId w15:val="{3ECB0D9A-D152-7148-82E8-8759C5B5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highlight w:val="white"/>
        <w:lang w:val="en" w:eastAsia="en-US" w:bidi="ar-SA"/>
      </w:rPr>
    </w:rPrDefault>
    <w:pPrDefault>
      <w:pPr>
        <w:shd w:val="clear" w:color="auto" w:fill="FFFFFF"/>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spacing w:after="160"/>
      <w:outlineLvl w:val="1"/>
    </w:pPr>
    <w:rPr>
      <w:b/>
      <w:color w:val="333333"/>
    </w:rPr>
  </w:style>
  <w:style w:type="paragraph" w:styleId="Heading3">
    <w:name w:val="heading 3"/>
    <w:basedOn w:val="Normal"/>
    <w:next w:val="Normal"/>
    <w:uiPriority w:val="9"/>
    <w:unhideWhenUsed/>
    <w:qFormat/>
    <w:pPr>
      <w:keepNext/>
      <w:keepLines/>
      <w:spacing w:after="160"/>
      <w:outlineLvl w:val="2"/>
    </w:pPr>
    <w:rPr>
      <w:b/>
      <w:i/>
      <w:color w:val="333333"/>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NormalWeb">
    <w:name w:val="Normal (Web)"/>
    <w:basedOn w:val="Normal"/>
    <w:uiPriority w:val="99"/>
    <w:semiHidden/>
    <w:unhideWhenUsed/>
    <w:rsid w:val="00455E2B"/>
    <w:pPr>
      <w:shd w:val="clear" w:color="auto" w:fill="auto"/>
      <w:spacing w:before="100" w:beforeAutospacing="1" w:after="100" w:afterAutospacing="1" w:line="240" w:lineRule="auto"/>
    </w:pPr>
    <w:rPr>
      <w:highlight w:val="none"/>
      <w:lang w:val="en-US"/>
    </w:rPr>
  </w:style>
  <w:style w:type="character" w:styleId="Hyperlink">
    <w:name w:val="Hyperlink"/>
    <w:basedOn w:val="DefaultParagraphFont"/>
    <w:uiPriority w:val="99"/>
    <w:semiHidden/>
    <w:unhideWhenUsed/>
    <w:rsid w:val="00455E2B"/>
    <w:rPr>
      <w:color w:val="0000FF"/>
      <w:u w:val="single"/>
    </w:rPr>
  </w:style>
  <w:style w:type="paragraph" w:styleId="CommentText">
    <w:name w:val="annotation text"/>
    <w:basedOn w:val="Normal"/>
    <w:link w:val="CommentTextChar"/>
    <w:uiPriority w:val="99"/>
    <w:unhideWhenUsed/>
    <w:rsid w:val="00F04617"/>
    <w:pPr>
      <w:spacing w:line="240" w:lineRule="auto"/>
    </w:pPr>
    <w:rPr>
      <w:sz w:val="20"/>
      <w:szCs w:val="20"/>
    </w:rPr>
  </w:style>
  <w:style w:type="character" w:customStyle="1" w:styleId="CommentTextChar">
    <w:name w:val="Comment Text Char"/>
    <w:basedOn w:val="DefaultParagraphFont"/>
    <w:link w:val="CommentText"/>
    <w:uiPriority w:val="99"/>
    <w:rsid w:val="00F04617"/>
    <w:rPr>
      <w:sz w:val="20"/>
      <w:szCs w:val="20"/>
      <w:shd w:val="clear" w:color="auto" w:fill="FFFFFF"/>
    </w:rPr>
  </w:style>
  <w:style w:type="character" w:styleId="CommentReference">
    <w:name w:val="annotation reference"/>
    <w:basedOn w:val="DefaultParagraphFont"/>
    <w:uiPriority w:val="99"/>
    <w:semiHidden/>
    <w:unhideWhenUsed/>
    <w:rsid w:val="00F04617"/>
    <w:rPr>
      <w:sz w:val="16"/>
      <w:szCs w:val="16"/>
    </w:rPr>
  </w:style>
  <w:style w:type="character" w:customStyle="1" w:styleId="apple-converted-space">
    <w:name w:val="apple-converted-space"/>
    <w:basedOn w:val="DefaultParagraphFont"/>
    <w:rsid w:val="002E6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47470">
      <w:bodyDiv w:val="1"/>
      <w:marLeft w:val="0"/>
      <w:marRight w:val="0"/>
      <w:marTop w:val="0"/>
      <w:marBottom w:val="0"/>
      <w:divBdr>
        <w:top w:val="none" w:sz="0" w:space="0" w:color="auto"/>
        <w:left w:val="none" w:sz="0" w:space="0" w:color="auto"/>
        <w:bottom w:val="none" w:sz="0" w:space="0" w:color="auto"/>
        <w:right w:val="none" w:sz="0" w:space="0" w:color="auto"/>
      </w:divBdr>
      <w:divsChild>
        <w:div w:id="581109327">
          <w:marLeft w:val="480"/>
          <w:marRight w:val="0"/>
          <w:marTop w:val="0"/>
          <w:marBottom w:val="0"/>
          <w:divBdr>
            <w:top w:val="none" w:sz="0" w:space="0" w:color="auto"/>
            <w:left w:val="none" w:sz="0" w:space="0" w:color="auto"/>
            <w:bottom w:val="none" w:sz="0" w:space="0" w:color="auto"/>
            <w:right w:val="none" w:sz="0" w:space="0" w:color="auto"/>
          </w:divBdr>
          <w:divsChild>
            <w:div w:id="15246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6165">
      <w:bodyDiv w:val="1"/>
      <w:marLeft w:val="0"/>
      <w:marRight w:val="0"/>
      <w:marTop w:val="0"/>
      <w:marBottom w:val="0"/>
      <w:divBdr>
        <w:top w:val="none" w:sz="0" w:space="0" w:color="auto"/>
        <w:left w:val="none" w:sz="0" w:space="0" w:color="auto"/>
        <w:bottom w:val="none" w:sz="0" w:space="0" w:color="auto"/>
        <w:right w:val="none" w:sz="0" w:space="0" w:color="auto"/>
      </w:divBdr>
    </w:div>
    <w:div w:id="725838263">
      <w:bodyDiv w:val="1"/>
      <w:marLeft w:val="0"/>
      <w:marRight w:val="0"/>
      <w:marTop w:val="0"/>
      <w:marBottom w:val="0"/>
      <w:divBdr>
        <w:top w:val="none" w:sz="0" w:space="0" w:color="auto"/>
        <w:left w:val="none" w:sz="0" w:space="0" w:color="auto"/>
        <w:bottom w:val="none" w:sz="0" w:space="0" w:color="auto"/>
        <w:right w:val="none" w:sz="0" w:space="0" w:color="auto"/>
      </w:divBdr>
      <w:divsChild>
        <w:div w:id="1327441607">
          <w:marLeft w:val="480"/>
          <w:marRight w:val="0"/>
          <w:marTop w:val="0"/>
          <w:marBottom w:val="0"/>
          <w:divBdr>
            <w:top w:val="none" w:sz="0" w:space="0" w:color="auto"/>
            <w:left w:val="none" w:sz="0" w:space="0" w:color="auto"/>
            <w:bottom w:val="none" w:sz="0" w:space="0" w:color="auto"/>
            <w:right w:val="none" w:sz="0" w:space="0" w:color="auto"/>
          </w:divBdr>
          <w:divsChild>
            <w:div w:id="14481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5832">
      <w:bodyDiv w:val="1"/>
      <w:marLeft w:val="0"/>
      <w:marRight w:val="0"/>
      <w:marTop w:val="0"/>
      <w:marBottom w:val="0"/>
      <w:divBdr>
        <w:top w:val="none" w:sz="0" w:space="0" w:color="auto"/>
        <w:left w:val="none" w:sz="0" w:space="0" w:color="auto"/>
        <w:bottom w:val="none" w:sz="0" w:space="0" w:color="auto"/>
        <w:right w:val="none" w:sz="0" w:space="0" w:color="auto"/>
      </w:divBdr>
      <w:divsChild>
        <w:div w:id="1140458474">
          <w:marLeft w:val="480"/>
          <w:marRight w:val="0"/>
          <w:marTop w:val="0"/>
          <w:marBottom w:val="0"/>
          <w:divBdr>
            <w:top w:val="none" w:sz="0" w:space="0" w:color="auto"/>
            <w:left w:val="none" w:sz="0" w:space="0" w:color="auto"/>
            <w:bottom w:val="none" w:sz="0" w:space="0" w:color="auto"/>
            <w:right w:val="none" w:sz="0" w:space="0" w:color="auto"/>
          </w:divBdr>
          <w:divsChild>
            <w:div w:id="2739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8484">
      <w:bodyDiv w:val="1"/>
      <w:marLeft w:val="0"/>
      <w:marRight w:val="0"/>
      <w:marTop w:val="0"/>
      <w:marBottom w:val="0"/>
      <w:divBdr>
        <w:top w:val="none" w:sz="0" w:space="0" w:color="auto"/>
        <w:left w:val="none" w:sz="0" w:space="0" w:color="auto"/>
        <w:bottom w:val="none" w:sz="0" w:space="0" w:color="auto"/>
        <w:right w:val="none" w:sz="0" w:space="0" w:color="auto"/>
      </w:divBdr>
      <w:divsChild>
        <w:div w:id="1519198275">
          <w:marLeft w:val="480"/>
          <w:marRight w:val="0"/>
          <w:marTop w:val="0"/>
          <w:marBottom w:val="0"/>
          <w:divBdr>
            <w:top w:val="none" w:sz="0" w:space="0" w:color="auto"/>
            <w:left w:val="none" w:sz="0" w:space="0" w:color="auto"/>
            <w:bottom w:val="none" w:sz="0" w:space="0" w:color="auto"/>
            <w:right w:val="none" w:sz="0" w:space="0" w:color="auto"/>
          </w:divBdr>
          <w:divsChild>
            <w:div w:id="6694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3786">
      <w:bodyDiv w:val="1"/>
      <w:marLeft w:val="0"/>
      <w:marRight w:val="0"/>
      <w:marTop w:val="0"/>
      <w:marBottom w:val="0"/>
      <w:divBdr>
        <w:top w:val="none" w:sz="0" w:space="0" w:color="auto"/>
        <w:left w:val="none" w:sz="0" w:space="0" w:color="auto"/>
        <w:bottom w:val="none" w:sz="0" w:space="0" w:color="auto"/>
        <w:right w:val="none" w:sz="0" w:space="0" w:color="auto"/>
      </w:divBdr>
      <w:divsChild>
        <w:div w:id="682977002">
          <w:marLeft w:val="480"/>
          <w:marRight w:val="0"/>
          <w:marTop w:val="0"/>
          <w:marBottom w:val="0"/>
          <w:divBdr>
            <w:top w:val="none" w:sz="0" w:space="0" w:color="auto"/>
            <w:left w:val="none" w:sz="0" w:space="0" w:color="auto"/>
            <w:bottom w:val="none" w:sz="0" w:space="0" w:color="auto"/>
            <w:right w:val="none" w:sz="0" w:space="0" w:color="auto"/>
          </w:divBdr>
          <w:divsChild>
            <w:div w:id="17433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5140">
      <w:bodyDiv w:val="1"/>
      <w:marLeft w:val="0"/>
      <w:marRight w:val="0"/>
      <w:marTop w:val="0"/>
      <w:marBottom w:val="0"/>
      <w:divBdr>
        <w:top w:val="none" w:sz="0" w:space="0" w:color="auto"/>
        <w:left w:val="none" w:sz="0" w:space="0" w:color="auto"/>
        <w:bottom w:val="none" w:sz="0" w:space="0" w:color="auto"/>
        <w:right w:val="none" w:sz="0" w:space="0" w:color="auto"/>
      </w:divBdr>
    </w:div>
    <w:div w:id="1174303407">
      <w:bodyDiv w:val="1"/>
      <w:marLeft w:val="0"/>
      <w:marRight w:val="0"/>
      <w:marTop w:val="0"/>
      <w:marBottom w:val="0"/>
      <w:divBdr>
        <w:top w:val="none" w:sz="0" w:space="0" w:color="auto"/>
        <w:left w:val="none" w:sz="0" w:space="0" w:color="auto"/>
        <w:bottom w:val="none" w:sz="0" w:space="0" w:color="auto"/>
        <w:right w:val="none" w:sz="0" w:space="0" w:color="auto"/>
      </w:divBdr>
      <w:divsChild>
        <w:div w:id="1836798293">
          <w:marLeft w:val="480"/>
          <w:marRight w:val="0"/>
          <w:marTop w:val="0"/>
          <w:marBottom w:val="0"/>
          <w:divBdr>
            <w:top w:val="none" w:sz="0" w:space="0" w:color="auto"/>
            <w:left w:val="none" w:sz="0" w:space="0" w:color="auto"/>
            <w:bottom w:val="none" w:sz="0" w:space="0" w:color="auto"/>
            <w:right w:val="none" w:sz="0" w:space="0" w:color="auto"/>
          </w:divBdr>
          <w:divsChild>
            <w:div w:id="5091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7462">
      <w:bodyDiv w:val="1"/>
      <w:marLeft w:val="0"/>
      <w:marRight w:val="0"/>
      <w:marTop w:val="0"/>
      <w:marBottom w:val="0"/>
      <w:divBdr>
        <w:top w:val="none" w:sz="0" w:space="0" w:color="auto"/>
        <w:left w:val="none" w:sz="0" w:space="0" w:color="auto"/>
        <w:bottom w:val="none" w:sz="0" w:space="0" w:color="auto"/>
        <w:right w:val="none" w:sz="0" w:space="0" w:color="auto"/>
      </w:divBdr>
      <w:divsChild>
        <w:div w:id="125780008">
          <w:marLeft w:val="480"/>
          <w:marRight w:val="0"/>
          <w:marTop w:val="0"/>
          <w:marBottom w:val="0"/>
          <w:divBdr>
            <w:top w:val="none" w:sz="0" w:space="0" w:color="auto"/>
            <w:left w:val="none" w:sz="0" w:space="0" w:color="auto"/>
            <w:bottom w:val="none" w:sz="0" w:space="0" w:color="auto"/>
            <w:right w:val="none" w:sz="0" w:space="0" w:color="auto"/>
          </w:divBdr>
          <w:divsChild>
            <w:div w:id="1238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714">
      <w:bodyDiv w:val="1"/>
      <w:marLeft w:val="0"/>
      <w:marRight w:val="0"/>
      <w:marTop w:val="0"/>
      <w:marBottom w:val="0"/>
      <w:divBdr>
        <w:top w:val="none" w:sz="0" w:space="0" w:color="auto"/>
        <w:left w:val="none" w:sz="0" w:space="0" w:color="auto"/>
        <w:bottom w:val="none" w:sz="0" w:space="0" w:color="auto"/>
        <w:right w:val="none" w:sz="0" w:space="0" w:color="auto"/>
      </w:divBdr>
      <w:divsChild>
        <w:div w:id="993685601">
          <w:marLeft w:val="480"/>
          <w:marRight w:val="0"/>
          <w:marTop w:val="0"/>
          <w:marBottom w:val="0"/>
          <w:divBdr>
            <w:top w:val="none" w:sz="0" w:space="0" w:color="auto"/>
            <w:left w:val="none" w:sz="0" w:space="0" w:color="auto"/>
            <w:bottom w:val="none" w:sz="0" w:space="0" w:color="auto"/>
            <w:right w:val="none" w:sz="0" w:space="0" w:color="auto"/>
          </w:divBdr>
          <w:divsChild>
            <w:div w:id="11582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9559">
      <w:bodyDiv w:val="1"/>
      <w:marLeft w:val="0"/>
      <w:marRight w:val="0"/>
      <w:marTop w:val="0"/>
      <w:marBottom w:val="0"/>
      <w:divBdr>
        <w:top w:val="none" w:sz="0" w:space="0" w:color="auto"/>
        <w:left w:val="none" w:sz="0" w:space="0" w:color="auto"/>
        <w:bottom w:val="none" w:sz="0" w:space="0" w:color="auto"/>
        <w:right w:val="none" w:sz="0" w:space="0" w:color="auto"/>
      </w:divBdr>
      <w:divsChild>
        <w:div w:id="677851118">
          <w:marLeft w:val="480"/>
          <w:marRight w:val="0"/>
          <w:marTop w:val="0"/>
          <w:marBottom w:val="0"/>
          <w:divBdr>
            <w:top w:val="none" w:sz="0" w:space="0" w:color="auto"/>
            <w:left w:val="none" w:sz="0" w:space="0" w:color="auto"/>
            <w:bottom w:val="none" w:sz="0" w:space="0" w:color="auto"/>
            <w:right w:val="none" w:sz="0" w:space="0" w:color="auto"/>
          </w:divBdr>
          <w:divsChild>
            <w:div w:id="486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9364">
      <w:bodyDiv w:val="1"/>
      <w:marLeft w:val="0"/>
      <w:marRight w:val="0"/>
      <w:marTop w:val="0"/>
      <w:marBottom w:val="0"/>
      <w:divBdr>
        <w:top w:val="none" w:sz="0" w:space="0" w:color="auto"/>
        <w:left w:val="none" w:sz="0" w:space="0" w:color="auto"/>
        <w:bottom w:val="none" w:sz="0" w:space="0" w:color="auto"/>
        <w:right w:val="none" w:sz="0" w:space="0" w:color="auto"/>
      </w:divBdr>
      <w:divsChild>
        <w:div w:id="1775662528">
          <w:marLeft w:val="480"/>
          <w:marRight w:val="0"/>
          <w:marTop w:val="0"/>
          <w:marBottom w:val="0"/>
          <w:divBdr>
            <w:top w:val="none" w:sz="0" w:space="0" w:color="auto"/>
            <w:left w:val="none" w:sz="0" w:space="0" w:color="auto"/>
            <w:bottom w:val="none" w:sz="0" w:space="0" w:color="auto"/>
            <w:right w:val="none" w:sz="0" w:space="0" w:color="auto"/>
          </w:divBdr>
          <w:divsChild>
            <w:div w:id="13841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68639">
      <w:bodyDiv w:val="1"/>
      <w:marLeft w:val="0"/>
      <w:marRight w:val="0"/>
      <w:marTop w:val="0"/>
      <w:marBottom w:val="0"/>
      <w:divBdr>
        <w:top w:val="none" w:sz="0" w:space="0" w:color="auto"/>
        <w:left w:val="none" w:sz="0" w:space="0" w:color="auto"/>
        <w:bottom w:val="none" w:sz="0" w:space="0" w:color="auto"/>
        <w:right w:val="none" w:sz="0" w:space="0" w:color="auto"/>
      </w:divBdr>
    </w:div>
    <w:div w:id="1809669220">
      <w:bodyDiv w:val="1"/>
      <w:marLeft w:val="0"/>
      <w:marRight w:val="0"/>
      <w:marTop w:val="0"/>
      <w:marBottom w:val="0"/>
      <w:divBdr>
        <w:top w:val="none" w:sz="0" w:space="0" w:color="auto"/>
        <w:left w:val="none" w:sz="0" w:space="0" w:color="auto"/>
        <w:bottom w:val="none" w:sz="0" w:space="0" w:color="auto"/>
        <w:right w:val="none" w:sz="0" w:space="0" w:color="auto"/>
      </w:divBdr>
      <w:divsChild>
        <w:div w:id="333336087">
          <w:marLeft w:val="480"/>
          <w:marRight w:val="0"/>
          <w:marTop w:val="0"/>
          <w:marBottom w:val="0"/>
          <w:divBdr>
            <w:top w:val="none" w:sz="0" w:space="0" w:color="auto"/>
            <w:left w:val="none" w:sz="0" w:space="0" w:color="auto"/>
            <w:bottom w:val="none" w:sz="0" w:space="0" w:color="auto"/>
            <w:right w:val="none" w:sz="0" w:space="0" w:color="auto"/>
          </w:divBdr>
          <w:divsChild>
            <w:div w:id="6869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09012">
      <w:bodyDiv w:val="1"/>
      <w:marLeft w:val="0"/>
      <w:marRight w:val="0"/>
      <w:marTop w:val="0"/>
      <w:marBottom w:val="0"/>
      <w:divBdr>
        <w:top w:val="none" w:sz="0" w:space="0" w:color="auto"/>
        <w:left w:val="none" w:sz="0" w:space="0" w:color="auto"/>
        <w:bottom w:val="none" w:sz="0" w:space="0" w:color="auto"/>
        <w:right w:val="none" w:sz="0" w:space="0" w:color="auto"/>
      </w:divBdr>
      <w:divsChild>
        <w:div w:id="1371152943">
          <w:marLeft w:val="480"/>
          <w:marRight w:val="0"/>
          <w:marTop w:val="0"/>
          <w:marBottom w:val="0"/>
          <w:divBdr>
            <w:top w:val="none" w:sz="0" w:space="0" w:color="auto"/>
            <w:left w:val="none" w:sz="0" w:space="0" w:color="auto"/>
            <w:bottom w:val="none" w:sz="0" w:space="0" w:color="auto"/>
            <w:right w:val="none" w:sz="0" w:space="0" w:color="auto"/>
          </w:divBdr>
          <w:divsChild>
            <w:div w:id="5161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psyarxiv.com/zeux9/" TargetMode="External"/><Relationship Id="rId21" Type="http://schemas.openxmlformats.org/officeDocument/2006/relationships/hyperlink" Target="https://osf.io/8ut6e/" TargetMode="External"/><Relationship Id="rId42" Type="http://schemas.openxmlformats.org/officeDocument/2006/relationships/hyperlink" Target="https://doi.org/10.1037/bul0000220" TargetMode="External"/><Relationship Id="rId47" Type="http://schemas.openxmlformats.org/officeDocument/2006/relationships/hyperlink" Target="https://doi.org/10.1016/j.cognition.2013.02.008" TargetMode="External"/><Relationship Id="rId63" Type="http://schemas.openxmlformats.org/officeDocument/2006/relationships/hyperlink" Target="https://doi.org/10.1111/j.1933-1592.2007.00118.x" TargetMode="External"/><Relationship Id="rId68" Type="http://schemas.openxmlformats.org/officeDocument/2006/relationships/hyperlink" Target="https://doi.org/10.1080/0020174X.2013.775015" TargetMode="External"/><Relationship Id="rId16" Type="http://schemas.openxmlformats.org/officeDocument/2006/relationships/hyperlink" Target="http://osf.io/gs29c" TargetMode="External"/><Relationship Id="rId11" Type="http://schemas.openxmlformats.org/officeDocument/2006/relationships/hyperlink" Target="https://osf.io/n5b3w/" TargetMode="External"/><Relationship Id="rId24" Type="http://schemas.openxmlformats.org/officeDocument/2006/relationships/hyperlink" Target="https://osf.io/8ut6e/" TargetMode="External"/><Relationship Id="rId32" Type="http://schemas.openxmlformats.org/officeDocument/2006/relationships/hyperlink" Target="https://doi.org/10.1086/261651" TargetMode="External"/><Relationship Id="rId37" Type="http://schemas.openxmlformats.org/officeDocument/2006/relationships/hyperlink" Target="https://doi.org/10.1093/analys/23.6.121" TargetMode="External"/><Relationship Id="rId40" Type="http://schemas.openxmlformats.org/officeDocument/2006/relationships/hyperlink" Target="https://doi.org/10.1037/h0076157" TargetMode="External"/><Relationship Id="rId45" Type="http://schemas.openxmlformats.org/officeDocument/2006/relationships/hyperlink" Target="https://doi.org/10.1111/nous.12110" TargetMode="External"/><Relationship Id="rId53" Type="http://schemas.openxmlformats.org/officeDocument/2006/relationships/hyperlink" Target="https://doi.org/10.31222/osf.io/9e526" TargetMode="External"/><Relationship Id="rId58" Type="http://schemas.openxmlformats.org/officeDocument/2006/relationships/hyperlink" Target="https://doi.org/10.1177/1745691617708630" TargetMode="External"/><Relationship Id="rId66" Type="http://schemas.openxmlformats.org/officeDocument/2006/relationships/hyperlink" Target="https://doi.org/10.3758/s13423-014-0683-5" TargetMode="External"/><Relationship Id="rId74" Type="http://schemas.openxmlformats.org/officeDocument/2006/relationships/image" Target="media/image5.png"/><Relationship Id="rId5" Type="http://schemas.openxmlformats.org/officeDocument/2006/relationships/footnotes" Target="footnotes.xml"/><Relationship Id="rId61" Type="http://schemas.openxmlformats.org/officeDocument/2006/relationships/hyperlink" Target="https://doi.org/10.1016/j.cognition.2012.05.017" TargetMode="External"/><Relationship Id="rId19" Type="http://schemas.openxmlformats.org/officeDocument/2006/relationships/hyperlink" Target="https://osf.io/8ut6e/" TargetMode="External"/><Relationship Id="rId14" Type="http://schemas.openxmlformats.org/officeDocument/2006/relationships/header" Target="header1.xml"/><Relationship Id="rId22" Type="http://schemas.openxmlformats.org/officeDocument/2006/relationships/hyperlink" Target="https://osf.io/8ut6e/" TargetMode="External"/><Relationship Id="rId27" Type="http://schemas.openxmlformats.org/officeDocument/2006/relationships/hyperlink" Target="https://cran.r-project.org/package=MuMIn" TargetMode="External"/><Relationship Id="rId30" Type="http://schemas.openxmlformats.org/officeDocument/2006/relationships/hyperlink" Target="https://doi.org/10.1111/j.1467-9280.2007.01909.x" TargetMode="External"/><Relationship Id="rId35" Type="http://schemas.openxmlformats.org/officeDocument/2006/relationships/hyperlink" Target="https://doi.org/10.1111/bjso.12443" TargetMode="External"/><Relationship Id="rId43" Type="http://schemas.openxmlformats.org/officeDocument/2006/relationships/hyperlink" Target="https://osf.io/fh52n/" TargetMode="External"/><Relationship Id="rId48" Type="http://schemas.openxmlformats.org/officeDocument/2006/relationships/hyperlink" Target="https://doi.org/10.1016/j.cognition.2013.08.016" TargetMode="External"/><Relationship Id="rId56" Type="http://schemas.openxmlformats.org/officeDocument/2006/relationships/hyperlink" Target="https://doi.org/10.1177/2515245917747646" TargetMode="External"/><Relationship Id="rId64" Type="http://schemas.openxmlformats.org/officeDocument/2006/relationships/hyperlink" Target="https://doi.org/10.2139/ssrn.3643930" TargetMode="External"/><Relationship Id="rId69" Type="http://schemas.openxmlformats.org/officeDocument/2006/relationships/hyperlink" Target="https://doi.org/10.5840/philtopics2001291/217" TargetMode="External"/><Relationship Id="rId77" Type="http://schemas.openxmlformats.org/officeDocument/2006/relationships/fontTable" Target="fontTable.xml"/><Relationship Id="rId8" Type="http://schemas.openxmlformats.org/officeDocument/2006/relationships/hyperlink" Target="https://docs.google.com/document/d/1qx1dotzgM2egPhy99_azfyEg2KO-XXfUfPwZYuDb5gc/edit?usp=sharing" TargetMode="External"/><Relationship Id="rId51" Type="http://schemas.openxmlformats.org/officeDocument/2006/relationships/hyperlink" Target="https://doi.org/10.1126/science.aac4716" TargetMode="External"/><Relationship Id="rId72" Type="http://schemas.openxmlformats.org/officeDocument/2006/relationships/hyperlink" Target="https://psysciacc.org/translation-process/" TargetMode="External"/><Relationship Id="rId3" Type="http://schemas.openxmlformats.org/officeDocument/2006/relationships/settings" Target="settings.xml"/><Relationship Id="rId12" Type="http://schemas.openxmlformats.org/officeDocument/2006/relationships/hyperlink" Target="https://osf.io/n5b3w/" TargetMode="External"/><Relationship Id="rId17" Type="http://schemas.openxmlformats.org/officeDocument/2006/relationships/hyperlink" Target="https://osf.io/8ut6e/" TargetMode="External"/><Relationship Id="rId25" Type="http://schemas.openxmlformats.org/officeDocument/2006/relationships/hyperlink" Target="https://osf.io/bdr63/" TargetMode="External"/><Relationship Id="rId33" Type="http://schemas.openxmlformats.org/officeDocument/2006/relationships/hyperlink" Target="https://doi.org/10.31234/osf.io/wqhbj" TargetMode="External"/><Relationship Id="rId38" Type="http://schemas.openxmlformats.org/officeDocument/2006/relationships/hyperlink" Target="https://doi.org/10.17605/OSF.IO/N5B3W" TargetMode="External"/><Relationship Id="rId46" Type="http://schemas.openxmlformats.org/officeDocument/2006/relationships/hyperlink" Target="https://doi.org/10.1177/2515245918797607" TargetMode="External"/><Relationship Id="rId59" Type="http://schemas.openxmlformats.org/officeDocument/2006/relationships/hyperlink" Target="https://doi.org/10.1177/0956797613480366" TargetMode="External"/><Relationship Id="rId67" Type="http://schemas.openxmlformats.org/officeDocument/2006/relationships/hyperlink" Target="https://doi.org/10.1525/collabra.177" TargetMode="External"/><Relationship Id="rId20" Type="http://schemas.openxmlformats.org/officeDocument/2006/relationships/image" Target="media/image3.png"/><Relationship Id="rId41" Type="http://schemas.openxmlformats.org/officeDocument/2006/relationships/hyperlink" Target="https://doi.org/10.1037/met0000209" TargetMode="External"/><Relationship Id="rId54" Type="http://schemas.openxmlformats.org/officeDocument/2006/relationships/hyperlink" Target="https://osf.io/ywekt/" TargetMode="External"/><Relationship Id="rId62" Type="http://schemas.openxmlformats.org/officeDocument/2006/relationships/hyperlink" Target="https://doi.org/10.1016/j.cognition.2013.05.009" TargetMode="External"/><Relationship Id="rId70" Type="http://schemas.openxmlformats.org/officeDocument/2006/relationships/hyperlink" Target="https://osf.io/n5b3w/" TargetMode="External"/><Relationship Id="rId75" Type="http://schemas.openxmlformats.org/officeDocument/2006/relationships/hyperlink" Target="https://osf.io/n5b3w/"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3ygsk/" TargetMode="External"/><Relationship Id="rId23" Type="http://schemas.openxmlformats.org/officeDocument/2006/relationships/hyperlink" Target="https://osf.io/8ut6e/" TargetMode="External"/><Relationship Id="rId28" Type="http://schemas.openxmlformats.org/officeDocument/2006/relationships/hyperlink" Target="https://doi.org/10.1017/9781316827413.007" TargetMode="External"/><Relationship Id="rId36" Type="http://schemas.openxmlformats.org/officeDocument/2006/relationships/hyperlink" Target="https://doi.org/10.1111/phpe.12061" TargetMode="External"/><Relationship Id="rId49" Type="http://schemas.openxmlformats.org/officeDocument/2006/relationships/hyperlink" Target="https://doi.org/10.1098/rsif.2017.0213" TargetMode="External"/><Relationship Id="rId57" Type="http://schemas.openxmlformats.org/officeDocument/2006/relationships/hyperlink" Target="https://doi.org/10.1177/0956797611417632" TargetMode="External"/><Relationship Id="rId10" Type="http://schemas.openxmlformats.org/officeDocument/2006/relationships/hyperlink" Target="https://osf.io/3ygsk/" TargetMode="External"/><Relationship Id="rId31" Type="http://schemas.openxmlformats.org/officeDocument/2006/relationships/hyperlink" Target="https://doi.org/10.1016/j.jesp.2013.10.005" TargetMode="External"/><Relationship Id="rId44" Type="http://schemas.openxmlformats.org/officeDocument/2006/relationships/hyperlink" Target="https://doi.org/10.1007/s40961-017-0113-y" TargetMode="External"/><Relationship Id="rId52" Type="http://schemas.openxmlformats.org/officeDocument/2006/relationships/hyperlink" Target="https://doi.org/10.1016/j.cognition.2015.03.002" TargetMode="External"/><Relationship Id="rId60" Type="http://schemas.openxmlformats.org/officeDocument/2006/relationships/hyperlink" Target="https://doi.org/10.1007/s11098-006-9050-3" TargetMode="External"/><Relationship Id="rId65" Type="http://schemas.openxmlformats.org/officeDocument/2006/relationships/hyperlink" Target="https://doi.org/10.1093/analys/anx036" TargetMode="External"/><Relationship Id="rId73" Type="http://schemas.openxmlformats.org/officeDocument/2006/relationships/image" Target="media/image4.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psyarxiv.com/zeux9/" TargetMode="External"/><Relationship Id="rId18" Type="http://schemas.openxmlformats.org/officeDocument/2006/relationships/image" Target="media/image2.png"/><Relationship Id="rId39" Type="http://schemas.openxmlformats.org/officeDocument/2006/relationships/hyperlink" Target="https://doi.org/10.1111/2041-210X.12504" TargetMode="External"/><Relationship Id="rId34" Type="http://schemas.openxmlformats.org/officeDocument/2006/relationships/hyperlink" Target="https://doi.org/10.1017/epi.2014.7" TargetMode="External"/><Relationship Id="rId50" Type="http://schemas.openxmlformats.org/officeDocument/2006/relationships/hyperlink" Target="https://doi.org/10.1037/0033-2909.125.6.737" TargetMode="External"/><Relationship Id="rId55" Type="http://schemas.openxmlformats.org/officeDocument/2006/relationships/hyperlink" Target="https://doi.org/10.1017/epi.2014.27" TargetMode="External"/><Relationship Id="rId76" Type="http://schemas.openxmlformats.org/officeDocument/2006/relationships/hyperlink" Target="https://osf.io/rnzqm/" TargetMode="External"/><Relationship Id="rId7" Type="http://schemas.openxmlformats.org/officeDocument/2006/relationships/hyperlink" Target="https://docs.google.com/document/d/1qx1dotzgM2egPhy99_azfyEg2KO-XXfUfPwZYuDb5gc/edit?usp=sharing" TargetMode="External"/><Relationship Id="rId71" Type="http://schemas.openxmlformats.org/officeDocument/2006/relationships/hyperlink" Target="https://osf.io/n5b3w/" TargetMode="External"/><Relationship Id="rId2" Type="http://schemas.openxmlformats.org/officeDocument/2006/relationships/styles" Target="styles.xml"/><Relationship Id="rId29" Type="http://schemas.openxmlformats.org/officeDocument/2006/relationships/hyperlink" Target="https://doi.org/10.1111/j.0963-7214.2005.00328.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131</Pages>
  <Words>34453</Words>
  <Characters>196388</Characters>
  <Application>Microsoft Office Word</Application>
  <DocSecurity>0</DocSecurity>
  <Lines>1636</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Wagge, Jordan</cp:lastModifiedBy>
  <cp:revision>2</cp:revision>
  <dcterms:created xsi:type="dcterms:W3CDTF">2022-06-28T19:16:00Z</dcterms:created>
  <dcterms:modified xsi:type="dcterms:W3CDTF">2022-06-28T19:16:00Z</dcterms:modified>
</cp:coreProperties>
</file>