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AB2208" w14:textId="1CDD2629" w:rsidR="008D200F" w:rsidRPr="00AE273D" w:rsidRDefault="000F1BF8" w:rsidP="000F1BF8">
      <w:pPr>
        <w:spacing w:line="480" w:lineRule="auto"/>
        <w:rPr>
          <w:rFonts w:ascii="Times New Roman" w:hAnsi="Times New Roman" w:cs="Times New Roman"/>
          <w:b/>
          <w:bCs/>
          <w:sz w:val="32"/>
          <w:szCs w:val="32"/>
        </w:rPr>
      </w:pPr>
      <w:r w:rsidRPr="00AE273D">
        <w:rPr>
          <w:rFonts w:ascii="Times New Roman" w:hAnsi="Times New Roman" w:cs="Times New Roman"/>
          <w:b/>
          <w:bCs/>
          <w:sz w:val="32"/>
          <w:szCs w:val="32"/>
        </w:rPr>
        <w:t>Replication of Individual differences in fundamental social motives</w:t>
      </w:r>
    </w:p>
    <w:p w14:paraId="17DDF1C1" w14:textId="7783DB7E" w:rsidR="000F1BF8" w:rsidRDefault="000F1BF8" w:rsidP="005F6077">
      <w:pPr>
        <w:spacing w:line="480" w:lineRule="auto"/>
        <w:ind w:firstLine="720"/>
        <w:rPr>
          <w:rFonts w:ascii="Times New Roman" w:hAnsi="Times New Roman" w:cs="Times New Roman"/>
          <w:sz w:val="24"/>
          <w:szCs w:val="24"/>
        </w:rPr>
      </w:pPr>
      <w:r w:rsidRPr="000F1BF8">
        <w:rPr>
          <w:rFonts w:ascii="Times New Roman" w:hAnsi="Times New Roman" w:cs="Times New Roman"/>
          <w:sz w:val="24"/>
          <w:szCs w:val="24"/>
        </w:rPr>
        <w:t xml:space="preserve">In the original study, Neel et al. (2016) created the Fundamental Social Motive Inventory to examine quantifiable differences in the motivations that underlie social behavior based on the Fundamental Motives framework proposed by </w:t>
      </w:r>
      <w:proofErr w:type="spellStart"/>
      <w:r w:rsidRPr="000F1BF8">
        <w:rPr>
          <w:rFonts w:ascii="Times New Roman" w:hAnsi="Times New Roman" w:cs="Times New Roman"/>
          <w:sz w:val="24"/>
          <w:szCs w:val="24"/>
        </w:rPr>
        <w:t>Kendrik</w:t>
      </w:r>
      <w:proofErr w:type="spellEnd"/>
      <w:r w:rsidRPr="000F1BF8">
        <w:rPr>
          <w:rFonts w:ascii="Times New Roman" w:hAnsi="Times New Roman" w:cs="Times New Roman"/>
          <w:sz w:val="24"/>
          <w:szCs w:val="24"/>
        </w:rPr>
        <w:t xml:space="preserve"> et al. in 2010. This underlying theory is an evolutionary life-history model that suggests there are seven fundamental social motives: self-protection, disease avoidance, affiliation, status, mate seeking, mate retention, and kin care. These motives are a set of psychological systems that guide behavior for overcoming the challenges and achieving the goals of social living. Through a series of exploratory and confirmatory factor analyses, Neel and colleagues created a fundamental social motive inventory of 66 items reflecting 11 different social motives derived from the initial seven motives. After the completion of the inventory, a comprehensive survey of 1560 participants analyzed the relationships that the social motives had with demographics, life history events, and other measures of individual differences such as the Big Five personality facets.</w:t>
      </w:r>
    </w:p>
    <w:p w14:paraId="56686E48" w14:textId="17575B1B" w:rsidR="005F6077" w:rsidRPr="005F6077" w:rsidRDefault="005F6077" w:rsidP="005F6077">
      <w:pPr>
        <w:spacing w:line="480" w:lineRule="auto"/>
        <w:rPr>
          <w:rFonts w:ascii="Times New Roman" w:hAnsi="Times New Roman" w:cs="Times New Roman"/>
          <w:b/>
          <w:bCs/>
          <w:sz w:val="24"/>
          <w:szCs w:val="24"/>
        </w:rPr>
      </w:pPr>
      <w:r>
        <w:rPr>
          <w:rFonts w:ascii="Times New Roman" w:hAnsi="Times New Roman" w:cs="Times New Roman"/>
          <w:b/>
          <w:bCs/>
          <w:sz w:val="24"/>
          <w:szCs w:val="24"/>
        </w:rPr>
        <w:t>Method of replication</w:t>
      </w:r>
    </w:p>
    <w:p w14:paraId="7F5BB6B0" w14:textId="77777777" w:rsidR="005F6077" w:rsidRPr="005F6077" w:rsidRDefault="005F6077" w:rsidP="005F6077">
      <w:pPr>
        <w:spacing w:line="480" w:lineRule="auto"/>
        <w:ind w:firstLine="720"/>
        <w:rPr>
          <w:rFonts w:ascii="Times New Roman" w:hAnsi="Times New Roman" w:cs="Times New Roman"/>
          <w:sz w:val="24"/>
          <w:szCs w:val="24"/>
        </w:rPr>
      </w:pPr>
      <w:r w:rsidRPr="005F6077">
        <w:rPr>
          <w:rFonts w:ascii="Times New Roman" w:hAnsi="Times New Roman" w:cs="Times New Roman"/>
          <w:b/>
          <w:bCs/>
          <w:sz w:val="24"/>
          <w:szCs w:val="24"/>
        </w:rPr>
        <w:t>Participants</w:t>
      </w:r>
    </w:p>
    <w:p w14:paraId="7C7C8BC6" w14:textId="7E99BF62" w:rsidR="005F6077" w:rsidRPr="005F6077" w:rsidRDefault="005F6077" w:rsidP="005F6077">
      <w:pPr>
        <w:spacing w:line="480" w:lineRule="auto"/>
        <w:rPr>
          <w:rFonts w:ascii="Times New Roman" w:hAnsi="Times New Roman" w:cs="Times New Roman"/>
          <w:sz w:val="24"/>
          <w:szCs w:val="24"/>
        </w:rPr>
      </w:pPr>
      <w:r w:rsidRPr="005F6077">
        <w:rPr>
          <w:rFonts w:ascii="Times New Roman" w:hAnsi="Times New Roman" w:cs="Times New Roman"/>
          <w:sz w:val="24"/>
          <w:szCs w:val="24"/>
        </w:rPr>
        <w:tab/>
        <w:t xml:space="preserve">150 American participants were recruited from Amazon Mechanical Turk to complete the Fundamental Social Motives Inventory as well as the other scales used in the original study. </w:t>
      </w:r>
      <w:r w:rsidR="00783379">
        <w:rPr>
          <w:rFonts w:ascii="Times New Roman" w:hAnsi="Times New Roman" w:cs="Times New Roman"/>
          <w:sz w:val="24"/>
          <w:szCs w:val="24"/>
        </w:rPr>
        <w:t xml:space="preserve">However, after accounting for the time to complete the survey and failed validity checks we were left with a final n of 145. </w:t>
      </w:r>
      <w:r w:rsidRPr="005F6077">
        <w:rPr>
          <w:rFonts w:ascii="Times New Roman" w:hAnsi="Times New Roman" w:cs="Times New Roman"/>
          <w:sz w:val="24"/>
          <w:szCs w:val="24"/>
        </w:rPr>
        <w:t xml:space="preserve">The study included 60 females, 89 males, and one other gender expression. The sample represented a range of reported ethnicities; 2 Native Americans, 18 Asians, 10 Black or African American, 8 Hispanic or Latinx, 120 White or Caucasian, 1 Pacific </w:t>
      </w:r>
      <w:r w:rsidRPr="005F6077">
        <w:rPr>
          <w:rFonts w:ascii="Times New Roman" w:hAnsi="Times New Roman" w:cs="Times New Roman"/>
          <w:sz w:val="24"/>
          <w:szCs w:val="24"/>
        </w:rPr>
        <w:lastRenderedPageBreak/>
        <w:t xml:space="preserve">Islander, and 1 other ethnicity. The mean age was 39.21, </w:t>
      </w:r>
      <w:r w:rsidRPr="005F6077">
        <w:rPr>
          <w:rFonts w:ascii="Times New Roman" w:hAnsi="Times New Roman" w:cs="Times New Roman"/>
          <w:i/>
          <w:iCs/>
          <w:sz w:val="24"/>
          <w:szCs w:val="24"/>
        </w:rPr>
        <w:t>SD</w:t>
      </w:r>
      <w:r w:rsidRPr="005F6077">
        <w:rPr>
          <w:rFonts w:ascii="Times New Roman" w:hAnsi="Times New Roman" w:cs="Times New Roman"/>
          <w:sz w:val="24"/>
          <w:szCs w:val="24"/>
        </w:rPr>
        <w:t xml:space="preserve"> age = 9.09, 42.67% married, 37.3% single, 4% other options and 1 NA. Parents made up 37.3% of the participants. </w:t>
      </w:r>
    </w:p>
    <w:p w14:paraId="5C5F6E29" w14:textId="519B8E4F" w:rsidR="00783379" w:rsidRDefault="005F6077" w:rsidP="00783379">
      <w:pPr>
        <w:spacing w:line="480" w:lineRule="auto"/>
        <w:ind w:firstLine="720"/>
        <w:rPr>
          <w:rFonts w:ascii="Times New Roman" w:hAnsi="Times New Roman" w:cs="Times New Roman"/>
          <w:sz w:val="24"/>
          <w:szCs w:val="24"/>
        </w:rPr>
      </w:pPr>
      <w:r w:rsidRPr="005F6077">
        <w:rPr>
          <w:rFonts w:ascii="Times New Roman" w:hAnsi="Times New Roman" w:cs="Times New Roman"/>
          <w:b/>
          <w:bCs/>
          <w:sz w:val="24"/>
          <w:szCs w:val="24"/>
        </w:rPr>
        <w:t>Materials and Procedures</w:t>
      </w:r>
    </w:p>
    <w:p w14:paraId="1F363A75" w14:textId="422E43D3" w:rsidR="00783379" w:rsidRPr="005F6077" w:rsidRDefault="00AB3B6E" w:rsidP="00783379">
      <w:pPr>
        <w:spacing w:line="480" w:lineRule="auto"/>
        <w:ind w:firstLine="720"/>
        <w:rPr>
          <w:rFonts w:ascii="Times New Roman" w:hAnsi="Times New Roman" w:cs="Times New Roman"/>
          <w:sz w:val="24"/>
          <w:szCs w:val="24"/>
        </w:rPr>
      </w:pPr>
      <w:r>
        <w:rPr>
          <w:rFonts w:ascii="Times New Roman" w:hAnsi="Times New Roman" w:cs="Times New Roman"/>
          <w:sz w:val="24"/>
          <w:szCs w:val="24"/>
        </w:rPr>
        <w:t>Following the same method in the original study, e</w:t>
      </w:r>
      <w:r w:rsidR="005F6077" w:rsidRPr="005F6077">
        <w:rPr>
          <w:rFonts w:ascii="Times New Roman" w:hAnsi="Times New Roman" w:cs="Times New Roman"/>
          <w:sz w:val="24"/>
          <w:szCs w:val="24"/>
        </w:rPr>
        <w:t>ach motive ha</w:t>
      </w:r>
      <w:r>
        <w:rPr>
          <w:rFonts w:ascii="Times New Roman" w:hAnsi="Times New Roman" w:cs="Times New Roman"/>
          <w:sz w:val="24"/>
          <w:szCs w:val="24"/>
        </w:rPr>
        <w:t>d</w:t>
      </w:r>
      <w:r w:rsidR="005F6077" w:rsidRPr="005F6077">
        <w:rPr>
          <w:rFonts w:ascii="Times New Roman" w:hAnsi="Times New Roman" w:cs="Times New Roman"/>
          <w:sz w:val="24"/>
          <w:szCs w:val="24"/>
        </w:rPr>
        <w:t xml:space="preserve"> a </w:t>
      </w:r>
      <w:r w:rsidR="005F6077">
        <w:rPr>
          <w:rFonts w:ascii="Times New Roman" w:hAnsi="Times New Roman" w:cs="Times New Roman"/>
          <w:sz w:val="24"/>
          <w:szCs w:val="24"/>
        </w:rPr>
        <w:t>six</w:t>
      </w:r>
      <w:r w:rsidR="005F6077" w:rsidRPr="005F6077">
        <w:rPr>
          <w:rFonts w:ascii="Times New Roman" w:hAnsi="Times New Roman" w:cs="Times New Roman"/>
          <w:sz w:val="24"/>
          <w:szCs w:val="24"/>
        </w:rPr>
        <w:t xml:space="preserve">-item scale with 11 distinct motives making up the total inventory of 66 items, although some of the motives only apply to certain individuals. The general motives are self-protection, disease avoidance, status, affiliation (exclusion concern), affiliation (group), affiliation (independence), mate-seeking, and kin care (family). The specific scales are mate retention (general and breakup concern), and kin care (child). </w:t>
      </w:r>
      <w:r w:rsidR="00783379" w:rsidRPr="005F6077">
        <w:rPr>
          <w:rFonts w:ascii="Times New Roman" w:hAnsi="Times New Roman" w:cs="Times New Roman"/>
          <w:sz w:val="24"/>
          <w:szCs w:val="24"/>
        </w:rPr>
        <w:t>To</w:t>
      </w:r>
      <w:r w:rsidR="005F6077" w:rsidRPr="005F6077">
        <w:rPr>
          <w:rFonts w:ascii="Times New Roman" w:hAnsi="Times New Roman" w:cs="Times New Roman"/>
          <w:sz w:val="24"/>
          <w:szCs w:val="24"/>
        </w:rPr>
        <w:t xml:space="preserve"> determine applicable scales, participants were first screened for relationship and parental status. Those who were eligible completed the kin care child scales and the specific relationship scales along with the rest of the general social motive scales. All participants also completed the</w:t>
      </w:r>
      <w:r>
        <w:rPr>
          <w:rFonts w:ascii="Times New Roman" w:hAnsi="Times New Roman" w:cs="Times New Roman"/>
          <w:sz w:val="24"/>
          <w:szCs w:val="24"/>
        </w:rPr>
        <w:t xml:space="preserve"> 44-item version of the</w:t>
      </w:r>
      <w:r w:rsidR="005F6077" w:rsidRPr="005F6077">
        <w:rPr>
          <w:rFonts w:ascii="Times New Roman" w:hAnsi="Times New Roman" w:cs="Times New Roman"/>
          <w:sz w:val="24"/>
          <w:szCs w:val="24"/>
        </w:rPr>
        <w:t xml:space="preserve"> Big Five Inventory (John &amp; Srivastava, 1999) assessing personality. </w:t>
      </w:r>
      <w:r w:rsidR="009927FD">
        <w:rPr>
          <w:rFonts w:ascii="Times New Roman" w:hAnsi="Times New Roman" w:cs="Times New Roman"/>
          <w:sz w:val="24"/>
          <w:szCs w:val="24"/>
        </w:rPr>
        <w:t xml:space="preserve">Unlike Neel et al. the replication did not include the </w:t>
      </w:r>
      <w:r w:rsidR="009927FD" w:rsidRPr="009927FD">
        <w:rPr>
          <w:rFonts w:ascii="Times New Roman" w:hAnsi="Times New Roman" w:cs="Times New Roman"/>
          <w:sz w:val="24"/>
          <w:szCs w:val="24"/>
        </w:rPr>
        <w:t xml:space="preserve">IPIP 30-facet measure of the Big Five. </w:t>
      </w:r>
      <w:r w:rsidR="005F6077" w:rsidRPr="005F6077">
        <w:rPr>
          <w:rFonts w:ascii="Times New Roman" w:hAnsi="Times New Roman" w:cs="Times New Roman"/>
          <w:sz w:val="24"/>
          <w:szCs w:val="24"/>
        </w:rPr>
        <w:t xml:space="preserve">Scales used to measure individual differences were split into two groups. The Perceived Vulnerability to Disease scale (Duncan et al., 2009), Sociosexual Orientation Inventory (Jackson &amp; Kirkpatrick, 2007), and the Dominance and Prestige scales (Cheng et al., 2010), composed one set of scales. While the other group included the Need to Belong Scale (Leary, Kelly, Cottrell, &amp; </w:t>
      </w:r>
      <w:proofErr w:type="spellStart"/>
      <w:r w:rsidR="005F6077" w:rsidRPr="005F6077">
        <w:rPr>
          <w:rFonts w:ascii="Times New Roman" w:hAnsi="Times New Roman" w:cs="Times New Roman"/>
          <w:sz w:val="24"/>
          <w:szCs w:val="24"/>
        </w:rPr>
        <w:t>Schreindorfer</w:t>
      </w:r>
      <w:proofErr w:type="spellEnd"/>
      <w:r w:rsidR="005F6077" w:rsidRPr="005F6077">
        <w:rPr>
          <w:rFonts w:ascii="Times New Roman" w:hAnsi="Times New Roman" w:cs="Times New Roman"/>
          <w:sz w:val="24"/>
          <w:szCs w:val="24"/>
        </w:rPr>
        <w:t>, 2013), the Belief in a Dangerous World scale (Altemeyer, 1988), and the Experiences in Close Relationships-Revised scale (Fraley, Waller, &amp; Brennan, 2000). The participants were randomly divided into half each completing one set of measures. After completing all these measures, participants responded to questions about their demographics and subjective life experiences. Biographical information included inquiries about race, age, sex, adult assets, childhood assets, and childhood stability.</w:t>
      </w:r>
      <w:r w:rsidR="00783379">
        <w:rPr>
          <w:rFonts w:ascii="Times New Roman" w:hAnsi="Times New Roman" w:cs="Times New Roman"/>
          <w:sz w:val="24"/>
          <w:szCs w:val="24"/>
        </w:rPr>
        <w:t xml:space="preserve"> The life history data </w:t>
      </w:r>
      <w:r w:rsidR="00783379">
        <w:rPr>
          <w:rFonts w:ascii="Times New Roman" w:hAnsi="Times New Roman" w:cs="Times New Roman"/>
          <w:sz w:val="24"/>
          <w:szCs w:val="24"/>
        </w:rPr>
        <w:lastRenderedPageBreak/>
        <w:t xml:space="preserve">collected was identical to Neel et al. </w:t>
      </w:r>
      <w:r>
        <w:rPr>
          <w:rFonts w:ascii="Times New Roman" w:hAnsi="Times New Roman" w:cs="Times New Roman"/>
          <w:sz w:val="24"/>
          <w:szCs w:val="24"/>
        </w:rPr>
        <w:t>except for the enquiry about p</w:t>
      </w:r>
      <w:r w:rsidRPr="00AB3B6E">
        <w:rPr>
          <w:rFonts w:ascii="Times New Roman" w:hAnsi="Times New Roman" w:cs="Times New Roman"/>
          <w:sz w:val="24"/>
          <w:szCs w:val="24"/>
        </w:rPr>
        <w:t>eople mentioned from the night before the study.</w:t>
      </w:r>
      <w:r>
        <w:rPr>
          <w:rFonts w:ascii="Times New Roman" w:hAnsi="Times New Roman" w:cs="Times New Roman"/>
          <w:sz w:val="24"/>
          <w:szCs w:val="24"/>
        </w:rPr>
        <w:t xml:space="preserve"> In summary, </w:t>
      </w:r>
      <w:r w:rsidR="009927FD">
        <w:rPr>
          <w:rFonts w:ascii="Times New Roman" w:hAnsi="Times New Roman" w:cs="Times New Roman"/>
          <w:sz w:val="24"/>
          <w:szCs w:val="24"/>
        </w:rPr>
        <w:t>the</w:t>
      </w:r>
      <w:r>
        <w:rPr>
          <w:rFonts w:ascii="Times New Roman" w:hAnsi="Times New Roman" w:cs="Times New Roman"/>
          <w:sz w:val="24"/>
          <w:szCs w:val="24"/>
        </w:rPr>
        <w:t xml:space="preserve"> replicat</w:t>
      </w:r>
      <w:r w:rsidR="009927FD">
        <w:rPr>
          <w:rFonts w:ascii="Times New Roman" w:hAnsi="Times New Roman" w:cs="Times New Roman"/>
          <w:sz w:val="24"/>
          <w:szCs w:val="24"/>
        </w:rPr>
        <w:t>ion included</w:t>
      </w:r>
      <w:r>
        <w:rPr>
          <w:rFonts w:ascii="Times New Roman" w:hAnsi="Times New Roman" w:cs="Times New Roman"/>
          <w:sz w:val="24"/>
          <w:szCs w:val="24"/>
        </w:rPr>
        <w:t xml:space="preserve"> the </w:t>
      </w:r>
      <w:r w:rsidR="009927FD">
        <w:rPr>
          <w:rFonts w:ascii="Times New Roman" w:hAnsi="Times New Roman" w:cs="Times New Roman"/>
          <w:sz w:val="24"/>
          <w:szCs w:val="24"/>
        </w:rPr>
        <w:t>majority of the</w:t>
      </w:r>
      <w:r>
        <w:rPr>
          <w:rFonts w:ascii="Times New Roman" w:hAnsi="Times New Roman" w:cs="Times New Roman"/>
          <w:sz w:val="24"/>
          <w:szCs w:val="24"/>
        </w:rPr>
        <w:t xml:space="preserve"> materials from Neel et al., including the full Fundamental Social Motives Inventory, related individual difference measures (only the 44</w:t>
      </w:r>
      <w:r w:rsidR="009927FD">
        <w:rPr>
          <w:rFonts w:ascii="Times New Roman" w:hAnsi="Times New Roman" w:cs="Times New Roman"/>
          <w:sz w:val="24"/>
          <w:szCs w:val="24"/>
        </w:rPr>
        <w:t>-item version of the Big Five Inventory), life history events, behaviors, and frequency of behaviors.</w:t>
      </w:r>
    </w:p>
    <w:p w14:paraId="02C4D84E" w14:textId="2608F160" w:rsidR="000F1BF8" w:rsidRDefault="009927FD" w:rsidP="000F1BF8">
      <w:pPr>
        <w:spacing w:line="480" w:lineRule="auto"/>
        <w:rPr>
          <w:rFonts w:ascii="Times New Roman" w:hAnsi="Times New Roman" w:cs="Times New Roman"/>
          <w:b/>
          <w:bCs/>
          <w:sz w:val="24"/>
          <w:szCs w:val="24"/>
        </w:rPr>
      </w:pPr>
      <w:r>
        <w:rPr>
          <w:rFonts w:ascii="Times New Roman" w:hAnsi="Times New Roman" w:cs="Times New Roman"/>
          <w:b/>
          <w:bCs/>
          <w:sz w:val="24"/>
          <w:szCs w:val="24"/>
        </w:rPr>
        <w:t>Results of the replication</w:t>
      </w:r>
    </w:p>
    <w:p w14:paraId="72BABD80" w14:textId="0D57906C" w:rsidR="005F6077" w:rsidRDefault="009927FD" w:rsidP="000F1BF8">
      <w:pPr>
        <w:spacing w:line="480" w:lineRule="auto"/>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Analytical strategy</w:t>
      </w:r>
    </w:p>
    <w:p w14:paraId="734C382D" w14:textId="22099029" w:rsidR="009927FD" w:rsidRPr="000F1BF8" w:rsidRDefault="009927FD" w:rsidP="000F1BF8">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same</w:t>
      </w:r>
      <w:r w:rsidR="008D200F">
        <w:rPr>
          <w:rFonts w:ascii="Times New Roman" w:hAnsi="Times New Roman" w:cs="Times New Roman"/>
          <w:sz w:val="24"/>
          <w:szCs w:val="24"/>
        </w:rPr>
        <w:t xml:space="preserve"> analytical strategy was implemented along with some additional analysis, which can be found </w:t>
      </w:r>
      <w:r w:rsidR="00282A52">
        <w:rPr>
          <w:rFonts w:ascii="Times New Roman" w:hAnsi="Times New Roman" w:cs="Times New Roman"/>
          <w:sz w:val="24"/>
          <w:szCs w:val="24"/>
        </w:rPr>
        <w:t xml:space="preserve">in the </w:t>
      </w:r>
      <w:r w:rsidR="00660F3A">
        <w:rPr>
          <w:rFonts w:ascii="Times New Roman" w:hAnsi="Times New Roman" w:cs="Times New Roman"/>
          <w:sz w:val="24"/>
          <w:szCs w:val="24"/>
        </w:rPr>
        <w:t>accompanying additional analyses document</w:t>
      </w:r>
      <w:r w:rsidR="008D200F">
        <w:rPr>
          <w:rFonts w:ascii="Times New Roman" w:hAnsi="Times New Roman" w:cs="Times New Roman"/>
          <w:sz w:val="24"/>
          <w:szCs w:val="24"/>
        </w:rPr>
        <w:t xml:space="preserve">. It is important to note that due to our small sample size the number of people married (n = 91) and those with children </w:t>
      </w:r>
      <w:bookmarkStart w:id="0" w:name="_Hlk62920986"/>
      <w:r w:rsidR="008D200F">
        <w:rPr>
          <w:rFonts w:ascii="Times New Roman" w:hAnsi="Times New Roman" w:cs="Times New Roman"/>
          <w:sz w:val="24"/>
          <w:szCs w:val="24"/>
        </w:rPr>
        <w:t>(n = 56)</w:t>
      </w:r>
      <w:bookmarkEnd w:id="0"/>
      <w:r w:rsidR="008D200F">
        <w:rPr>
          <w:rFonts w:ascii="Times New Roman" w:hAnsi="Times New Roman" w:cs="Times New Roman"/>
          <w:sz w:val="24"/>
          <w:szCs w:val="24"/>
        </w:rPr>
        <w:t xml:space="preserve"> further limited the sample size for the mate retention and kin care child motives. Additionally, the random allocation of the two sets of individual difference scales limited the sample for those respective measures. </w:t>
      </w:r>
    </w:p>
    <w:p w14:paraId="54AADC69" w14:textId="77777777" w:rsidR="000F1BF8" w:rsidRP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sz w:val="24"/>
          <w:szCs w:val="24"/>
        </w:rPr>
        <w:tab/>
      </w:r>
      <w:r w:rsidRPr="000F1BF8">
        <w:rPr>
          <w:rFonts w:ascii="Times New Roman" w:hAnsi="Times New Roman" w:cs="Times New Roman"/>
          <w:b/>
          <w:bCs/>
          <w:i/>
          <w:iCs/>
          <w:sz w:val="24"/>
          <w:szCs w:val="24"/>
        </w:rPr>
        <w:t>Self-protection</w:t>
      </w:r>
    </w:p>
    <w:p w14:paraId="39D68B34" w14:textId="77777777" w:rsidR="000F1BF8" w:rsidRP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b/>
          <w:bCs/>
          <w:i/>
          <w:iCs/>
          <w:sz w:val="24"/>
          <w:szCs w:val="24"/>
        </w:rPr>
        <w:tab/>
      </w:r>
      <w:r w:rsidRPr="000F1BF8">
        <w:rPr>
          <w:rFonts w:ascii="Times New Roman" w:hAnsi="Times New Roman" w:cs="Times New Roman"/>
          <w:i/>
          <w:iCs/>
          <w:sz w:val="24"/>
          <w:szCs w:val="24"/>
        </w:rPr>
        <w:t xml:space="preserve">Individual difference constructs. </w:t>
      </w:r>
      <w:r w:rsidRPr="000F1BF8">
        <w:rPr>
          <w:rFonts w:ascii="Times New Roman" w:hAnsi="Times New Roman" w:cs="Times New Roman"/>
          <w:sz w:val="24"/>
          <w:szCs w:val="24"/>
        </w:rPr>
        <w:t>Similar significant relationships were found between the self-protection motive and belief in a dangerous world (</w:t>
      </w:r>
      <w:r w:rsidRPr="000F1BF8">
        <w:rPr>
          <w:rFonts w:ascii="Times New Roman" w:hAnsi="Times New Roman" w:cs="Times New Roman"/>
          <w:i/>
          <w:iCs/>
          <w:sz w:val="24"/>
          <w:szCs w:val="24"/>
        </w:rPr>
        <w:t xml:space="preserve">r </w:t>
      </w:r>
      <w:r w:rsidRPr="000F1BF8">
        <w:rPr>
          <w:rFonts w:ascii="Times New Roman" w:hAnsi="Times New Roman" w:cs="Times New Roman"/>
          <w:sz w:val="24"/>
          <w:szCs w:val="24"/>
        </w:rPr>
        <w:t>= .28; Neel = .38), perceived vulnerability to disease (</w:t>
      </w:r>
      <w:r w:rsidRPr="000F1BF8">
        <w:rPr>
          <w:rFonts w:ascii="Times New Roman" w:hAnsi="Times New Roman" w:cs="Times New Roman"/>
          <w:i/>
          <w:iCs/>
          <w:sz w:val="24"/>
          <w:szCs w:val="24"/>
        </w:rPr>
        <w:t xml:space="preserve">r </w:t>
      </w:r>
      <w:r w:rsidRPr="000F1BF8">
        <w:rPr>
          <w:rFonts w:ascii="Times New Roman" w:hAnsi="Times New Roman" w:cs="Times New Roman"/>
          <w:sz w:val="24"/>
          <w:szCs w:val="24"/>
        </w:rPr>
        <w:t>= .24; Neel = .46), and neuroticism (</w:t>
      </w:r>
      <w:r w:rsidRPr="000F1BF8">
        <w:rPr>
          <w:rFonts w:ascii="Times New Roman" w:hAnsi="Times New Roman" w:cs="Times New Roman"/>
          <w:i/>
          <w:iCs/>
          <w:sz w:val="24"/>
          <w:szCs w:val="24"/>
        </w:rPr>
        <w:t xml:space="preserve">r </w:t>
      </w:r>
      <w:r w:rsidRPr="000F1BF8">
        <w:rPr>
          <w:rFonts w:ascii="Times New Roman" w:hAnsi="Times New Roman" w:cs="Times New Roman"/>
          <w:sz w:val="24"/>
          <w:szCs w:val="24"/>
        </w:rPr>
        <w:t>= .26; Neel = .38).</w:t>
      </w:r>
    </w:p>
    <w:p w14:paraId="76A71950" w14:textId="01102F6B" w:rsid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i/>
          <w:iCs/>
          <w:sz w:val="24"/>
          <w:szCs w:val="24"/>
        </w:rPr>
        <w:tab/>
        <w:t xml:space="preserve">Behaviors. </w:t>
      </w:r>
      <w:proofErr w:type="gramStart"/>
      <w:r w:rsidRPr="000F1BF8">
        <w:rPr>
          <w:rFonts w:ascii="Times New Roman" w:hAnsi="Times New Roman" w:cs="Times New Roman"/>
          <w:sz w:val="24"/>
          <w:szCs w:val="24"/>
        </w:rPr>
        <w:t>Similar to</w:t>
      </w:r>
      <w:proofErr w:type="gramEnd"/>
      <w:r w:rsidRPr="000F1BF8">
        <w:rPr>
          <w:rFonts w:ascii="Times New Roman" w:hAnsi="Times New Roman" w:cs="Times New Roman"/>
          <w:sz w:val="24"/>
          <w:szCs w:val="24"/>
        </w:rPr>
        <w:t xml:space="preserve"> Neel et. al, people with higher self-protection motives were more likely to have taken a self-defense class (odds ratio = 1.47; Neel = 1.59), carried mace (odds ratio = 1.84; Neel = 1.35), and have a home security system (odds ratio = 1.32; Neel = 1.29). These results support the conclusion that those with a higher self-protection motive are more likely to engage in protective behaviors to avoid harm from others. However, contrary to the original </w:t>
      </w:r>
      <w:r w:rsidRPr="000F1BF8">
        <w:rPr>
          <w:rFonts w:ascii="Times New Roman" w:hAnsi="Times New Roman" w:cs="Times New Roman"/>
          <w:sz w:val="24"/>
          <w:szCs w:val="24"/>
        </w:rPr>
        <w:lastRenderedPageBreak/>
        <w:t>study, self-protection did not predict the frequency of carrying mace (β = .12, n = 11, p = .72; Neel β = .44 ) or a weapon in public (β = 0.08, n = 12, p = .80; Neel β = .44) among those that did so, but this may be due to the small sample sizes. Furthermore, higher self-protection did not predict an increased likelihood of having screamed at someone in the past year (odds ratio = .86, p = .42; Neel = 1.30) Only one participant indicated that they had forcefully punched or shoved someone in the past year so we were not able to predict the frequency. This does not seem to support the notion that self-protection may predict expressions of physical aggression.</w:t>
      </w:r>
    </w:p>
    <w:p w14:paraId="3E93AE6A" w14:textId="77777777" w:rsidR="000F1BF8" w:rsidRPr="000F1BF8" w:rsidRDefault="000F1BF8" w:rsidP="000F1BF8">
      <w:pPr>
        <w:spacing w:line="480" w:lineRule="auto"/>
        <w:ind w:firstLine="720"/>
        <w:rPr>
          <w:rFonts w:ascii="Times New Roman" w:hAnsi="Times New Roman" w:cs="Times New Roman"/>
          <w:sz w:val="24"/>
          <w:szCs w:val="24"/>
        </w:rPr>
      </w:pPr>
      <w:r w:rsidRPr="000F1BF8">
        <w:rPr>
          <w:rFonts w:ascii="Times New Roman" w:hAnsi="Times New Roman" w:cs="Times New Roman"/>
          <w:b/>
          <w:bCs/>
          <w:i/>
          <w:iCs/>
          <w:sz w:val="24"/>
          <w:szCs w:val="24"/>
        </w:rPr>
        <w:t>Disease avoidance</w:t>
      </w:r>
    </w:p>
    <w:p w14:paraId="64F7DF28" w14:textId="01A05597" w:rsid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b/>
          <w:bCs/>
          <w:i/>
          <w:iCs/>
          <w:sz w:val="24"/>
          <w:szCs w:val="24"/>
        </w:rPr>
        <w:tab/>
      </w:r>
      <w:r w:rsidRPr="000F1BF8">
        <w:rPr>
          <w:rFonts w:ascii="Times New Roman" w:hAnsi="Times New Roman" w:cs="Times New Roman"/>
          <w:i/>
          <w:iCs/>
          <w:sz w:val="24"/>
          <w:szCs w:val="24"/>
        </w:rPr>
        <w:t>Individual difference constructs.</w:t>
      </w:r>
      <w:r w:rsidRPr="000F1BF8">
        <w:rPr>
          <w:rFonts w:ascii="Times New Roman" w:hAnsi="Times New Roman" w:cs="Times New Roman"/>
          <w:sz w:val="24"/>
          <w:szCs w:val="24"/>
        </w:rPr>
        <w:t xml:space="preserve"> Our replication produced comparable results to the original study where disease avoidance was positively correlated with perceived vulnerability to disease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.60; Neel = .64), belief in a dangerous world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.26; Neel = .29), and neuroticism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.32; Neel = .10/.11). However, the relationships with the other personality traits were not significant in our sample, with very modest associations with conscientiousness (</w:t>
      </w:r>
      <w:r w:rsidRPr="000F1BF8">
        <w:rPr>
          <w:rFonts w:ascii="Times New Roman" w:hAnsi="Times New Roman" w:cs="Times New Roman"/>
          <w:i/>
          <w:iCs/>
          <w:sz w:val="24"/>
          <w:szCs w:val="24"/>
        </w:rPr>
        <w:t xml:space="preserve">r = </w:t>
      </w:r>
      <w:r w:rsidRPr="000F1BF8">
        <w:rPr>
          <w:rFonts w:ascii="Times New Roman" w:hAnsi="Times New Roman" w:cs="Times New Roman"/>
          <w:sz w:val="24"/>
          <w:szCs w:val="24"/>
        </w:rPr>
        <w:t>0.09, p = .27; Neel = .10/.06), agreeableness (</w:t>
      </w:r>
      <w:r w:rsidRPr="000F1BF8">
        <w:rPr>
          <w:rFonts w:ascii="Times New Roman" w:hAnsi="Times New Roman" w:cs="Times New Roman"/>
          <w:i/>
          <w:iCs/>
          <w:sz w:val="24"/>
          <w:szCs w:val="24"/>
        </w:rPr>
        <w:t>r = -</w:t>
      </w:r>
      <w:r w:rsidRPr="000F1BF8">
        <w:rPr>
          <w:rFonts w:ascii="Times New Roman" w:hAnsi="Times New Roman" w:cs="Times New Roman"/>
          <w:sz w:val="24"/>
          <w:szCs w:val="24"/>
        </w:rPr>
        <w:t>0.06, p = .47; Neel = -.10/-.09), and extraversion (</w:t>
      </w:r>
      <w:r w:rsidRPr="000F1BF8">
        <w:rPr>
          <w:rFonts w:ascii="Times New Roman" w:hAnsi="Times New Roman" w:cs="Times New Roman"/>
          <w:i/>
          <w:iCs/>
          <w:sz w:val="24"/>
          <w:szCs w:val="24"/>
        </w:rPr>
        <w:t>r = -</w:t>
      </w:r>
      <w:r w:rsidRPr="000F1BF8">
        <w:rPr>
          <w:rFonts w:ascii="Times New Roman" w:hAnsi="Times New Roman" w:cs="Times New Roman"/>
          <w:sz w:val="24"/>
          <w:szCs w:val="24"/>
        </w:rPr>
        <w:t>0.01, p = .88; Neel = -.07/-.12). Additionally, disease avoidance was significantly correlated with long term mating orientation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=.30) and avoidant relationship attachment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=.26), which was not reported in the original sample.</w:t>
      </w:r>
    </w:p>
    <w:p w14:paraId="7F0041EA" w14:textId="7DC3EF5D" w:rsid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i/>
          <w:iCs/>
          <w:sz w:val="24"/>
          <w:szCs w:val="24"/>
        </w:rPr>
        <w:tab/>
        <w:t>Behaviors.</w:t>
      </w:r>
      <w:r w:rsidRPr="000F1BF8">
        <w:rPr>
          <w:rFonts w:ascii="Times New Roman" w:hAnsi="Times New Roman" w:cs="Times New Roman"/>
          <w:sz w:val="24"/>
          <w:szCs w:val="24"/>
        </w:rPr>
        <w:t xml:space="preserve"> Unsurprisingly, higher disease avoidance was associated with an increased likelihood of avoiding handshakes with people who appear sick (odds ratio = 1.66; Neel = 1.67), but it did not significantly predict the frequency of this behavior (β = .13, n = 71, p = 0.25; Neel β = .35) as reported in Neel et al. The decreased likelihood of having smoked in the past year was not replicated in our sample (odds ratio = 1.08, p = .57; Neel = 0.84).</w:t>
      </w:r>
    </w:p>
    <w:p w14:paraId="5F733BBD" w14:textId="77777777" w:rsidR="000F1BF8" w:rsidRP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b/>
          <w:bCs/>
          <w:i/>
          <w:iCs/>
          <w:sz w:val="24"/>
          <w:szCs w:val="24"/>
        </w:rPr>
        <w:lastRenderedPageBreak/>
        <w:tab/>
        <w:t>Affiliation (group)</w:t>
      </w:r>
    </w:p>
    <w:p w14:paraId="62C7BC51" w14:textId="1862EA2A" w:rsidR="000F1BF8" w:rsidRP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b/>
          <w:bCs/>
          <w:i/>
          <w:iCs/>
          <w:sz w:val="24"/>
          <w:szCs w:val="24"/>
        </w:rPr>
        <w:tab/>
      </w:r>
      <w:r w:rsidRPr="000F1BF8">
        <w:rPr>
          <w:rFonts w:ascii="Times New Roman" w:hAnsi="Times New Roman" w:cs="Times New Roman"/>
          <w:i/>
          <w:iCs/>
          <w:sz w:val="24"/>
          <w:szCs w:val="24"/>
        </w:rPr>
        <w:t>Individual difference constructs.</w:t>
      </w:r>
      <w:r w:rsidRPr="000F1BF8">
        <w:rPr>
          <w:rFonts w:ascii="Times New Roman" w:hAnsi="Times New Roman" w:cs="Times New Roman"/>
          <w:sz w:val="24"/>
          <w:szCs w:val="24"/>
        </w:rPr>
        <w:t xml:space="preserve"> </w:t>
      </w:r>
      <w:r w:rsidR="00A83356" w:rsidRPr="000F1BF8">
        <w:rPr>
          <w:rFonts w:ascii="Times New Roman" w:hAnsi="Times New Roman" w:cs="Times New Roman"/>
          <w:sz w:val="24"/>
          <w:szCs w:val="24"/>
        </w:rPr>
        <w:t>Overall,</w:t>
      </w:r>
      <w:r w:rsidRPr="000F1BF8">
        <w:rPr>
          <w:rFonts w:ascii="Times New Roman" w:hAnsi="Times New Roman" w:cs="Times New Roman"/>
          <w:sz w:val="24"/>
          <w:szCs w:val="24"/>
        </w:rPr>
        <w:t xml:space="preserve"> the relationships between affiliation (group) and personality traits were consistent with the original study. Affiliation (group) was positively correlated with extraversion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.43; Neel = .41/.45), agreeableness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.41; Neel = .45/.38), neuroticism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.20; Neel = .22/.32), conscientiousness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.32; Neel = .21), and openness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.29; Neel = .14/-.08). Furthermore, similar relationships were found with need to belong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.39; Neel = .37), prestige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.44; Neel = .26), and long-term mating orientation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.33; Neel = .14). However, neither correlation with avoidant relationship attachment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-0.23, p = .052; Neel = -.39) and anxious relationship attachment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-.01, p = .39; Neel = -.14) were significant in our sample. </w:t>
      </w:r>
    </w:p>
    <w:p w14:paraId="60C2B8B8" w14:textId="76307AEC" w:rsidR="000F1BF8" w:rsidRPr="000F1BF8" w:rsidRDefault="000F1BF8" w:rsidP="000F1BF8">
      <w:pPr>
        <w:spacing w:line="480" w:lineRule="auto"/>
        <w:ind w:firstLine="720"/>
        <w:rPr>
          <w:rFonts w:ascii="Times New Roman" w:hAnsi="Times New Roman" w:cs="Times New Roman"/>
          <w:sz w:val="24"/>
          <w:szCs w:val="24"/>
        </w:rPr>
      </w:pPr>
      <w:r w:rsidRPr="000F1BF8">
        <w:rPr>
          <w:rFonts w:ascii="Times New Roman" w:hAnsi="Times New Roman" w:cs="Times New Roman"/>
          <w:i/>
          <w:iCs/>
          <w:sz w:val="24"/>
          <w:szCs w:val="24"/>
        </w:rPr>
        <w:t>Behaviors.</w:t>
      </w:r>
      <w:r w:rsidRPr="000F1BF8">
        <w:rPr>
          <w:rFonts w:ascii="Times New Roman" w:hAnsi="Times New Roman" w:cs="Times New Roman"/>
          <w:sz w:val="24"/>
          <w:szCs w:val="24"/>
        </w:rPr>
        <w:t xml:space="preserve"> Compared with the analysis from Neel et al. people higher on the affiliation (group) motive were also more likely to report playing a team sport (odds ratio = 1.41; Neel = 1.60) and volunteering (odds ratio = 1.42; Neel = 1.53). Unlike the original study there was no significant increase in attending religious services (odds ratio = 1.05, p = .80; Neel = 1.31) or having smoked in the past year (odds ratio = 1.19, p = .21; Neel = 1.23). Higher affiliation (group) motive may indeed predict engagement in group-based behaviors, but the suggestion that smoking is a strategy to gain access to groups needs further support.</w:t>
      </w:r>
    </w:p>
    <w:p w14:paraId="1A502A67" w14:textId="77777777" w:rsidR="000F1BF8" w:rsidRP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b/>
          <w:bCs/>
          <w:i/>
          <w:iCs/>
          <w:sz w:val="24"/>
          <w:szCs w:val="24"/>
        </w:rPr>
        <w:tab/>
        <w:t>Affiliation (Exclusion Concern)</w:t>
      </w:r>
    </w:p>
    <w:p w14:paraId="0E6BF65C" w14:textId="2C8A15BA" w:rsidR="000F1BF8" w:rsidRDefault="000F1BF8" w:rsidP="000F1BF8">
      <w:pPr>
        <w:spacing w:line="480" w:lineRule="auto"/>
        <w:rPr>
          <w:rFonts w:ascii="Times New Roman" w:hAnsi="Times New Roman" w:cs="Times New Roman"/>
          <w:sz w:val="24"/>
          <w:szCs w:val="24"/>
        </w:rPr>
      </w:pPr>
      <w:r w:rsidRPr="000F1BF8">
        <w:rPr>
          <w:rFonts w:ascii="Times New Roman" w:hAnsi="Times New Roman" w:cs="Times New Roman"/>
          <w:b/>
          <w:bCs/>
          <w:i/>
          <w:iCs/>
          <w:sz w:val="24"/>
          <w:szCs w:val="24"/>
        </w:rPr>
        <w:tab/>
      </w:r>
      <w:r w:rsidRPr="000F1BF8">
        <w:rPr>
          <w:rFonts w:ascii="Times New Roman" w:hAnsi="Times New Roman" w:cs="Times New Roman"/>
          <w:i/>
          <w:iCs/>
          <w:sz w:val="24"/>
          <w:szCs w:val="24"/>
        </w:rPr>
        <w:t xml:space="preserve">Individual difference constructs. </w:t>
      </w:r>
      <w:r w:rsidRPr="000F1BF8">
        <w:rPr>
          <w:rFonts w:ascii="Times New Roman" w:hAnsi="Times New Roman" w:cs="Times New Roman"/>
          <w:sz w:val="24"/>
          <w:szCs w:val="24"/>
        </w:rPr>
        <w:t>In concordance with the original study affiliation (exclusion concern) was correlated with the personality facets of neuroticism (</w:t>
      </w:r>
      <w:r w:rsidRPr="000F1BF8">
        <w:rPr>
          <w:rFonts w:ascii="Times New Roman" w:hAnsi="Times New Roman" w:cs="Times New Roman"/>
          <w:i/>
          <w:iCs/>
          <w:sz w:val="24"/>
          <w:szCs w:val="24"/>
        </w:rPr>
        <w:t xml:space="preserve">r = </w:t>
      </w:r>
      <w:r w:rsidRPr="000F1BF8">
        <w:rPr>
          <w:rFonts w:ascii="Times New Roman" w:hAnsi="Times New Roman" w:cs="Times New Roman"/>
          <w:sz w:val="24"/>
          <w:szCs w:val="24"/>
        </w:rPr>
        <w:t>.44; Neel = .43/.56), conscientiousness (</w:t>
      </w:r>
      <w:r w:rsidRPr="000F1BF8">
        <w:rPr>
          <w:rFonts w:ascii="Times New Roman" w:hAnsi="Times New Roman" w:cs="Times New Roman"/>
          <w:i/>
          <w:iCs/>
          <w:sz w:val="24"/>
          <w:szCs w:val="24"/>
        </w:rPr>
        <w:t>r = -</w:t>
      </w:r>
      <w:r w:rsidRPr="000F1BF8">
        <w:rPr>
          <w:rFonts w:ascii="Times New Roman" w:hAnsi="Times New Roman" w:cs="Times New Roman"/>
          <w:sz w:val="24"/>
          <w:szCs w:val="24"/>
        </w:rPr>
        <w:t>.28; Neel = -.25/-.29), agreeableness (</w:t>
      </w:r>
      <w:r w:rsidRPr="000F1BF8">
        <w:rPr>
          <w:rFonts w:ascii="Times New Roman" w:hAnsi="Times New Roman" w:cs="Times New Roman"/>
          <w:i/>
          <w:iCs/>
          <w:sz w:val="24"/>
          <w:szCs w:val="24"/>
        </w:rPr>
        <w:t>r = -</w:t>
      </w:r>
      <w:r w:rsidRPr="000F1BF8">
        <w:rPr>
          <w:rFonts w:ascii="Times New Roman" w:hAnsi="Times New Roman" w:cs="Times New Roman"/>
          <w:sz w:val="24"/>
          <w:szCs w:val="24"/>
        </w:rPr>
        <w:t>.22; Neel = -.14/-.06), and extraversion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-.13; Neel = -.14/-20) although this last relationship was not </w:t>
      </w:r>
      <w:r w:rsidRPr="000F1BF8">
        <w:rPr>
          <w:rFonts w:ascii="Times New Roman" w:hAnsi="Times New Roman" w:cs="Times New Roman"/>
          <w:sz w:val="24"/>
          <w:szCs w:val="24"/>
        </w:rPr>
        <w:lastRenderedPageBreak/>
        <w:t>statistically significant (p = 0.12). Similarly, affiliation (exclusion concern) was also correlated with need to belong (</w:t>
      </w:r>
      <w:r w:rsidRPr="000F1BF8">
        <w:rPr>
          <w:rFonts w:ascii="Times New Roman" w:hAnsi="Times New Roman" w:cs="Times New Roman"/>
          <w:i/>
          <w:iCs/>
          <w:sz w:val="24"/>
          <w:szCs w:val="24"/>
        </w:rPr>
        <w:t xml:space="preserve">r = </w:t>
      </w:r>
      <w:r w:rsidRPr="000F1BF8">
        <w:rPr>
          <w:rFonts w:ascii="Times New Roman" w:hAnsi="Times New Roman" w:cs="Times New Roman"/>
          <w:sz w:val="24"/>
          <w:szCs w:val="24"/>
        </w:rPr>
        <w:t>.82; Neel = .75), anxious relationship attachment (</w:t>
      </w:r>
      <w:r w:rsidRPr="000F1BF8">
        <w:rPr>
          <w:rFonts w:ascii="Times New Roman" w:hAnsi="Times New Roman" w:cs="Times New Roman"/>
          <w:i/>
          <w:iCs/>
          <w:sz w:val="24"/>
          <w:szCs w:val="24"/>
        </w:rPr>
        <w:t xml:space="preserve">r = </w:t>
      </w:r>
      <w:r w:rsidRPr="000F1BF8">
        <w:rPr>
          <w:rFonts w:ascii="Times New Roman" w:hAnsi="Times New Roman" w:cs="Times New Roman"/>
          <w:sz w:val="24"/>
          <w:szCs w:val="24"/>
        </w:rPr>
        <w:t>.68; Neel = .45), and dominance (</w:t>
      </w:r>
      <w:r w:rsidRPr="000F1BF8">
        <w:rPr>
          <w:rFonts w:ascii="Times New Roman" w:hAnsi="Times New Roman" w:cs="Times New Roman"/>
          <w:i/>
          <w:iCs/>
          <w:sz w:val="24"/>
          <w:szCs w:val="24"/>
        </w:rPr>
        <w:t xml:space="preserve">r = </w:t>
      </w:r>
      <w:r w:rsidRPr="000F1BF8">
        <w:rPr>
          <w:rFonts w:ascii="Times New Roman" w:hAnsi="Times New Roman" w:cs="Times New Roman"/>
          <w:sz w:val="24"/>
          <w:szCs w:val="24"/>
        </w:rPr>
        <w:t>.30; Neel = .24). However, the relationship with prestige (</w:t>
      </w:r>
      <w:r w:rsidRPr="000F1BF8">
        <w:rPr>
          <w:rFonts w:ascii="Times New Roman" w:hAnsi="Times New Roman" w:cs="Times New Roman"/>
          <w:i/>
          <w:iCs/>
          <w:sz w:val="24"/>
          <w:szCs w:val="24"/>
        </w:rPr>
        <w:t>r</w:t>
      </w:r>
      <w:r w:rsidRPr="000F1BF8">
        <w:rPr>
          <w:rFonts w:ascii="Times New Roman" w:hAnsi="Times New Roman" w:cs="Times New Roman"/>
          <w:sz w:val="24"/>
          <w:szCs w:val="24"/>
        </w:rPr>
        <w:t xml:space="preserve"> = -0.19; Neel = -.17) was not significant in our sample (p = .10).</w:t>
      </w:r>
    </w:p>
    <w:p w14:paraId="1B776070" w14:textId="4870565D" w:rsidR="000F1BF8" w:rsidRDefault="000F1BF8" w:rsidP="000F1BF8">
      <w:pPr>
        <w:spacing w:line="480" w:lineRule="auto"/>
        <w:rPr>
          <w:rFonts w:ascii="Times New Roman" w:hAnsi="Times New Roman" w:cs="Times New Roman"/>
          <w:sz w:val="24"/>
          <w:szCs w:val="24"/>
        </w:rPr>
      </w:pPr>
      <w:r>
        <w:rPr>
          <w:rFonts w:ascii="Times New Roman" w:hAnsi="Times New Roman" w:cs="Times New Roman"/>
          <w:sz w:val="24"/>
          <w:szCs w:val="24"/>
        </w:rPr>
        <w:tab/>
      </w:r>
      <w:r w:rsidRPr="000F1BF8">
        <w:rPr>
          <w:rFonts w:ascii="Times New Roman" w:hAnsi="Times New Roman" w:cs="Times New Roman"/>
          <w:i/>
          <w:iCs/>
          <w:sz w:val="24"/>
          <w:szCs w:val="24"/>
        </w:rPr>
        <w:t>Behaviors.</w:t>
      </w:r>
      <w:r w:rsidRPr="000F1BF8">
        <w:rPr>
          <w:rFonts w:ascii="Times New Roman" w:hAnsi="Times New Roman" w:cs="Times New Roman"/>
          <w:sz w:val="24"/>
          <w:szCs w:val="24"/>
        </w:rPr>
        <w:t xml:space="preserve"> The relationship between social media use and affiliation (exclusion concern) was not replicated. In fact, while not statistically significant (p = 0.11) people higher on affiliation (exclusion concern) motive </w:t>
      </w:r>
      <w:proofErr w:type="gramStart"/>
      <w:r w:rsidRPr="000F1BF8">
        <w:rPr>
          <w:rFonts w:ascii="Times New Roman" w:hAnsi="Times New Roman" w:cs="Times New Roman"/>
          <w:sz w:val="24"/>
          <w:szCs w:val="24"/>
        </w:rPr>
        <w:t>were</w:t>
      </w:r>
      <w:proofErr w:type="gramEnd"/>
      <w:r w:rsidRPr="000F1BF8">
        <w:rPr>
          <w:rFonts w:ascii="Times New Roman" w:hAnsi="Times New Roman" w:cs="Times New Roman"/>
          <w:sz w:val="24"/>
          <w:szCs w:val="24"/>
        </w:rPr>
        <w:t xml:space="preserve"> less likely to have used </w:t>
      </w:r>
      <w:proofErr w:type="spellStart"/>
      <w:r w:rsidRPr="000F1BF8">
        <w:rPr>
          <w:rFonts w:ascii="Times New Roman" w:hAnsi="Times New Roman" w:cs="Times New Roman"/>
          <w:sz w:val="24"/>
          <w:szCs w:val="24"/>
        </w:rPr>
        <w:t>facebook</w:t>
      </w:r>
      <w:proofErr w:type="spellEnd"/>
      <w:r w:rsidRPr="000F1BF8">
        <w:rPr>
          <w:rFonts w:ascii="Times New Roman" w:hAnsi="Times New Roman" w:cs="Times New Roman"/>
          <w:sz w:val="24"/>
          <w:szCs w:val="24"/>
        </w:rPr>
        <w:t xml:space="preserve"> (odds ratio = 0.63, p = .11; Neel = 1.26). Also, no significant relationship with twitter use (odds ratio = 0.96, p = .86; Neel = 1.24) was found either. Nor did the affiliation (exclusion concern) predict frequency of social media use (β = -0.15, n = 132, p = .08; Neel β = .24). This does not support the conclusion that affiliation (exclusion concern) motive is in any way associated with social media use.</w:t>
      </w:r>
    </w:p>
    <w:p w14:paraId="22723F8C"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t>Affiliation (Independence)</w:t>
      </w:r>
    </w:p>
    <w:p w14:paraId="18AE06CD" w14:textId="6272CA39" w:rsidR="000F1BF8"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r>
      <w:r w:rsidRPr="00204690">
        <w:rPr>
          <w:rFonts w:ascii="Times New Roman" w:hAnsi="Times New Roman" w:cs="Times New Roman"/>
          <w:i/>
          <w:iCs/>
          <w:sz w:val="24"/>
          <w:szCs w:val="24"/>
        </w:rPr>
        <w:t xml:space="preserve">Individual difference constructs. </w:t>
      </w:r>
      <w:r w:rsidRPr="00204690">
        <w:rPr>
          <w:rFonts w:ascii="Times New Roman" w:hAnsi="Times New Roman" w:cs="Times New Roman"/>
          <w:sz w:val="24"/>
          <w:szCs w:val="24"/>
        </w:rPr>
        <w:t>Similar relationships were found between affiliation (independence) and personality. Affiliation (independence) was correlated with extraversion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-0.30; Neel = - .36/-.27) and agreeableness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 Neel = -.22). The relationship with need to belong was also confirmed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-0.55; Neel = -.46) and a similar but not significant correlation with prestige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-0.19 p = .13; Neel = -.15). Whereas we found no association between affiliation (independence) and avoidant attachment (r = 0.09 p = </w:t>
      </w:r>
      <w:proofErr w:type="gramStart"/>
      <w:r w:rsidRPr="00204690">
        <w:rPr>
          <w:rFonts w:ascii="Times New Roman" w:hAnsi="Times New Roman" w:cs="Times New Roman"/>
          <w:sz w:val="24"/>
          <w:szCs w:val="24"/>
        </w:rPr>
        <w:t>.43;</w:t>
      </w:r>
      <w:proofErr w:type="gramEnd"/>
      <w:r w:rsidRPr="00204690">
        <w:rPr>
          <w:rFonts w:ascii="Times New Roman" w:hAnsi="Times New Roman" w:cs="Times New Roman"/>
          <w:sz w:val="24"/>
          <w:szCs w:val="24"/>
        </w:rPr>
        <w:t xml:space="preserve"> Neel = .24).</w:t>
      </w:r>
    </w:p>
    <w:p w14:paraId="507A6E24"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t>Status</w:t>
      </w:r>
    </w:p>
    <w:p w14:paraId="03E03825" w14:textId="426854E9" w:rsid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r>
      <w:r w:rsidRPr="00204690">
        <w:rPr>
          <w:rFonts w:ascii="Times New Roman" w:hAnsi="Times New Roman" w:cs="Times New Roman"/>
          <w:i/>
          <w:iCs/>
          <w:sz w:val="24"/>
          <w:szCs w:val="24"/>
        </w:rPr>
        <w:t>Individual difference constructs.</w:t>
      </w:r>
      <w:r w:rsidRPr="00204690">
        <w:rPr>
          <w:rFonts w:ascii="Times New Roman" w:hAnsi="Times New Roman" w:cs="Times New Roman"/>
          <w:sz w:val="24"/>
          <w:szCs w:val="24"/>
        </w:rPr>
        <w:t xml:space="preserve"> Results showed comparable relationships with the status </w:t>
      </w:r>
      <w:proofErr w:type="spellStart"/>
      <w:r w:rsidRPr="00204690">
        <w:rPr>
          <w:rFonts w:ascii="Times New Roman" w:hAnsi="Times New Roman" w:cs="Times New Roman"/>
          <w:sz w:val="24"/>
          <w:szCs w:val="24"/>
        </w:rPr>
        <w:t>status</w:t>
      </w:r>
      <w:proofErr w:type="spellEnd"/>
      <w:r w:rsidRPr="00204690">
        <w:rPr>
          <w:rFonts w:ascii="Times New Roman" w:hAnsi="Times New Roman" w:cs="Times New Roman"/>
          <w:sz w:val="24"/>
          <w:szCs w:val="24"/>
        </w:rPr>
        <w:t xml:space="preserve"> motive and </w:t>
      </w:r>
      <w:proofErr w:type="gramStart"/>
      <w:r w:rsidRPr="00204690">
        <w:rPr>
          <w:rFonts w:ascii="Times New Roman" w:hAnsi="Times New Roman" w:cs="Times New Roman"/>
          <w:sz w:val="24"/>
          <w:szCs w:val="24"/>
        </w:rPr>
        <w:t>all of</w:t>
      </w:r>
      <w:proofErr w:type="gramEnd"/>
      <w:r w:rsidRPr="00204690">
        <w:rPr>
          <w:rFonts w:ascii="Times New Roman" w:hAnsi="Times New Roman" w:cs="Times New Roman"/>
          <w:sz w:val="24"/>
          <w:szCs w:val="24"/>
        </w:rPr>
        <w:t xml:space="preserve"> the individual difference constructs that were reported in Neel et al. </w:t>
      </w:r>
      <w:r w:rsidRPr="00204690">
        <w:rPr>
          <w:rFonts w:ascii="Times New Roman" w:hAnsi="Times New Roman" w:cs="Times New Roman"/>
          <w:sz w:val="24"/>
          <w:szCs w:val="24"/>
        </w:rPr>
        <w:lastRenderedPageBreak/>
        <w:t>Those with higher levels of the status motive also showed higher measures of extraversion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0.36; Neel = .26/.30), dominance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0.63; Neel = .52), prestige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0.54; Neel = .33), and need to belong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0.32; Neel = .47). Overall confirming the conclusions drawn in the original study.</w:t>
      </w:r>
    </w:p>
    <w:p w14:paraId="378E3C6C" w14:textId="0643B699" w:rsid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i/>
          <w:iCs/>
          <w:sz w:val="24"/>
          <w:szCs w:val="24"/>
        </w:rPr>
        <w:tab/>
        <w:t>Behaviors.</w:t>
      </w:r>
      <w:r w:rsidRPr="00204690">
        <w:rPr>
          <w:rFonts w:ascii="Times New Roman" w:hAnsi="Times New Roman" w:cs="Times New Roman"/>
          <w:sz w:val="24"/>
          <w:szCs w:val="24"/>
        </w:rPr>
        <w:t xml:space="preserve"> Confirming the results from Neel et al. people with higher levels of the status motive were more likely to have a job where others worked for them (odds ratio = 1.51; Neel = 1.49) and received a promotion in the last year (odds ratio = 1.52; Neel = 1.34). Confirming the idea that the status motive may reflect ambition and behaviors exhibiting success in the workplace. However, unlike the original study, the status motive did not predict the likelihood of having played music, sang, or performed for others (odds ratio = 1.10, p =.51; Neel = 1.65). Also as noted by Neel it did not predict having made a piece of art (odds ratio = 1.19, p = .36; Neel = 1.08). As such, the idea that people motivated by status are driven to performative art forms requires further evidence.</w:t>
      </w:r>
    </w:p>
    <w:p w14:paraId="08B9A231"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t>Mate seeking</w:t>
      </w:r>
    </w:p>
    <w:p w14:paraId="6EC0B038" w14:textId="0D2BACBD" w:rsid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r>
      <w:r w:rsidRPr="00204690">
        <w:rPr>
          <w:rFonts w:ascii="Times New Roman" w:hAnsi="Times New Roman" w:cs="Times New Roman"/>
          <w:i/>
          <w:iCs/>
          <w:sz w:val="24"/>
          <w:szCs w:val="24"/>
        </w:rPr>
        <w:t>Individual difference constructs.</w:t>
      </w:r>
      <w:r w:rsidRPr="00204690">
        <w:rPr>
          <w:rFonts w:ascii="Times New Roman" w:hAnsi="Times New Roman" w:cs="Times New Roman"/>
          <w:sz w:val="24"/>
          <w:szCs w:val="24"/>
        </w:rPr>
        <w:t xml:space="preserve"> Baking up the results from Neel et al. analysis from this replication demonstrated that the mate seeking motive positively correlated with short-term mating orientation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0.48; Neel = .44) and negatively correlated with long-term mating orientation</w:t>
      </w:r>
      <w:r w:rsidRPr="00204690">
        <w:rPr>
          <w:rFonts w:ascii="Times New Roman" w:hAnsi="Times New Roman" w:cs="Times New Roman"/>
          <w:i/>
          <w:iCs/>
          <w:sz w:val="24"/>
          <w:szCs w:val="24"/>
        </w:rPr>
        <w:t xml:space="preserve"> </w:t>
      </w:r>
      <w:r w:rsidRPr="00204690">
        <w:rPr>
          <w:rFonts w:ascii="Times New Roman" w:hAnsi="Times New Roman" w:cs="Times New Roman"/>
          <w:sz w:val="24"/>
          <w:szCs w:val="24"/>
        </w:rPr>
        <w:t>(</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-0.24; Neel = -.25). The same distribution across relationship status was also observed for the associations between the mate seeking motive and mating orientations. Higher long-term mating orientation was positively correlated with mate seeking motive for those who were single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.59; Neel = .43) and negatively correlated for people in a committed relationship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-.66; Neel = -.57). Furthermore, the correlation between short-term mating orientation and mate seeking stayed consistent between people in a relationship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0.45; Neel = .47) and those who were single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 xml:space="preserve">.42; Neel = .44). Like the original study, higher mate seeking corresponded </w:t>
      </w:r>
      <w:r w:rsidRPr="00204690">
        <w:rPr>
          <w:rFonts w:ascii="Times New Roman" w:hAnsi="Times New Roman" w:cs="Times New Roman"/>
          <w:sz w:val="24"/>
          <w:szCs w:val="24"/>
        </w:rPr>
        <w:lastRenderedPageBreak/>
        <w:t>with higher anxious relationship attachment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0.28; Neel = .41) and avoidant relationship attachment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0.16; Neel = .31), although this last correlation was not statistically significant (p = .17).</w:t>
      </w:r>
    </w:p>
    <w:p w14:paraId="64B3308B" w14:textId="2D733035"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i/>
          <w:iCs/>
          <w:sz w:val="24"/>
          <w:szCs w:val="24"/>
        </w:rPr>
        <w:tab/>
        <w:t>Behaviors.</w:t>
      </w:r>
      <w:r w:rsidRPr="00204690">
        <w:rPr>
          <w:rFonts w:ascii="Times New Roman" w:hAnsi="Times New Roman" w:cs="Times New Roman"/>
          <w:sz w:val="24"/>
          <w:szCs w:val="24"/>
        </w:rPr>
        <w:t xml:space="preserve"> The same behaviors predicted by mate seeking in the original study were not statistically significant or replicated in our sample. Although this could possibly be due to COVID-19 restrictions, our data were collected in March of 2020 and should represent events occurring throughout one's life or the frequency behaviors from the past year much of which was before any restriction measures were in place. </w:t>
      </w:r>
      <w:proofErr w:type="gramStart"/>
      <w:r w:rsidRPr="00204690">
        <w:rPr>
          <w:rFonts w:ascii="Times New Roman" w:hAnsi="Times New Roman" w:cs="Times New Roman"/>
          <w:sz w:val="24"/>
          <w:szCs w:val="24"/>
        </w:rPr>
        <w:t>That being said, there</w:t>
      </w:r>
      <w:proofErr w:type="gramEnd"/>
      <w:r w:rsidRPr="00204690">
        <w:rPr>
          <w:rFonts w:ascii="Times New Roman" w:hAnsi="Times New Roman" w:cs="Times New Roman"/>
          <w:sz w:val="24"/>
          <w:szCs w:val="24"/>
        </w:rPr>
        <w:t xml:space="preserve"> was a significant decrease in the mate seeking motive (β = -.1</w:t>
      </w:r>
      <w:r>
        <w:rPr>
          <w:rFonts w:ascii="Times New Roman" w:hAnsi="Times New Roman" w:cs="Times New Roman"/>
          <w:sz w:val="24"/>
          <w:szCs w:val="24"/>
        </w:rPr>
        <w:t>0</w:t>
      </w:r>
      <w:r w:rsidRPr="00204690">
        <w:rPr>
          <w:rFonts w:ascii="Times New Roman" w:hAnsi="Times New Roman" w:cs="Times New Roman"/>
          <w:sz w:val="24"/>
          <w:szCs w:val="24"/>
        </w:rPr>
        <w:t xml:space="preserve">) compared to the original study after accounting for demographics. This could possibly be affecting the results seen in this sample. Contrary to Neel et al., people with greater mate seeking motive were significantly less likely to have chosen to end a relationship (odds ratio = .69, p = .017; Neel = 1.60). Additionally, there was no significant increase in likelihood to have been broken up with (odds ratio = 1.13, p = .43; Neel = 1.54), asked someone out on a date (odds ratio = 1.05, p = .73; Neel = 1.59), or been asked out on a date (odds ratio = 1.02, p = .93; Neel = 1.59). There was also no evidence showing that a higher mate seeking motive increased the likelihood of having gone out dancing (odds ratio = 1.02, p = .89; Neel = 1.35). Also, it did not predict the frequency of going out dancing (β = -.31, n = 18, p = 0.21; Neel β = .28) or going to a concert (β = .07, n = 42, p = 0.65; Neel β = .19) in the past year. While not statistically significant, those who were higher in mate seeking were more likely to have had sex with a condom in the past year (odds ratio = 1.26, p = .25; Neel = 1.25). Contrary to the original study, greater mate seeking motive decreased the likelihood of having gotten a promotion (odds ratio = .88, p = .34; Neel = 1.25) and having started a new job (odds ratio = .74, p = .40; Neel = 1.15). Furthermore, it also decreased the likelihood of having had a </w:t>
      </w:r>
      <w:r w:rsidRPr="00204690">
        <w:rPr>
          <w:rFonts w:ascii="Times New Roman" w:hAnsi="Times New Roman" w:cs="Times New Roman"/>
          <w:sz w:val="24"/>
          <w:szCs w:val="24"/>
        </w:rPr>
        <w:lastRenderedPageBreak/>
        <w:t>falling out with a friend (odds ratio = .89, p = .50; Neel = 1.32) and having moved within a city (odds ratio = .82, p = .23; Neel = 1.23), even when controlling for age. However, higher mate seeking did predict a higher frequency of going a day without eating (β = .08, n = 43, p = 0.61; Neel β = .20), although this was not statistically significant.</w:t>
      </w:r>
    </w:p>
    <w:p w14:paraId="10180566"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t>Mate retention (General)</w:t>
      </w:r>
    </w:p>
    <w:p w14:paraId="68C4CB90" w14:textId="43D0B0AD" w:rsid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r>
      <w:r w:rsidRPr="00204690">
        <w:rPr>
          <w:rFonts w:ascii="Times New Roman" w:hAnsi="Times New Roman" w:cs="Times New Roman"/>
          <w:i/>
          <w:iCs/>
          <w:sz w:val="24"/>
          <w:szCs w:val="24"/>
        </w:rPr>
        <w:t>Individual difference constructs.</w:t>
      </w:r>
      <w:r w:rsidRPr="00204690">
        <w:rPr>
          <w:rFonts w:ascii="Times New Roman" w:hAnsi="Times New Roman" w:cs="Times New Roman"/>
          <w:sz w:val="24"/>
          <w:szCs w:val="24"/>
        </w:rPr>
        <w:t xml:space="preserve"> For the most part our results corroborated the correlations between mate retention (general) and measures of individual differences reported in Neel et al. In general, those higher on mate retention (general) scored lower on measures of short-term mating orientation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-0.48; Neel = -.30), avoidant relationship attachment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-0.69; Neel = -.45), and anxious relationship attachment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-.40), which was not reported in the initial study. Mate retention (general) was positively correlated with long-term mating orientation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0.68; Neel = .60), agreeableness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0.34; Neel = .29/.48), prestige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0.34; Neel = .28), and conscientiousness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0.40; Neel = .29/.49). However, no relationship was found between mate retention (general) and dominance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.06, p = .63; Neel = -.26).</w:t>
      </w:r>
    </w:p>
    <w:p w14:paraId="0CC615B5"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i/>
          <w:iCs/>
          <w:sz w:val="24"/>
          <w:szCs w:val="24"/>
        </w:rPr>
        <w:tab/>
        <w:t>Behaviors.</w:t>
      </w:r>
      <w:r w:rsidRPr="00204690">
        <w:rPr>
          <w:rFonts w:ascii="Times New Roman" w:hAnsi="Times New Roman" w:cs="Times New Roman"/>
          <w:sz w:val="24"/>
          <w:szCs w:val="24"/>
        </w:rPr>
        <w:t xml:space="preserve"> While those higher in mate retention general were more likely to have bought their partner a holiday or birthday gift (odds ratio = 2.78, p = 0.07; Neel = 2.04), they were less likely to have bought their partner a non-holiday gift (odds ratio = .39, p = .62; Neel = 1.71). Neither of these two relationships were statistically significant. However, our analysis exhibited a similar and significant decrease in the likelihood of being unfaithful to a romantic or sexual partner in the past year (odds ratio = 0.47; Neel = .30) for those higher on mate retention (general). While mate retention (general) might not be as strongly related to gift giving as presented, the evidence supports the conclusion that this motive is associated with staying </w:t>
      </w:r>
      <w:r w:rsidRPr="00204690">
        <w:rPr>
          <w:rFonts w:ascii="Times New Roman" w:hAnsi="Times New Roman" w:cs="Times New Roman"/>
          <w:sz w:val="24"/>
          <w:szCs w:val="24"/>
        </w:rPr>
        <w:lastRenderedPageBreak/>
        <w:t>faithful in a relationship. A possible limitation of this replication is that the data set is reduced to the subset of participants who were in a relationship (n = 91). </w:t>
      </w:r>
    </w:p>
    <w:p w14:paraId="01E58967"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t>Mate retention (breakup concern)</w:t>
      </w:r>
    </w:p>
    <w:p w14:paraId="3816B650" w14:textId="3DC1FFA7" w:rsid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r>
      <w:r w:rsidRPr="00204690">
        <w:rPr>
          <w:rFonts w:ascii="Times New Roman" w:hAnsi="Times New Roman" w:cs="Times New Roman"/>
          <w:i/>
          <w:iCs/>
          <w:sz w:val="24"/>
          <w:szCs w:val="24"/>
        </w:rPr>
        <w:t xml:space="preserve">Individual difference constructs. </w:t>
      </w:r>
      <w:r w:rsidRPr="00204690">
        <w:rPr>
          <w:rFonts w:ascii="Times New Roman" w:hAnsi="Times New Roman" w:cs="Times New Roman"/>
          <w:sz w:val="24"/>
          <w:szCs w:val="24"/>
        </w:rPr>
        <w:t>Overall, many of the same relationships exhibited in Neel et al. were evident in our sample as well. Mate retention (breakup concern) was positively correlated with anxious relationship attachment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.90; Neel = .84), neuroticism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.47; Neel = .37/.55), avoidant relationship attachment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.66; Neel = .30), and need to belong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0.37; Neel = .27). While not significant, there were modest associations with dominance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0.12, p = .40; Neel = .33) and short-term mating orientation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0.12, p = .42; Neel = .27). In concordance with the original study higher mate retention (breakup concern) was correlated with lower levels of agreeableness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-0.32; Neel = -.25/-.31), prestige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-0.44; Neel = -.31), and conscientiousness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-0.37; Neel = - .31/-.45). However, contradictory to the results in Neel et al. mate retention (breakup concern) was positively correlated with long-term mating orientation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0.34; Neel = -.29). Altogether this supports the idea that someone high in mate retention (breakup concern) is less likely to be agreeable and more anxious in their relationships but does not corroborate the conclusion that they prefer short-term relationships over long-term commitments.</w:t>
      </w:r>
    </w:p>
    <w:p w14:paraId="5679720C" w14:textId="3ADA41CD" w:rsid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i/>
          <w:iCs/>
          <w:sz w:val="24"/>
          <w:szCs w:val="24"/>
        </w:rPr>
        <w:tab/>
        <w:t xml:space="preserve">Behaviors. </w:t>
      </w:r>
      <w:r w:rsidRPr="00204690">
        <w:rPr>
          <w:rFonts w:ascii="Times New Roman" w:hAnsi="Times New Roman" w:cs="Times New Roman"/>
          <w:sz w:val="24"/>
          <w:szCs w:val="24"/>
        </w:rPr>
        <w:t xml:space="preserve">Even though the association was not statistically significant, greater levels of mate retention (breakup concern) showed a similar increase in likelihood of visiting a relationship counselor in the past year (odds </w:t>
      </w:r>
      <w:proofErr w:type="gramStart"/>
      <w:r w:rsidRPr="00204690">
        <w:rPr>
          <w:rFonts w:ascii="Times New Roman" w:hAnsi="Times New Roman" w:cs="Times New Roman"/>
          <w:sz w:val="24"/>
          <w:szCs w:val="24"/>
        </w:rPr>
        <w:t>ratio  =</w:t>
      </w:r>
      <w:proofErr w:type="gramEnd"/>
      <w:r w:rsidRPr="00204690">
        <w:rPr>
          <w:rFonts w:ascii="Times New Roman" w:hAnsi="Times New Roman" w:cs="Times New Roman"/>
          <w:sz w:val="24"/>
          <w:szCs w:val="24"/>
        </w:rPr>
        <w:t xml:space="preserve"> 1.24, p = 0.29; Neel = 1.46). However, unlike the original study there was no relationship between mate retention (breakup concern) and being unfaithful to a romantic or sexual partner in the past year (odds ratio = .95, p = 0.78; Neel </w:t>
      </w:r>
      <w:r w:rsidRPr="00204690">
        <w:rPr>
          <w:rFonts w:ascii="Times New Roman" w:hAnsi="Times New Roman" w:cs="Times New Roman"/>
          <w:sz w:val="24"/>
          <w:szCs w:val="24"/>
        </w:rPr>
        <w:lastRenderedPageBreak/>
        <w:t>= 1.77). Once again, this motive only was only measured for participants in a relationship reducing the sample size (n = 91).</w:t>
      </w:r>
    </w:p>
    <w:p w14:paraId="043AD236"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t>Kin care (family)</w:t>
      </w:r>
    </w:p>
    <w:p w14:paraId="5F9F1CBC"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r>
      <w:r w:rsidRPr="00204690">
        <w:rPr>
          <w:rFonts w:ascii="Times New Roman" w:hAnsi="Times New Roman" w:cs="Times New Roman"/>
          <w:i/>
          <w:iCs/>
          <w:sz w:val="24"/>
          <w:szCs w:val="24"/>
        </w:rPr>
        <w:t>Individual difference constructs.</w:t>
      </w:r>
      <w:r w:rsidRPr="00204690">
        <w:rPr>
          <w:rFonts w:ascii="Times New Roman" w:hAnsi="Times New Roman" w:cs="Times New Roman"/>
          <w:sz w:val="24"/>
          <w:szCs w:val="24"/>
        </w:rPr>
        <w:t xml:space="preserve"> Kin care (family) is positively correlated with agreeableness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.39; Neel =.42/.45), conscientiousness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.36; Neel = .29/.46), prestige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.31; Neel = .24), long-term mating orientation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.45; Neel = .26), and extraversion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.24; Neel = .21/.25). This motive was also negatively related to short-term mating orientation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-.26; Neel = -.21), avoidant relationship attachment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-.33; Neel = -.28), and anxious relationship attachment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-.21; Neel = -.18) although this relationship is not quite significant (</w:t>
      </w:r>
      <w:r w:rsidRPr="00204690">
        <w:rPr>
          <w:rFonts w:ascii="Times New Roman" w:hAnsi="Times New Roman" w:cs="Times New Roman"/>
          <w:i/>
          <w:iCs/>
          <w:sz w:val="24"/>
          <w:szCs w:val="24"/>
        </w:rPr>
        <w:t xml:space="preserve">p </w:t>
      </w:r>
      <w:r w:rsidRPr="00204690">
        <w:rPr>
          <w:rFonts w:ascii="Times New Roman" w:hAnsi="Times New Roman" w:cs="Times New Roman"/>
          <w:sz w:val="24"/>
          <w:szCs w:val="24"/>
        </w:rPr>
        <w:t>=.062). Most of these relationships are similar to the results presented in the Neel et al. study, however we did not find the same significant relationships with need to belong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xml:space="preserve">= -.05, </w:t>
      </w:r>
      <w:r w:rsidRPr="00204690">
        <w:rPr>
          <w:rFonts w:ascii="Times New Roman" w:hAnsi="Times New Roman" w:cs="Times New Roman"/>
          <w:i/>
          <w:iCs/>
          <w:sz w:val="24"/>
          <w:szCs w:val="24"/>
        </w:rPr>
        <w:t>p</w:t>
      </w:r>
      <w:r w:rsidRPr="00204690">
        <w:rPr>
          <w:rFonts w:ascii="Times New Roman" w:hAnsi="Times New Roman" w:cs="Times New Roman"/>
          <w:sz w:val="24"/>
          <w:szCs w:val="24"/>
        </w:rPr>
        <w:t xml:space="preserve"> = .67; Neel = .21), and dominance (</w:t>
      </w:r>
      <w:r w:rsidRPr="00204690">
        <w:rPr>
          <w:rFonts w:ascii="Times New Roman" w:hAnsi="Times New Roman" w:cs="Times New Roman"/>
          <w:i/>
          <w:iCs/>
          <w:sz w:val="24"/>
          <w:szCs w:val="24"/>
        </w:rPr>
        <w:t xml:space="preserve">r </w:t>
      </w:r>
      <w:r w:rsidRPr="00204690">
        <w:rPr>
          <w:rFonts w:ascii="Times New Roman" w:hAnsi="Times New Roman" w:cs="Times New Roman"/>
          <w:sz w:val="24"/>
          <w:szCs w:val="24"/>
        </w:rPr>
        <w:t xml:space="preserve">= .05, </w:t>
      </w:r>
      <w:r w:rsidRPr="00204690">
        <w:rPr>
          <w:rFonts w:ascii="Times New Roman" w:hAnsi="Times New Roman" w:cs="Times New Roman"/>
          <w:i/>
          <w:iCs/>
          <w:sz w:val="24"/>
          <w:szCs w:val="24"/>
        </w:rPr>
        <w:t>p</w:t>
      </w:r>
      <w:r w:rsidRPr="00204690">
        <w:rPr>
          <w:rFonts w:ascii="Times New Roman" w:hAnsi="Times New Roman" w:cs="Times New Roman"/>
          <w:sz w:val="24"/>
          <w:szCs w:val="24"/>
        </w:rPr>
        <w:t xml:space="preserve"> = .68; Neel = -.25).</w:t>
      </w:r>
    </w:p>
    <w:p w14:paraId="621B214C" w14:textId="684043C2" w:rsid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i/>
          <w:iCs/>
          <w:sz w:val="24"/>
          <w:szCs w:val="24"/>
        </w:rPr>
        <w:tab/>
        <w:t>Behaviors.</w:t>
      </w:r>
      <w:r w:rsidRPr="00204690">
        <w:rPr>
          <w:rFonts w:ascii="Times New Roman" w:hAnsi="Times New Roman" w:cs="Times New Roman"/>
          <w:sz w:val="24"/>
          <w:szCs w:val="24"/>
        </w:rPr>
        <w:t xml:space="preserve"> </w:t>
      </w:r>
      <w:proofErr w:type="gramStart"/>
      <w:r w:rsidRPr="00204690">
        <w:rPr>
          <w:rFonts w:ascii="Times New Roman" w:hAnsi="Times New Roman" w:cs="Times New Roman"/>
          <w:sz w:val="24"/>
          <w:szCs w:val="24"/>
        </w:rPr>
        <w:t>The large majority of</w:t>
      </w:r>
      <w:proofErr w:type="gramEnd"/>
      <w:r w:rsidRPr="00204690">
        <w:rPr>
          <w:rFonts w:ascii="Times New Roman" w:hAnsi="Times New Roman" w:cs="Times New Roman"/>
          <w:sz w:val="24"/>
          <w:szCs w:val="24"/>
        </w:rPr>
        <w:t xml:space="preserve"> behaviors that were originally reported were not replicated. However, we did find some similarities although they were not quite statistically significant. Those who were higher on kin care (family) were more likely to have cared for a younger sibling (odds ratio = 1.29, p = 0.069; Neel = 1.37) and cooked a meal at home (odds ratio = 1.55, p = 0.27; Neel = 1.69) in the past year. Other than those two associations, the rest were not significant and some showed the opposite relationship that was present in Neel et al. Greater kin care (family) motive did not predict the same decrease in likelihood of engaging in riskier behaviors such as having gone skydiving (odds ratio = 1.07, p = .84; Neel = .60) and having been arrested (odds ratio = .90, p = .48; Neel = .58) in the past year. Additionally, people higher on kin care (family) did not have a lower chance of having moved in the past year within the same city (odds ratio = 1.12 p = .54; Neel = .82), to a different town or city (odds ratio = </w:t>
      </w:r>
      <w:r w:rsidRPr="00204690">
        <w:rPr>
          <w:rFonts w:ascii="Times New Roman" w:hAnsi="Times New Roman" w:cs="Times New Roman"/>
          <w:sz w:val="24"/>
          <w:szCs w:val="24"/>
        </w:rPr>
        <w:lastRenderedPageBreak/>
        <w:t>1.06, p = .78; Neel = .83), or to a different country (odds ratio = 1.03, p = .88; Neel = .63). Nor did it increase the likelihood of having kept a gun in their homes (odds ratio = 1.03, p = .82; Neel = 1.37). Also, a higher levels of kin care (family) was not associated with having asked someone out on a date (odds ratio = 1.03, p = .85; Neel = .75) and slightly albeit not significantly actually increased the likelihood of having ended a relationship (odds ratio = 1.15, p = .38; Neel = .71).</w:t>
      </w:r>
    </w:p>
    <w:p w14:paraId="162834E0" w14:textId="77777777" w:rsidR="00204690" w:rsidRPr="00204690"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t>Kin care (child)</w:t>
      </w:r>
    </w:p>
    <w:p w14:paraId="3AC8B277" w14:textId="7F34649E" w:rsidR="00AE273D" w:rsidRDefault="00204690" w:rsidP="00204690">
      <w:pPr>
        <w:spacing w:line="480" w:lineRule="auto"/>
        <w:rPr>
          <w:rFonts w:ascii="Times New Roman" w:hAnsi="Times New Roman" w:cs="Times New Roman"/>
          <w:sz w:val="24"/>
          <w:szCs w:val="24"/>
        </w:rPr>
      </w:pPr>
      <w:r w:rsidRPr="00204690">
        <w:rPr>
          <w:rFonts w:ascii="Times New Roman" w:hAnsi="Times New Roman" w:cs="Times New Roman"/>
          <w:b/>
          <w:bCs/>
          <w:i/>
          <w:iCs/>
          <w:sz w:val="24"/>
          <w:szCs w:val="24"/>
        </w:rPr>
        <w:tab/>
      </w:r>
      <w:r w:rsidRPr="00204690">
        <w:rPr>
          <w:rFonts w:ascii="Times New Roman" w:hAnsi="Times New Roman" w:cs="Times New Roman"/>
          <w:i/>
          <w:iCs/>
          <w:sz w:val="24"/>
          <w:szCs w:val="24"/>
        </w:rPr>
        <w:t>Individual difference constructs.</w:t>
      </w:r>
      <w:r w:rsidRPr="00204690">
        <w:rPr>
          <w:rFonts w:ascii="Times New Roman" w:hAnsi="Times New Roman" w:cs="Times New Roman"/>
          <w:sz w:val="24"/>
          <w:szCs w:val="24"/>
        </w:rPr>
        <w:t xml:space="preserve"> Aside from the correlations of kin care (child) with long-term mating orientation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.47; Neel = .39), conscientiousness (</w:t>
      </w:r>
      <w:r w:rsidRPr="00204690">
        <w:rPr>
          <w:rFonts w:ascii="Times New Roman" w:hAnsi="Times New Roman" w:cs="Times New Roman"/>
          <w:i/>
          <w:iCs/>
          <w:sz w:val="24"/>
          <w:szCs w:val="24"/>
        </w:rPr>
        <w:t>r</w:t>
      </w:r>
      <w:r w:rsidRPr="00204690">
        <w:rPr>
          <w:rFonts w:ascii="Times New Roman" w:hAnsi="Times New Roman" w:cs="Times New Roman"/>
          <w:sz w:val="24"/>
          <w:szCs w:val="24"/>
        </w:rPr>
        <w:t xml:space="preserve"> = .45; Neel = .19/.41) and avoidant relationship attachment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 xml:space="preserve">-.58; Neel = -.24), the other associations reported in Neel et al. </w:t>
      </w:r>
      <w:proofErr w:type="spellStart"/>
      <w:r w:rsidRPr="00204690">
        <w:rPr>
          <w:rFonts w:ascii="Times New Roman" w:hAnsi="Times New Roman" w:cs="Times New Roman"/>
          <w:sz w:val="24"/>
          <w:szCs w:val="24"/>
        </w:rPr>
        <w:t>were</w:t>
      </w:r>
      <w:proofErr w:type="spellEnd"/>
      <w:r w:rsidRPr="00204690">
        <w:rPr>
          <w:rFonts w:ascii="Times New Roman" w:hAnsi="Times New Roman" w:cs="Times New Roman"/>
          <w:sz w:val="24"/>
          <w:szCs w:val="24"/>
        </w:rPr>
        <w:t xml:space="preserve"> not statistically significant in this sample. However, our results did indicate that kin care (child) correlated with anxious relationship attachment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-0.58) and openness (r = 0.32) which were not reported in the original study. Contrary to Neel et al., kin care child was not significantly correlated with agreeableness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.13, p = .34; Neel = .23/.40), prestige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.19, p = .34; Neel = .24), dominance (</w:t>
      </w:r>
      <w:r w:rsidRPr="00204690">
        <w:rPr>
          <w:rFonts w:ascii="Times New Roman" w:hAnsi="Times New Roman" w:cs="Times New Roman"/>
          <w:i/>
          <w:iCs/>
          <w:sz w:val="24"/>
          <w:szCs w:val="24"/>
        </w:rPr>
        <w:t xml:space="preserve">r = </w:t>
      </w:r>
      <w:r w:rsidRPr="00204690">
        <w:rPr>
          <w:rFonts w:ascii="Times New Roman" w:hAnsi="Times New Roman" w:cs="Times New Roman"/>
          <w:sz w:val="24"/>
          <w:szCs w:val="24"/>
        </w:rPr>
        <w:t xml:space="preserve">.01, p = 0.96; Neel = - .28). It is important to note that only a subset of participants had children reducing our sample size (n = 56). </w:t>
      </w:r>
      <w:r w:rsidR="00124630" w:rsidRPr="00204690">
        <w:rPr>
          <w:rFonts w:ascii="Times New Roman" w:hAnsi="Times New Roman" w:cs="Times New Roman"/>
          <w:sz w:val="24"/>
          <w:szCs w:val="24"/>
        </w:rPr>
        <w:t>Thus,</w:t>
      </w:r>
      <w:r w:rsidRPr="00204690">
        <w:rPr>
          <w:rFonts w:ascii="Times New Roman" w:hAnsi="Times New Roman" w:cs="Times New Roman"/>
          <w:sz w:val="24"/>
          <w:szCs w:val="24"/>
        </w:rPr>
        <w:t xml:space="preserve"> limiting the accuracy of our results.</w:t>
      </w:r>
    </w:p>
    <w:p w14:paraId="1804EB46" w14:textId="15040391" w:rsidR="00FA5876" w:rsidRDefault="00E47C60" w:rsidP="00204690">
      <w:pPr>
        <w:spacing w:line="480" w:lineRule="auto"/>
        <w:rPr>
          <w:rFonts w:ascii="Times New Roman" w:hAnsi="Times New Roman" w:cs="Times New Roman"/>
          <w:b/>
          <w:bCs/>
          <w:sz w:val="24"/>
          <w:szCs w:val="24"/>
        </w:rPr>
      </w:pPr>
      <w:r>
        <w:rPr>
          <w:rFonts w:ascii="Times New Roman" w:hAnsi="Times New Roman" w:cs="Times New Roman"/>
          <w:b/>
          <w:bCs/>
          <w:sz w:val="24"/>
          <w:szCs w:val="24"/>
        </w:rPr>
        <w:t>Life history predictors</w:t>
      </w:r>
    </w:p>
    <w:p w14:paraId="56098719" w14:textId="242A83E1" w:rsidR="00E47C60" w:rsidRPr="003919A7" w:rsidRDefault="00E47C60" w:rsidP="00204690">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003919A7">
        <w:rPr>
          <w:rFonts w:ascii="Times New Roman" w:hAnsi="Times New Roman" w:cs="Times New Roman"/>
          <w:sz w:val="24"/>
          <w:szCs w:val="24"/>
        </w:rPr>
        <w:t xml:space="preserve">Once again it is important to note that our </w:t>
      </w:r>
      <w:r w:rsidR="00E36573">
        <w:rPr>
          <w:rFonts w:ascii="Times New Roman" w:hAnsi="Times New Roman" w:cs="Times New Roman"/>
          <w:sz w:val="24"/>
          <w:szCs w:val="24"/>
        </w:rPr>
        <w:t>results are limited by our sample size, as such some relationships</w:t>
      </w:r>
      <w:r w:rsidR="00606F46">
        <w:rPr>
          <w:rFonts w:ascii="Times New Roman" w:hAnsi="Times New Roman" w:cs="Times New Roman"/>
          <w:sz w:val="24"/>
          <w:szCs w:val="24"/>
        </w:rPr>
        <w:t xml:space="preserve"> </w:t>
      </w:r>
      <w:r w:rsidR="00EF7986">
        <w:rPr>
          <w:rFonts w:ascii="Times New Roman" w:hAnsi="Times New Roman" w:cs="Times New Roman"/>
          <w:sz w:val="24"/>
          <w:szCs w:val="24"/>
        </w:rPr>
        <w:t xml:space="preserve">present in </w:t>
      </w:r>
      <w:r w:rsidR="000B5F69">
        <w:rPr>
          <w:rFonts w:ascii="Times New Roman" w:hAnsi="Times New Roman" w:cs="Times New Roman"/>
          <w:sz w:val="24"/>
          <w:szCs w:val="24"/>
        </w:rPr>
        <w:t xml:space="preserve">Neel et al. may not have been revealed in our analysis. </w:t>
      </w:r>
      <w:proofErr w:type="gramStart"/>
      <w:r w:rsidR="005C140D">
        <w:rPr>
          <w:rFonts w:ascii="Times New Roman" w:hAnsi="Times New Roman" w:cs="Times New Roman"/>
          <w:sz w:val="24"/>
          <w:szCs w:val="24"/>
        </w:rPr>
        <w:t>That being said</w:t>
      </w:r>
      <w:r w:rsidR="00C4431A">
        <w:rPr>
          <w:rFonts w:ascii="Times New Roman" w:hAnsi="Times New Roman" w:cs="Times New Roman"/>
          <w:sz w:val="24"/>
          <w:szCs w:val="24"/>
        </w:rPr>
        <w:t>, the</w:t>
      </w:r>
      <w:proofErr w:type="gramEnd"/>
      <w:r w:rsidR="005C140D">
        <w:rPr>
          <w:rFonts w:ascii="Times New Roman" w:hAnsi="Times New Roman" w:cs="Times New Roman"/>
          <w:sz w:val="24"/>
          <w:szCs w:val="24"/>
        </w:rPr>
        <w:t xml:space="preserve"> lack of </w:t>
      </w:r>
      <w:r w:rsidR="001A787B">
        <w:rPr>
          <w:rFonts w:ascii="Times New Roman" w:hAnsi="Times New Roman" w:cs="Times New Roman"/>
          <w:sz w:val="24"/>
          <w:szCs w:val="24"/>
        </w:rPr>
        <w:t>a conclusive replication of the</w:t>
      </w:r>
      <w:r w:rsidR="00FC3B76">
        <w:rPr>
          <w:rFonts w:ascii="Times New Roman" w:hAnsi="Times New Roman" w:cs="Times New Roman"/>
          <w:sz w:val="24"/>
          <w:szCs w:val="24"/>
        </w:rPr>
        <w:t xml:space="preserve"> </w:t>
      </w:r>
      <w:r w:rsidR="00BC0BD2">
        <w:rPr>
          <w:rFonts w:ascii="Times New Roman" w:hAnsi="Times New Roman" w:cs="Times New Roman"/>
          <w:sz w:val="24"/>
          <w:szCs w:val="24"/>
        </w:rPr>
        <w:t xml:space="preserve">associations between </w:t>
      </w:r>
      <w:r w:rsidR="00C33A3A">
        <w:rPr>
          <w:rFonts w:ascii="Times New Roman" w:hAnsi="Times New Roman" w:cs="Times New Roman"/>
          <w:sz w:val="24"/>
          <w:szCs w:val="24"/>
        </w:rPr>
        <w:t>the social motives and life event variables</w:t>
      </w:r>
      <w:r w:rsidR="00B10B67">
        <w:rPr>
          <w:rFonts w:ascii="Times New Roman" w:hAnsi="Times New Roman" w:cs="Times New Roman"/>
          <w:sz w:val="24"/>
          <w:szCs w:val="24"/>
        </w:rPr>
        <w:t xml:space="preserve"> may indicate that</w:t>
      </w:r>
      <w:r w:rsidR="00DD6F0B">
        <w:rPr>
          <w:rFonts w:ascii="Times New Roman" w:hAnsi="Times New Roman" w:cs="Times New Roman"/>
          <w:sz w:val="24"/>
          <w:szCs w:val="24"/>
        </w:rPr>
        <w:t xml:space="preserve"> </w:t>
      </w:r>
      <w:r w:rsidR="002F233D">
        <w:rPr>
          <w:rFonts w:ascii="Times New Roman" w:hAnsi="Times New Roman" w:cs="Times New Roman"/>
          <w:sz w:val="24"/>
          <w:szCs w:val="24"/>
        </w:rPr>
        <w:t>the new inventory</w:t>
      </w:r>
      <w:r w:rsidR="006907B9">
        <w:rPr>
          <w:rFonts w:ascii="Times New Roman" w:hAnsi="Times New Roman" w:cs="Times New Roman"/>
          <w:sz w:val="24"/>
          <w:szCs w:val="24"/>
        </w:rPr>
        <w:t xml:space="preserve"> does not have </w:t>
      </w:r>
      <w:r w:rsidR="00D14F45">
        <w:rPr>
          <w:rFonts w:ascii="Times New Roman" w:hAnsi="Times New Roman" w:cs="Times New Roman"/>
          <w:sz w:val="24"/>
          <w:szCs w:val="24"/>
        </w:rPr>
        <w:t xml:space="preserve">the strong predictive power </w:t>
      </w:r>
      <w:r w:rsidR="005D2A93">
        <w:rPr>
          <w:rFonts w:ascii="Times New Roman" w:hAnsi="Times New Roman" w:cs="Times New Roman"/>
          <w:sz w:val="24"/>
          <w:szCs w:val="24"/>
        </w:rPr>
        <w:t xml:space="preserve">touted in the original study. </w:t>
      </w:r>
      <w:r w:rsidR="009B7908">
        <w:rPr>
          <w:rFonts w:ascii="Times New Roman" w:hAnsi="Times New Roman" w:cs="Times New Roman"/>
          <w:sz w:val="24"/>
          <w:szCs w:val="24"/>
        </w:rPr>
        <w:t xml:space="preserve">In our </w:t>
      </w:r>
      <w:r w:rsidR="00E500CD">
        <w:rPr>
          <w:rFonts w:ascii="Times New Roman" w:hAnsi="Times New Roman" w:cs="Times New Roman"/>
          <w:sz w:val="24"/>
          <w:szCs w:val="24"/>
        </w:rPr>
        <w:t xml:space="preserve">multiple linear regression </w:t>
      </w:r>
      <w:r w:rsidR="009B7908">
        <w:rPr>
          <w:rFonts w:ascii="Times New Roman" w:hAnsi="Times New Roman" w:cs="Times New Roman"/>
          <w:sz w:val="24"/>
          <w:szCs w:val="24"/>
        </w:rPr>
        <w:t>analys</w:t>
      </w:r>
      <w:r w:rsidR="00E500CD">
        <w:rPr>
          <w:rFonts w:ascii="Times New Roman" w:hAnsi="Times New Roman" w:cs="Times New Roman"/>
          <w:sz w:val="24"/>
          <w:szCs w:val="24"/>
        </w:rPr>
        <w:t>es</w:t>
      </w:r>
      <w:r w:rsidR="009B7908">
        <w:rPr>
          <w:rFonts w:ascii="Times New Roman" w:hAnsi="Times New Roman" w:cs="Times New Roman"/>
          <w:sz w:val="24"/>
          <w:szCs w:val="24"/>
        </w:rPr>
        <w:t xml:space="preserve"> only a few life history </w:t>
      </w:r>
      <w:r w:rsidR="009B7908">
        <w:rPr>
          <w:rFonts w:ascii="Times New Roman" w:hAnsi="Times New Roman" w:cs="Times New Roman"/>
          <w:sz w:val="24"/>
          <w:szCs w:val="24"/>
        </w:rPr>
        <w:lastRenderedPageBreak/>
        <w:t>predictors showed significant</w:t>
      </w:r>
      <w:r w:rsidR="000B6350">
        <w:rPr>
          <w:rFonts w:ascii="Times New Roman" w:hAnsi="Times New Roman" w:cs="Times New Roman"/>
          <w:sz w:val="24"/>
          <w:szCs w:val="24"/>
        </w:rPr>
        <w:t xml:space="preserve"> relationships with the social motives</w:t>
      </w:r>
      <w:r w:rsidR="00136D29">
        <w:rPr>
          <w:rFonts w:ascii="Times New Roman" w:hAnsi="Times New Roman" w:cs="Times New Roman"/>
          <w:sz w:val="24"/>
          <w:szCs w:val="24"/>
        </w:rPr>
        <w:t xml:space="preserve">. Due to the limited significant results and </w:t>
      </w:r>
      <w:r w:rsidR="00517A15">
        <w:rPr>
          <w:rFonts w:ascii="Times New Roman" w:hAnsi="Times New Roman" w:cs="Times New Roman"/>
          <w:sz w:val="24"/>
          <w:szCs w:val="24"/>
        </w:rPr>
        <w:t>lack of emphasis on this portion of the study</w:t>
      </w:r>
      <w:r w:rsidR="00EA15CA">
        <w:rPr>
          <w:rFonts w:ascii="Times New Roman" w:hAnsi="Times New Roman" w:cs="Times New Roman"/>
          <w:sz w:val="24"/>
          <w:szCs w:val="24"/>
        </w:rPr>
        <w:t xml:space="preserve">, </w:t>
      </w:r>
      <w:r w:rsidR="5338F7F1">
        <w:rPr>
          <w:rFonts w:ascii="Times New Roman" w:hAnsi="Times New Roman" w:cs="Times New Roman"/>
          <w:sz w:val="24"/>
          <w:szCs w:val="24"/>
        </w:rPr>
        <w:t>we</w:t>
      </w:r>
      <w:r w:rsidR="00EA15CA">
        <w:rPr>
          <w:rFonts w:ascii="Times New Roman" w:hAnsi="Times New Roman" w:cs="Times New Roman"/>
          <w:sz w:val="24"/>
          <w:szCs w:val="24"/>
        </w:rPr>
        <w:t xml:space="preserve"> will not discuss the results</w:t>
      </w:r>
      <w:r w:rsidR="007C088E">
        <w:rPr>
          <w:rFonts w:ascii="Times New Roman" w:hAnsi="Times New Roman" w:cs="Times New Roman"/>
          <w:sz w:val="24"/>
          <w:szCs w:val="24"/>
        </w:rPr>
        <w:t xml:space="preserve"> here. Our fully replicated table</w:t>
      </w:r>
      <w:r w:rsidR="00B67720">
        <w:rPr>
          <w:rFonts w:ascii="Times New Roman" w:hAnsi="Times New Roman" w:cs="Times New Roman"/>
          <w:sz w:val="24"/>
          <w:szCs w:val="24"/>
        </w:rPr>
        <w:t xml:space="preserve"> 4 </w:t>
      </w:r>
      <w:r w:rsidR="009B737E">
        <w:rPr>
          <w:rFonts w:ascii="Times New Roman" w:hAnsi="Times New Roman" w:cs="Times New Roman"/>
          <w:sz w:val="24"/>
          <w:szCs w:val="24"/>
        </w:rPr>
        <w:t>is displayed in the wiki.</w:t>
      </w:r>
    </w:p>
    <w:p w14:paraId="4830FE1D" w14:textId="77777777" w:rsidR="003E4630" w:rsidRPr="00F65E0E" w:rsidRDefault="003E4630" w:rsidP="003E4630">
      <w:pPr>
        <w:spacing w:line="480" w:lineRule="auto"/>
        <w:rPr>
          <w:rFonts w:ascii="Times New Roman" w:hAnsi="Times New Roman" w:cs="Times New Roman"/>
          <w:sz w:val="24"/>
          <w:szCs w:val="24"/>
        </w:rPr>
      </w:pPr>
      <w:r w:rsidRPr="00F65E0E">
        <w:rPr>
          <w:rFonts w:ascii="Times New Roman" w:hAnsi="Times New Roman" w:cs="Times New Roman"/>
          <w:b/>
          <w:bCs/>
          <w:sz w:val="24"/>
          <w:szCs w:val="24"/>
        </w:rPr>
        <w:t xml:space="preserve">CFA </w:t>
      </w:r>
      <w:r>
        <w:rPr>
          <w:rFonts w:ascii="Times New Roman" w:hAnsi="Times New Roman" w:cs="Times New Roman"/>
          <w:b/>
          <w:bCs/>
          <w:sz w:val="24"/>
          <w:szCs w:val="24"/>
        </w:rPr>
        <w:t>r</w:t>
      </w:r>
      <w:r w:rsidRPr="00F65E0E">
        <w:rPr>
          <w:rFonts w:ascii="Times New Roman" w:hAnsi="Times New Roman" w:cs="Times New Roman"/>
          <w:b/>
          <w:bCs/>
          <w:sz w:val="24"/>
          <w:szCs w:val="24"/>
        </w:rPr>
        <w:t>esults</w:t>
      </w:r>
      <w:r>
        <w:rPr>
          <w:rFonts w:ascii="Times New Roman" w:hAnsi="Times New Roman" w:cs="Times New Roman"/>
          <w:b/>
          <w:bCs/>
          <w:sz w:val="24"/>
          <w:szCs w:val="24"/>
        </w:rPr>
        <w:t xml:space="preserve"> of full factor structure</w:t>
      </w:r>
    </w:p>
    <w:p w14:paraId="36CF4258" w14:textId="1A80C3A7" w:rsidR="003E4630" w:rsidRDefault="003E4630" w:rsidP="00204690">
      <w:pPr>
        <w:spacing w:line="480" w:lineRule="auto"/>
        <w:rPr>
          <w:rFonts w:ascii="Times New Roman" w:hAnsi="Times New Roman" w:cs="Times New Roman"/>
          <w:sz w:val="24"/>
          <w:szCs w:val="24"/>
        </w:rPr>
      </w:pPr>
      <w:r w:rsidRPr="00F65E0E">
        <w:rPr>
          <w:rFonts w:ascii="Times New Roman" w:hAnsi="Times New Roman" w:cs="Times New Roman"/>
          <w:sz w:val="24"/>
          <w:szCs w:val="24"/>
        </w:rPr>
        <w:tab/>
        <w:t xml:space="preserve">Since these motives were significantly different from Neel et al. (2016), we performed a confirmatory factor analysis to check the factor structure. A complete model for all 11 motives was not possible, because the sample size for the kin care (child) and mate retention motives were limited to those who had children or were in a relationship. Therefore, we computed a model excluding these motives, thus including </w:t>
      </w:r>
      <w:proofErr w:type="gramStart"/>
      <w:r w:rsidRPr="00F65E0E">
        <w:rPr>
          <w:rFonts w:ascii="Times New Roman" w:hAnsi="Times New Roman" w:cs="Times New Roman"/>
          <w:sz w:val="24"/>
          <w:szCs w:val="24"/>
        </w:rPr>
        <w:t>all of</w:t>
      </w:r>
      <w:proofErr w:type="gramEnd"/>
      <w:r w:rsidRPr="00F65E0E">
        <w:rPr>
          <w:rFonts w:ascii="Times New Roman" w:hAnsi="Times New Roman" w:cs="Times New Roman"/>
          <w:sz w:val="24"/>
          <w:szCs w:val="24"/>
        </w:rPr>
        <w:t xml:space="preserve"> the participants (n = 145). The Chi-square was significant, χ²(1006)=1734, p&lt;.001, the root mean square error of approximation (RMSEA) was .071, the comparative fit index (CFI) was .85, the Tucker-Lewis Index (TLI) was .84, and the standardized root mean square residual (SRMR) was .083. Using the benchmarks from Neel et al., the RMSEA exhibited only an acceptable fit and all the other measures did not meet the specified standards. </w:t>
      </w:r>
    </w:p>
    <w:p w14:paraId="160025BA" w14:textId="29F1E26C" w:rsidR="00124630" w:rsidRDefault="009B737E" w:rsidP="009B737E">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Discussion</w:t>
      </w:r>
    </w:p>
    <w:p w14:paraId="3F882180" w14:textId="28CF6129" w:rsidR="00E369F8" w:rsidRPr="00E369F8" w:rsidRDefault="00E369F8" w:rsidP="00E369F8">
      <w:pPr>
        <w:spacing w:line="480" w:lineRule="auto"/>
        <w:rPr>
          <w:rFonts w:ascii="Times New Roman" w:hAnsi="Times New Roman" w:cs="Times New Roman"/>
          <w:sz w:val="24"/>
          <w:szCs w:val="24"/>
        </w:rPr>
      </w:pPr>
      <w:r>
        <w:rPr>
          <w:rFonts w:ascii="Times New Roman" w:hAnsi="Times New Roman" w:cs="Times New Roman"/>
          <w:sz w:val="24"/>
          <w:szCs w:val="24"/>
        </w:rPr>
        <w:tab/>
      </w:r>
      <w:r w:rsidR="004361AC">
        <w:rPr>
          <w:rFonts w:ascii="Times New Roman" w:hAnsi="Times New Roman" w:cs="Times New Roman"/>
          <w:sz w:val="24"/>
          <w:szCs w:val="24"/>
        </w:rPr>
        <w:t xml:space="preserve">The wide breadth </w:t>
      </w:r>
      <w:r w:rsidR="003D1DCE">
        <w:rPr>
          <w:rFonts w:ascii="Times New Roman" w:hAnsi="Times New Roman" w:cs="Times New Roman"/>
          <w:sz w:val="24"/>
          <w:szCs w:val="24"/>
        </w:rPr>
        <w:t>and variety of analyses make it difficult to conclude whether our results replicated</w:t>
      </w:r>
      <w:r w:rsidR="143BA064">
        <w:rPr>
          <w:rFonts w:ascii="Times New Roman" w:hAnsi="Times New Roman" w:cs="Times New Roman"/>
          <w:sz w:val="24"/>
          <w:szCs w:val="24"/>
        </w:rPr>
        <w:t xml:space="preserve"> the original findings</w:t>
      </w:r>
      <w:r w:rsidR="00693B57">
        <w:rPr>
          <w:rFonts w:ascii="Times New Roman" w:hAnsi="Times New Roman" w:cs="Times New Roman"/>
          <w:sz w:val="24"/>
          <w:szCs w:val="24"/>
        </w:rPr>
        <w:t>. Our limited data set and the possible confounding factors of COVID-19</w:t>
      </w:r>
      <w:r w:rsidR="002C4C12">
        <w:rPr>
          <w:rFonts w:ascii="Times New Roman" w:hAnsi="Times New Roman" w:cs="Times New Roman"/>
          <w:sz w:val="24"/>
          <w:szCs w:val="24"/>
        </w:rPr>
        <w:t xml:space="preserve"> also </w:t>
      </w:r>
      <w:r w:rsidR="5DBC44C6">
        <w:rPr>
          <w:rFonts w:ascii="Times New Roman" w:hAnsi="Times New Roman" w:cs="Times New Roman"/>
          <w:sz w:val="24"/>
          <w:szCs w:val="24"/>
        </w:rPr>
        <w:t>restricts</w:t>
      </w:r>
      <w:r w:rsidR="002C4C12">
        <w:rPr>
          <w:rFonts w:ascii="Times New Roman" w:hAnsi="Times New Roman" w:cs="Times New Roman"/>
          <w:sz w:val="24"/>
          <w:szCs w:val="24"/>
        </w:rPr>
        <w:t xml:space="preserve"> the </w:t>
      </w:r>
      <w:r w:rsidR="5DBC44C6">
        <w:rPr>
          <w:rFonts w:ascii="Times New Roman" w:hAnsi="Times New Roman" w:cs="Times New Roman"/>
          <w:sz w:val="24"/>
          <w:szCs w:val="24"/>
        </w:rPr>
        <w:t>implications</w:t>
      </w:r>
      <w:r w:rsidR="002C4C12">
        <w:rPr>
          <w:rFonts w:ascii="Times New Roman" w:hAnsi="Times New Roman" w:cs="Times New Roman"/>
          <w:sz w:val="24"/>
          <w:szCs w:val="24"/>
        </w:rPr>
        <w:t xml:space="preserve"> of our results. </w:t>
      </w:r>
      <w:r w:rsidR="004156F7">
        <w:rPr>
          <w:rFonts w:ascii="Times New Roman" w:hAnsi="Times New Roman" w:cs="Times New Roman"/>
          <w:sz w:val="24"/>
          <w:szCs w:val="24"/>
        </w:rPr>
        <w:t>Some of t</w:t>
      </w:r>
      <w:r w:rsidR="00E46474">
        <w:rPr>
          <w:rFonts w:ascii="Times New Roman" w:hAnsi="Times New Roman" w:cs="Times New Roman"/>
          <w:sz w:val="24"/>
          <w:szCs w:val="24"/>
        </w:rPr>
        <w:t xml:space="preserve">he significant relationships reported in </w:t>
      </w:r>
      <w:r w:rsidR="00C369AA">
        <w:rPr>
          <w:rFonts w:ascii="Times New Roman" w:hAnsi="Times New Roman" w:cs="Times New Roman"/>
          <w:sz w:val="24"/>
          <w:szCs w:val="24"/>
        </w:rPr>
        <w:t>Neel et al.</w:t>
      </w:r>
      <w:r w:rsidR="004156F7">
        <w:rPr>
          <w:rFonts w:ascii="Times New Roman" w:hAnsi="Times New Roman" w:cs="Times New Roman"/>
          <w:sz w:val="24"/>
          <w:szCs w:val="24"/>
        </w:rPr>
        <w:t xml:space="preserve"> may not have been revealed in our analysis</w:t>
      </w:r>
      <w:r w:rsidR="00225D80">
        <w:rPr>
          <w:rFonts w:ascii="Times New Roman" w:hAnsi="Times New Roman" w:cs="Times New Roman"/>
          <w:sz w:val="24"/>
          <w:szCs w:val="24"/>
        </w:rPr>
        <w:t xml:space="preserve"> due to the limitations of our study. </w:t>
      </w:r>
      <w:r w:rsidR="00666DE1">
        <w:rPr>
          <w:rFonts w:ascii="Times New Roman" w:hAnsi="Times New Roman" w:cs="Times New Roman"/>
          <w:sz w:val="24"/>
          <w:szCs w:val="24"/>
        </w:rPr>
        <w:t>However</w:t>
      </w:r>
      <w:r w:rsidR="00717FE3">
        <w:rPr>
          <w:rFonts w:ascii="Times New Roman" w:hAnsi="Times New Roman" w:cs="Times New Roman"/>
          <w:sz w:val="24"/>
          <w:szCs w:val="24"/>
        </w:rPr>
        <w:t xml:space="preserve">, many of the correlations between the social motives and existing </w:t>
      </w:r>
      <w:r w:rsidR="006B4A2C">
        <w:rPr>
          <w:rFonts w:ascii="Times New Roman" w:hAnsi="Times New Roman" w:cs="Times New Roman"/>
          <w:sz w:val="24"/>
          <w:szCs w:val="24"/>
        </w:rPr>
        <w:t>cons</w:t>
      </w:r>
      <w:r w:rsidR="00A737EC">
        <w:rPr>
          <w:rFonts w:ascii="Times New Roman" w:hAnsi="Times New Roman" w:cs="Times New Roman"/>
          <w:sz w:val="24"/>
          <w:szCs w:val="24"/>
        </w:rPr>
        <w:t xml:space="preserve">tructs of individual differences were replicated in our sample, with a few </w:t>
      </w:r>
      <w:r w:rsidR="00DF48CA">
        <w:rPr>
          <w:rFonts w:ascii="Times New Roman" w:hAnsi="Times New Roman" w:cs="Times New Roman"/>
          <w:sz w:val="24"/>
          <w:szCs w:val="24"/>
        </w:rPr>
        <w:t xml:space="preserve">exceptions. This lends support to the consistency of </w:t>
      </w:r>
      <w:r w:rsidR="00915980">
        <w:rPr>
          <w:rFonts w:ascii="Times New Roman" w:hAnsi="Times New Roman" w:cs="Times New Roman"/>
          <w:sz w:val="24"/>
          <w:szCs w:val="24"/>
        </w:rPr>
        <w:t>the Fundamental Social Motive Inventor</w:t>
      </w:r>
      <w:r w:rsidR="002C4E34">
        <w:rPr>
          <w:rFonts w:ascii="Times New Roman" w:hAnsi="Times New Roman" w:cs="Times New Roman"/>
          <w:sz w:val="24"/>
          <w:szCs w:val="24"/>
        </w:rPr>
        <w:t xml:space="preserve">y with contemporary measures of </w:t>
      </w:r>
      <w:r w:rsidR="002C4E34">
        <w:rPr>
          <w:rFonts w:ascii="Times New Roman" w:hAnsi="Times New Roman" w:cs="Times New Roman"/>
          <w:sz w:val="24"/>
          <w:szCs w:val="24"/>
        </w:rPr>
        <w:lastRenderedPageBreak/>
        <w:t>individual differences</w:t>
      </w:r>
      <w:r w:rsidR="008F0AD8">
        <w:rPr>
          <w:rFonts w:ascii="Times New Roman" w:hAnsi="Times New Roman" w:cs="Times New Roman"/>
          <w:sz w:val="24"/>
          <w:szCs w:val="24"/>
        </w:rPr>
        <w:t>. While this may help establish</w:t>
      </w:r>
      <w:r w:rsidR="00983B45">
        <w:rPr>
          <w:rFonts w:ascii="Times New Roman" w:hAnsi="Times New Roman" w:cs="Times New Roman"/>
          <w:sz w:val="24"/>
          <w:szCs w:val="24"/>
        </w:rPr>
        <w:t xml:space="preserve"> criterion validity, the main objective of this study was to demonstrate the unique</w:t>
      </w:r>
      <w:r w:rsidR="00E9249C">
        <w:rPr>
          <w:rFonts w:ascii="Times New Roman" w:hAnsi="Times New Roman" w:cs="Times New Roman"/>
          <w:sz w:val="24"/>
          <w:szCs w:val="24"/>
        </w:rPr>
        <w:t xml:space="preserve"> expla</w:t>
      </w:r>
      <w:r w:rsidR="00B73134">
        <w:rPr>
          <w:rFonts w:ascii="Times New Roman" w:hAnsi="Times New Roman" w:cs="Times New Roman"/>
          <w:sz w:val="24"/>
          <w:szCs w:val="24"/>
        </w:rPr>
        <w:t xml:space="preserve">natory value beyond the measures currently used. </w:t>
      </w:r>
      <w:r w:rsidR="00D75D44">
        <w:rPr>
          <w:rFonts w:ascii="Times New Roman" w:hAnsi="Times New Roman" w:cs="Times New Roman"/>
          <w:sz w:val="24"/>
          <w:szCs w:val="24"/>
        </w:rPr>
        <w:t>In that regard</w:t>
      </w:r>
      <w:r w:rsidR="006E4389">
        <w:rPr>
          <w:rFonts w:ascii="Times New Roman" w:hAnsi="Times New Roman" w:cs="Times New Roman"/>
          <w:sz w:val="24"/>
          <w:szCs w:val="24"/>
        </w:rPr>
        <w:t>, the results from the life events analysis were not so clearly</w:t>
      </w:r>
      <w:r w:rsidR="00DE07B2">
        <w:rPr>
          <w:rFonts w:ascii="Times New Roman" w:hAnsi="Times New Roman" w:cs="Times New Roman"/>
          <w:sz w:val="24"/>
          <w:szCs w:val="24"/>
        </w:rPr>
        <w:t xml:space="preserve"> replicated in our study. Some of same associations were found, but many more were not significant or showed relationships</w:t>
      </w:r>
      <w:r w:rsidR="00A71A54">
        <w:rPr>
          <w:rFonts w:ascii="Times New Roman" w:hAnsi="Times New Roman" w:cs="Times New Roman"/>
          <w:sz w:val="24"/>
          <w:szCs w:val="24"/>
        </w:rPr>
        <w:t xml:space="preserve"> entirely different from those in the original study. </w:t>
      </w:r>
      <w:r w:rsidR="00160872">
        <w:rPr>
          <w:rFonts w:ascii="Times New Roman" w:hAnsi="Times New Roman" w:cs="Times New Roman"/>
          <w:sz w:val="24"/>
          <w:szCs w:val="24"/>
        </w:rPr>
        <w:t>It is true that this may be population dependent, but</w:t>
      </w:r>
      <w:r w:rsidR="00BD4BD8">
        <w:rPr>
          <w:rFonts w:ascii="Times New Roman" w:hAnsi="Times New Roman" w:cs="Times New Roman"/>
          <w:sz w:val="24"/>
          <w:szCs w:val="24"/>
        </w:rPr>
        <w:t xml:space="preserve"> without </w:t>
      </w:r>
      <w:r w:rsidR="007B3DA7">
        <w:rPr>
          <w:rFonts w:ascii="Times New Roman" w:hAnsi="Times New Roman" w:cs="Times New Roman"/>
          <w:sz w:val="24"/>
          <w:szCs w:val="24"/>
        </w:rPr>
        <w:t>consistent results</w:t>
      </w:r>
      <w:r w:rsidR="00F17F1D">
        <w:rPr>
          <w:rFonts w:ascii="Times New Roman" w:hAnsi="Times New Roman" w:cs="Times New Roman"/>
          <w:sz w:val="24"/>
          <w:szCs w:val="24"/>
        </w:rPr>
        <w:t xml:space="preserve"> it </w:t>
      </w:r>
      <w:r w:rsidR="00F04D08">
        <w:rPr>
          <w:rFonts w:ascii="Times New Roman" w:hAnsi="Times New Roman" w:cs="Times New Roman"/>
          <w:sz w:val="24"/>
          <w:szCs w:val="24"/>
        </w:rPr>
        <w:t xml:space="preserve">is difficult to generalize these conclusions to the </w:t>
      </w:r>
      <w:r w:rsidR="0039293F">
        <w:rPr>
          <w:rFonts w:ascii="Times New Roman" w:hAnsi="Times New Roman" w:cs="Times New Roman"/>
          <w:sz w:val="24"/>
          <w:szCs w:val="24"/>
        </w:rPr>
        <w:t xml:space="preserve">entire population. </w:t>
      </w:r>
      <w:r w:rsidR="00DF48CA">
        <w:rPr>
          <w:rFonts w:ascii="Times New Roman" w:hAnsi="Times New Roman" w:cs="Times New Roman"/>
          <w:sz w:val="24"/>
          <w:szCs w:val="24"/>
        </w:rPr>
        <w:t xml:space="preserve"> </w:t>
      </w:r>
      <w:r w:rsidR="00C369AA">
        <w:rPr>
          <w:rFonts w:ascii="Times New Roman" w:hAnsi="Times New Roman" w:cs="Times New Roman"/>
          <w:sz w:val="24"/>
          <w:szCs w:val="24"/>
        </w:rPr>
        <w:t xml:space="preserve"> </w:t>
      </w:r>
    </w:p>
    <w:p w14:paraId="1A8A62BB" w14:textId="77777777" w:rsidR="00F65E0E" w:rsidRPr="000F1BF8" w:rsidRDefault="00F65E0E" w:rsidP="00204690">
      <w:pPr>
        <w:spacing w:line="480" w:lineRule="auto"/>
        <w:rPr>
          <w:rFonts w:ascii="Times New Roman" w:hAnsi="Times New Roman" w:cs="Times New Roman"/>
          <w:sz w:val="24"/>
          <w:szCs w:val="24"/>
        </w:rPr>
      </w:pPr>
    </w:p>
    <w:sectPr w:rsidR="00F65E0E" w:rsidRPr="000F1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C127C"/>
    <w:multiLevelType w:val="multilevel"/>
    <w:tmpl w:val="966C4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E5416"/>
    <w:multiLevelType w:val="multilevel"/>
    <w:tmpl w:val="30B86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9303D"/>
    <w:multiLevelType w:val="multilevel"/>
    <w:tmpl w:val="7E504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5D3F69"/>
    <w:multiLevelType w:val="multilevel"/>
    <w:tmpl w:val="B64AD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83659"/>
    <w:multiLevelType w:val="multilevel"/>
    <w:tmpl w:val="47CCD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1A6736"/>
    <w:multiLevelType w:val="multilevel"/>
    <w:tmpl w:val="97366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C56442"/>
    <w:multiLevelType w:val="multilevel"/>
    <w:tmpl w:val="E3CC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09153B"/>
    <w:multiLevelType w:val="multilevel"/>
    <w:tmpl w:val="37C02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EE0C95"/>
    <w:multiLevelType w:val="multilevel"/>
    <w:tmpl w:val="DAE07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7A7DC3"/>
    <w:multiLevelType w:val="multilevel"/>
    <w:tmpl w:val="D5140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9C3910"/>
    <w:multiLevelType w:val="multilevel"/>
    <w:tmpl w:val="A41EA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744461"/>
    <w:multiLevelType w:val="multilevel"/>
    <w:tmpl w:val="1FE4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3828CD"/>
    <w:multiLevelType w:val="multilevel"/>
    <w:tmpl w:val="FC700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D86FAE"/>
    <w:multiLevelType w:val="multilevel"/>
    <w:tmpl w:val="8B887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465A9E"/>
    <w:multiLevelType w:val="multilevel"/>
    <w:tmpl w:val="66381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702833"/>
    <w:multiLevelType w:val="multilevel"/>
    <w:tmpl w:val="EF04F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BC5604"/>
    <w:multiLevelType w:val="multilevel"/>
    <w:tmpl w:val="34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72FAE"/>
    <w:multiLevelType w:val="multilevel"/>
    <w:tmpl w:val="A5982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0C599B"/>
    <w:multiLevelType w:val="multilevel"/>
    <w:tmpl w:val="A6A6C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990728"/>
    <w:multiLevelType w:val="multilevel"/>
    <w:tmpl w:val="84808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0C59A3"/>
    <w:multiLevelType w:val="multilevel"/>
    <w:tmpl w:val="2884C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FD6152"/>
    <w:multiLevelType w:val="multilevel"/>
    <w:tmpl w:val="C6985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552D9F"/>
    <w:multiLevelType w:val="multilevel"/>
    <w:tmpl w:val="E2F8E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F71923"/>
    <w:multiLevelType w:val="multilevel"/>
    <w:tmpl w:val="2C982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D439D9"/>
    <w:multiLevelType w:val="multilevel"/>
    <w:tmpl w:val="02667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200A3B"/>
    <w:multiLevelType w:val="multilevel"/>
    <w:tmpl w:val="4AF0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2705D4"/>
    <w:multiLevelType w:val="multilevel"/>
    <w:tmpl w:val="71B0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692EC5"/>
    <w:multiLevelType w:val="multilevel"/>
    <w:tmpl w:val="D8280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A014D7"/>
    <w:multiLevelType w:val="multilevel"/>
    <w:tmpl w:val="71507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2D2B87"/>
    <w:multiLevelType w:val="multilevel"/>
    <w:tmpl w:val="2CBEE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5"/>
  </w:num>
  <w:num w:numId="3">
    <w:abstractNumId w:val="25"/>
  </w:num>
  <w:num w:numId="4">
    <w:abstractNumId w:val="0"/>
  </w:num>
  <w:num w:numId="5">
    <w:abstractNumId w:val="6"/>
  </w:num>
  <w:num w:numId="6">
    <w:abstractNumId w:val="8"/>
  </w:num>
  <w:num w:numId="7">
    <w:abstractNumId w:val="2"/>
  </w:num>
  <w:num w:numId="8">
    <w:abstractNumId w:val="20"/>
  </w:num>
  <w:num w:numId="9">
    <w:abstractNumId w:val="29"/>
  </w:num>
  <w:num w:numId="10">
    <w:abstractNumId w:val="28"/>
  </w:num>
  <w:num w:numId="11">
    <w:abstractNumId w:val="16"/>
  </w:num>
  <w:num w:numId="12">
    <w:abstractNumId w:val="15"/>
  </w:num>
  <w:num w:numId="13">
    <w:abstractNumId w:val="10"/>
  </w:num>
  <w:num w:numId="14">
    <w:abstractNumId w:val="1"/>
  </w:num>
  <w:num w:numId="15">
    <w:abstractNumId w:val="19"/>
  </w:num>
  <w:num w:numId="16">
    <w:abstractNumId w:val="12"/>
  </w:num>
  <w:num w:numId="17">
    <w:abstractNumId w:val="23"/>
  </w:num>
  <w:num w:numId="18">
    <w:abstractNumId w:val="4"/>
  </w:num>
  <w:num w:numId="19">
    <w:abstractNumId w:val="18"/>
  </w:num>
  <w:num w:numId="20">
    <w:abstractNumId w:val="26"/>
  </w:num>
  <w:num w:numId="21">
    <w:abstractNumId w:val="9"/>
  </w:num>
  <w:num w:numId="22">
    <w:abstractNumId w:val="3"/>
  </w:num>
  <w:num w:numId="23">
    <w:abstractNumId w:val="13"/>
  </w:num>
  <w:num w:numId="24">
    <w:abstractNumId w:val="17"/>
  </w:num>
  <w:num w:numId="25">
    <w:abstractNumId w:val="27"/>
  </w:num>
  <w:num w:numId="26">
    <w:abstractNumId w:val="21"/>
  </w:num>
  <w:num w:numId="27">
    <w:abstractNumId w:val="22"/>
  </w:num>
  <w:num w:numId="28">
    <w:abstractNumId w:val="11"/>
  </w:num>
  <w:num w:numId="29">
    <w:abstractNumId w:val="24"/>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C5F"/>
    <w:rsid w:val="000B5F69"/>
    <w:rsid w:val="000B6350"/>
    <w:rsid w:val="000F1BF8"/>
    <w:rsid w:val="001038BE"/>
    <w:rsid w:val="00124630"/>
    <w:rsid w:val="00136D29"/>
    <w:rsid w:val="00160872"/>
    <w:rsid w:val="001A787B"/>
    <w:rsid w:val="001C404A"/>
    <w:rsid w:val="00204690"/>
    <w:rsid w:val="00225D80"/>
    <w:rsid w:val="00282A52"/>
    <w:rsid w:val="002C4C12"/>
    <w:rsid w:val="002C4E34"/>
    <w:rsid w:val="002F233D"/>
    <w:rsid w:val="003147FC"/>
    <w:rsid w:val="003919A7"/>
    <w:rsid w:val="0039293F"/>
    <w:rsid w:val="003D1DCE"/>
    <w:rsid w:val="003E4630"/>
    <w:rsid w:val="004156F7"/>
    <w:rsid w:val="004361AC"/>
    <w:rsid w:val="004833EE"/>
    <w:rsid w:val="004F1B60"/>
    <w:rsid w:val="00517A15"/>
    <w:rsid w:val="005C140D"/>
    <w:rsid w:val="005D2A93"/>
    <w:rsid w:val="005F6077"/>
    <w:rsid w:val="00606F46"/>
    <w:rsid w:val="00610BD5"/>
    <w:rsid w:val="00660F3A"/>
    <w:rsid w:val="00666DE1"/>
    <w:rsid w:val="006907B9"/>
    <w:rsid w:val="00693B57"/>
    <w:rsid w:val="006B4A2C"/>
    <w:rsid w:val="006E4389"/>
    <w:rsid w:val="00717FE3"/>
    <w:rsid w:val="00783379"/>
    <w:rsid w:val="007B3DA7"/>
    <w:rsid w:val="007C088E"/>
    <w:rsid w:val="008B51D8"/>
    <w:rsid w:val="008D200F"/>
    <w:rsid w:val="008F0AD8"/>
    <w:rsid w:val="00915980"/>
    <w:rsid w:val="00983B45"/>
    <w:rsid w:val="009927FD"/>
    <w:rsid w:val="009B737E"/>
    <w:rsid w:val="009B7908"/>
    <w:rsid w:val="009C2CE0"/>
    <w:rsid w:val="00A71A54"/>
    <w:rsid w:val="00A737EC"/>
    <w:rsid w:val="00A83356"/>
    <w:rsid w:val="00AB3B6E"/>
    <w:rsid w:val="00AE2539"/>
    <w:rsid w:val="00AE273D"/>
    <w:rsid w:val="00B10B67"/>
    <w:rsid w:val="00B67720"/>
    <w:rsid w:val="00B73134"/>
    <w:rsid w:val="00BA24C0"/>
    <w:rsid w:val="00BC0BD2"/>
    <w:rsid w:val="00BD4BD8"/>
    <w:rsid w:val="00C33A3A"/>
    <w:rsid w:val="00C369AA"/>
    <w:rsid w:val="00C4431A"/>
    <w:rsid w:val="00D14F45"/>
    <w:rsid w:val="00D375CC"/>
    <w:rsid w:val="00D64F64"/>
    <w:rsid w:val="00D75D44"/>
    <w:rsid w:val="00DD6F0B"/>
    <w:rsid w:val="00DE07B2"/>
    <w:rsid w:val="00DF48CA"/>
    <w:rsid w:val="00E00A08"/>
    <w:rsid w:val="00E36573"/>
    <w:rsid w:val="00E369F8"/>
    <w:rsid w:val="00E46474"/>
    <w:rsid w:val="00E47C60"/>
    <w:rsid w:val="00E500CD"/>
    <w:rsid w:val="00E5752A"/>
    <w:rsid w:val="00E9249C"/>
    <w:rsid w:val="00EA15CA"/>
    <w:rsid w:val="00ED7C5F"/>
    <w:rsid w:val="00EF7986"/>
    <w:rsid w:val="00F04D08"/>
    <w:rsid w:val="00F17F1D"/>
    <w:rsid w:val="00F65E0E"/>
    <w:rsid w:val="00FA5876"/>
    <w:rsid w:val="00FC3B76"/>
    <w:rsid w:val="143BA064"/>
    <w:rsid w:val="30418A97"/>
    <w:rsid w:val="4EF46BDF"/>
    <w:rsid w:val="5338F7F1"/>
    <w:rsid w:val="5DBC44C6"/>
    <w:rsid w:val="78FA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09ED"/>
  <w15:chartTrackingRefBased/>
  <w15:docId w15:val="{F7AAB9FD-7D52-447A-985E-9FE68019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0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409323">
      <w:bodyDiv w:val="1"/>
      <w:marLeft w:val="0"/>
      <w:marRight w:val="0"/>
      <w:marTop w:val="0"/>
      <w:marBottom w:val="0"/>
      <w:divBdr>
        <w:top w:val="none" w:sz="0" w:space="0" w:color="auto"/>
        <w:left w:val="none" w:sz="0" w:space="0" w:color="auto"/>
        <w:bottom w:val="none" w:sz="0" w:space="0" w:color="auto"/>
        <w:right w:val="none" w:sz="0" w:space="0" w:color="auto"/>
      </w:divBdr>
    </w:div>
    <w:div w:id="273439422">
      <w:bodyDiv w:val="1"/>
      <w:marLeft w:val="0"/>
      <w:marRight w:val="0"/>
      <w:marTop w:val="0"/>
      <w:marBottom w:val="0"/>
      <w:divBdr>
        <w:top w:val="none" w:sz="0" w:space="0" w:color="auto"/>
        <w:left w:val="none" w:sz="0" w:space="0" w:color="auto"/>
        <w:bottom w:val="none" w:sz="0" w:space="0" w:color="auto"/>
        <w:right w:val="none" w:sz="0" w:space="0" w:color="auto"/>
      </w:divBdr>
    </w:div>
    <w:div w:id="460735747">
      <w:bodyDiv w:val="1"/>
      <w:marLeft w:val="0"/>
      <w:marRight w:val="0"/>
      <w:marTop w:val="0"/>
      <w:marBottom w:val="0"/>
      <w:divBdr>
        <w:top w:val="none" w:sz="0" w:space="0" w:color="auto"/>
        <w:left w:val="none" w:sz="0" w:space="0" w:color="auto"/>
        <w:bottom w:val="none" w:sz="0" w:space="0" w:color="auto"/>
        <w:right w:val="none" w:sz="0" w:space="0" w:color="auto"/>
      </w:divBdr>
    </w:div>
    <w:div w:id="554699431">
      <w:bodyDiv w:val="1"/>
      <w:marLeft w:val="0"/>
      <w:marRight w:val="0"/>
      <w:marTop w:val="0"/>
      <w:marBottom w:val="0"/>
      <w:divBdr>
        <w:top w:val="none" w:sz="0" w:space="0" w:color="auto"/>
        <w:left w:val="none" w:sz="0" w:space="0" w:color="auto"/>
        <w:bottom w:val="none" w:sz="0" w:space="0" w:color="auto"/>
        <w:right w:val="none" w:sz="0" w:space="0" w:color="auto"/>
      </w:divBdr>
    </w:div>
    <w:div w:id="732192104">
      <w:bodyDiv w:val="1"/>
      <w:marLeft w:val="0"/>
      <w:marRight w:val="0"/>
      <w:marTop w:val="0"/>
      <w:marBottom w:val="0"/>
      <w:divBdr>
        <w:top w:val="none" w:sz="0" w:space="0" w:color="auto"/>
        <w:left w:val="none" w:sz="0" w:space="0" w:color="auto"/>
        <w:bottom w:val="none" w:sz="0" w:space="0" w:color="auto"/>
        <w:right w:val="none" w:sz="0" w:space="0" w:color="auto"/>
      </w:divBdr>
    </w:div>
    <w:div w:id="737018387">
      <w:bodyDiv w:val="1"/>
      <w:marLeft w:val="0"/>
      <w:marRight w:val="0"/>
      <w:marTop w:val="0"/>
      <w:marBottom w:val="0"/>
      <w:divBdr>
        <w:top w:val="none" w:sz="0" w:space="0" w:color="auto"/>
        <w:left w:val="none" w:sz="0" w:space="0" w:color="auto"/>
        <w:bottom w:val="none" w:sz="0" w:space="0" w:color="auto"/>
        <w:right w:val="none" w:sz="0" w:space="0" w:color="auto"/>
      </w:divBdr>
    </w:div>
    <w:div w:id="956569965">
      <w:bodyDiv w:val="1"/>
      <w:marLeft w:val="0"/>
      <w:marRight w:val="0"/>
      <w:marTop w:val="0"/>
      <w:marBottom w:val="0"/>
      <w:divBdr>
        <w:top w:val="none" w:sz="0" w:space="0" w:color="auto"/>
        <w:left w:val="none" w:sz="0" w:space="0" w:color="auto"/>
        <w:bottom w:val="none" w:sz="0" w:space="0" w:color="auto"/>
        <w:right w:val="none" w:sz="0" w:space="0" w:color="auto"/>
      </w:divBdr>
    </w:div>
    <w:div w:id="1171339253">
      <w:bodyDiv w:val="1"/>
      <w:marLeft w:val="0"/>
      <w:marRight w:val="0"/>
      <w:marTop w:val="0"/>
      <w:marBottom w:val="0"/>
      <w:divBdr>
        <w:top w:val="none" w:sz="0" w:space="0" w:color="auto"/>
        <w:left w:val="none" w:sz="0" w:space="0" w:color="auto"/>
        <w:bottom w:val="none" w:sz="0" w:space="0" w:color="auto"/>
        <w:right w:val="none" w:sz="0" w:space="0" w:color="auto"/>
      </w:divBdr>
    </w:div>
    <w:div w:id="1280526754">
      <w:bodyDiv w:val="1"/>
      <w:marLeft w:val="0"/>
      <w:marRight w:val="0"/>
      <w:marTop w:val="0"/>
      <w:marBottom w:val="0"/>
      <w:divBdr>
        <w:top w:val="none" w:sz="0" w:space="0" w:color="auto"/>
        <w:left w:val="none" w:sz="0" w:space="0" w:color="auto"/>
        <w:bottom w:val="none" w:sz="0" w:space="0" w:color="auto"/>
        <w:right w:val="none" w:sz="0" w:space="0" w:color="auto"/>
      </w:divBdr>
    </w:div>
    <w:div w:id="1283000252">
      <w:bodyDiv w:val="1"/>
      <w:marLeft w:val="0"/>
      <w:marRight w:val="0"/>
      <w:marTop w:val="0"/>
      <w:marBottom w:val="0"/>
      <w:divBdr>
        <w:top w:val="none" w:sz="0" w:space="0" w:color="auto"/>
        <w:left w:val="none" w:sz="0" w:space="0" w:color="auto"/>
        <w:bottom w:val="none" w:sz="0" w:space="0" w:color="auto"/>
        <w:right w:val="none" w:sz="0" w:space="0" w:color="auto"/>
      </w:divBdr>
    </w:div>
    <w:div w:id="1344354341">
      <w:bodyDiv w:val="1"/>
      <w:marLeft w:val="0"/>
      <w:marRight w:val="0"/>
      <w:marTop w:val="0"/>
      <w:marBottom w:val="0"/>
      <w:divBdr>
        <w:top w:val="none" w:sz="0" w:space="0" w:color="auto"/>
        <w:left w:val="none" w:sz="0" w:space="0" w:color="auto"/>
        <w:bottom w:val="none" w:sz="0" w:space="0" w:color="auto"/>
        <w:right w:val="none" w:sz="0" w:space="0" w:color="auto"/>
      </w:divBdr>
    </w:div>
    <w:div w:id="1351837410">
      <w:bodyDiv w:val="1"/>
      <w:marLeft w:val="0"/>
      <w:marRight w:val="0"/>
      <w:marTop w:val="0"/>
      <w:marBottom w:val="0"/>
      <w:divBdr>
        <w:top w:val="none" w:sz="0" w:space="0" w:color="auto"/>
        <w:left w:val="none" w:sz="0" w:space="0" w:color="auto"/>
        <w:bottom w:val="none" w:sz="0" w:space="0" w:color="auto"/>
        <w:right w:val="none" w:sz="0" w:space="0" w:color="auto"/>
      </w:divBdr>
    </w:div>
    <w:div w:id="1505244796">
      <w:bodyDiv w:val="1"/>
      <w:marLeft w:val="0"/>
      <w:marRight w:val="0"/>
      <w:marTop w:val="0"/>
      <w:marBottom w:val="0"/>
      <w:divBdr>
        <w:top w:val="none" w:sz="0" w:space="0" w:color="auto"/>
        <w:left w:val="none" w:sz="0" w:space="0" w:color="auto"/>
        <w:bottom w:val="none" w:sz="0" w:space="0" w:color="auto"/>
        <w:right w:val="none" w:sz="0" w:space="0" w:color="auto"/>
      </w:divBdr>
    </w:div>
    <w:div w:id="1746106480">
      <w:bodyDiv w:val="1"/>
      <w:marLeft w:val="0"/>
      <w:marRight w:val="0"/>
      <w:marTop w:val="0"/>
      <w:marBottom w:val="0"/>
      <w:divBdr>
        <w:top w:val="none" w:sz="0" w:space="0" w:color="auto"/>
        <w:left w:val="none" w:sz="0" w:space="0" w:color="auto"/>
        <w:bottom w:val="none" w:sz="0" w:space="0" w:color="auto"/>
        <w:right w:val="none" w:sz="0" w:space="0" w:color="auto"/>
      </w:divBdr>
    </w:div>
    <w:div w:id="176437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3550CD006B834B993E96DB21230AFA" ma:contentTypeVersion="4" ma:contentTypeDescription="Create a new document." ma:contentTypeScope="" ma:versionID="e35fd25b9b6574a95abc5ff4dd8571f2">
  <xsd:schema xmlns:xsd="http://www.w3.org/2001/XMLSchema" xmlns:xs="http://www.w3.org/2001/XMLSchema" xmlns:p="http://schemas.microsoft.com/office/2006/metadata/properties" xmlns:ns3="0d2b326e-9307-4a41-b5e4-046ffb53bd12" targetNamespace="http://schemas.microsoft.com/office/2006/metadata/properties" ma:root="true" ma:fieldsID="1d982cd6a57b4f8ca410b79b5a88cf1f" ns3:_="">
    <xsd:import namespace="0d2b326e-9307-4a41-b5e4-046ffb53bd1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2b326e-9307-4a41-b5e4-046ffb53bd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F3D959-116C-49D3-9F9E-646E1C6DCB32}">
  <ds:schemaRefs>
    <ds:schemaRef ds:uri="http://schemas.microsoft.com/sharepoint/v3/contenttype/forms"/>
  </ds:schemaRefs>
</ds:datastoreItem>
</file>

<file path=customXml/itemProps2.xml><?xml version="1.0" encoding="utf-8"?>
<ds:datastoreItem xmlns:ds="http://schemas.openxmlformats.org/officeDocument/2006/customXml" ds:itemID="{ED18FA83-B2BC-4D4F-B611-318FC8324357}">
  <ds:schemaRefs>
    <ds:schemaRef ds:uri="http://purl.org/dc/elements/1.1/"/>
    <ds:schemaRef ds:uri="http://schemas.openxmlformats.org/package/2006/metadata/core-properties"/>
    <ds:schemaRef ds:uri="0d2b326e-9307-4a41-b5e4-046ffb53bd12"/>
    <ds:schemaRef ds:uri="http://schemas.microsoft.com/office/2006/documentManagement/types"/>
    <ds:schemaRef ds:uri="http://www.w3.org/XML/1998/namespace"/>
    <ds:schemaRef ds:uri="http://purl.org/dc/terms/"/>
    <ds:schemaRef ds:uri="http://schemas.microsoft.com/office/2006/metadata/properties"/>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61B82469-D6B3-4709-9D7A-64265DFE1C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2b326e-9307-4a41-b5e4-046ffb53bd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14</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Newhouse</dc:creator>
  <cp:keywords/>
  <dc:description/>
  <cp:lastModifiedBy>Nathaniel Newhouse</cp:lastModifiedBy>
  <cp:revision>2</cp:revision>
  <dcterms:created xsi:type="dcterms:W3CDTF">2021-02-23T19:27:00Z</dcterms:created>
  <dcterms:modified xsi:type="dcterms:W3CDTF">2021-02-23T19:27:00Z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0x010100663550CD006B834B993E96DB21230AFA</vt:lpwstr>
  </property>
</Properties>
</file>