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C4F34" w14:textId="77777777" w:rsidR="002758AD" w:rsidRDefault="002758AD" w:rsidP="002758AD">
      <w:r>
        <w:t>For the added measures, the following analysis will be conducted:</w:t>
      </w:r>
    </w:p>
    <w:p w14:paraId="643760B8" w14:textId="77777777" w:rsidR="002758AD" w:rsidRDefault="002758AD" w:rsidP="002758AD">
      <w:r>
        <w:t xml:space="preserve">To examine the extent to which political affiliation predicts disease avoidance, we will perform a spearman’s correlation analysis. </w:t>
      </w:r>
    </w:p>
    <w:p w14:paraId="3B866316" w14:textId="77777777" w:rsidR="002758AD" w:rsidRDefault="002758AD" w:rsidP="002758AD">
      <w:r>
        <w:t>To examine the extent to which personal experience with COVID predicts disease avoidance and mate seeking, we will perform a regression analysis. For both motives, we will simultaneously enter individual covid positive ever (no = -1, yes = 1), individual covid hospitalization (no = -1, yes = 1), covid vaccine (no = -1, yes = 1), family covid positive ever (no = -1, yes = 1), family covid hospitalization (no = -1, yes = 1), and family covid death (no = -1, yes = 1) as predictors.</w:t>
      </w:r>
    </w:p>
    <w:p w14:paraId="2D942094" w14:textId="77777777" w:rsidR="002758AD" w:rsidRDefault="002758AD" w:rsidP="002758AD">
      <w:r>
        <w:t xml:space="preserve">To examine the extent to which gender identity predicts the fundamental social motives, we will perform a multiple linear regression. The averages of each fundamental social motive will be the dependent variable, with the sex (male = -1, female = 1) being the independent variable, while controlling for gender identity. With gender identity as the confounding variable, we will be able to see if sex is still a significant predictor of the fundamental social motives. </w:t>
      </w:r>
    </w:p>
    <w:p w14:paraId="26B2A296" w14:textId="77777777" w:rsidR="002758AD" w:rsidRDefault="002758AD" w:rsidP="002758AD">
      <w:r>
        <w:t xml:space="preserve"> To examine the extent to which sexual orientation predicts mate seeking, mate-retention, self-protection, disease avoidance, and kin care, we will perform a </w:t>
      </w:r>
      <w:proofErr w:type="spellStart"/>
      <w:r>
        <w:t>welch’s</w:t>
      </w:r>
      <w:proofErr w:type="spellEnd"/>
      <w:r>
        <w:t xml:space="preserve"> </w:t>
      </w:r>
      <w:proofErr w:type="spellStart"/>
      <w:r>
        <w:t>anova</w:t>
      </w:r>
      <w:proofErr w:type="spellEnd"/>
      <w:r>
        <w:t xml:space="preserve"> for each. We will also perform a </w:t>
      </w:r>
      <w:proofErr w:type="spellStart"/>
      <w:r>
        <w:t>welch’s</w:t>
      </w:r>
      <w:proofErr w:type="spellEnd"/>
      <w:r>
        <w:t xml:space="preserve"> t-test </w:t>
      </w:r>
      <w:proofErr w:type="gramStart"/>
      <w:r>
        <w:t>in order to</w:t>
      </w:r>
      <w:proofErr w:type="gramEnd"/>
      <w:r>
        <w:t xml:space="preserve"> examine if there is a difference more broadly between heterosexuality vs. nonheterosexuality as a predictor of the above fundamental social motives.</w:t>
      </w:r>
    </w:p>
    <w:p w14:paraId="2012A999" w14:textId="77777777" w:rsidR="00F4012C" w:rsidRDefault="002758AD"/>
    <w:sectPr w:rsidR="00F40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48"/>
    <w:rsid w:val="00014F48"/>
    <w:rsid w:val="002758AD"/>
    <w:rsid w:val="0072721E"/>
    <w:rsid w:val="0081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2AB5"/>
  <w15:chartTrackingRefBased/>
  <w15:docId w15:val="{1040ECEF-8E5D-4771-86C3-468B58AC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8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mady kadangit</dc:creator>
  <cp:keywords/>
  <dc:description/>
  <cp:lastModifiedBy>mady kadangit</cp:lastModifiedBy>
  <cp:revision>2</cp:revision>
  <dcterms:created xsi:type="dcterms:W3CDTF">2022-10-26T01:00:00Z</dcterms:created>
  <dcterms:modified xsi:type="dcterms:W3CDTF">2022-10-26T01:00:00Z</dcterms:modified>
</cp:coreProperties>
</file>