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1.png" ContentType="image/png"/>
  <Override PartName="/word/media/rId64.png" ContentType="image/png"/>
  <Override PartName="/word/media/rId46.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2023-01-18</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3774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FirstParagraph"/>
      </w:pPr>
      <w:r>
        <w:t xml:space="preserve">Data were collected by student groups in USA, UK, Germany, Canada, Netherlands, and Iceland who participated in the CREP project. In total, the merged data set contained data collected from 3774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956 participants did not report their age.</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total).</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r>
        <w:rPr>
          <w:bCs/>
          <w:b/>
        </w:rPr>
        <w:t xml:space="preserve">ADD LINK HERE)</w:t>
      </w:r>
      <w:r>
        <w:t xml:space="preserve">. A codebook for our merged data set with all variables collected as part of the project is available on</w:t>
      </w:r>
      <w:r>
        <w:t xml:space="preserve"> </w:t>
      </w:r>
      <w:hyperlink r:id="rId35">
        <w:r>
          <w:rPr>
            <w:rStyle w:val="Hyperlink"/>
          </w:rPr>
          <w:t xml:space="preserve">https://osf.io/7nkhq/</w:t>
        </w:r>
      </w:hyperlink>
      <w:r>
        <w:t xml:space="preserve">. This link includes number of participants, country, institution, race, gender, conditions, and any extension variables added by each team.</w:t>
      </w:r>
    </w:p>
    <w:p>
      <w:pPr>
        <w:pStyle w:val="BodyText"/>
      </w:pPr>
      <w:r>
        <w:t xml:space="preserve">To note, the original study conducted data collection in a computer lab and tested participants in small groups; therefore, we use ANOVA to explore differences between settings (online/lab, testing in-group/testing individually). We also conduct the same analyses as the original paper: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In our exploratory analyses, we test the moderating role of political orientation. We also run 2 x 2 factorial ANOVAs to determine whether political orientation (liberal/conservative) or political party (democrat/republican) interacts with the condition in its association with the composite green score.</w:t>
      </w:r>
    </w:p>
    <w:bookmarkEnd w:id="44"/>
    <w:bookmarkEnd w:id="45"/>
    <w:bookmarkStart w:id="69" w:name="results"/>
    <w:p>
      <w:pPr>
        <w:pStyle w:val="Heading2"/>
      </w:pPr>
      <w:r>
        <w:t xml:space="preserve">Results</w:t>
      </w:r>
    </w:p>
    <w:bookmarkStart w:id="53" w:name="confirmatory-analyses"/>
    <w:p>
      <w:pPr>
        <w:pStyle w:val="Heading3"/>
      </w:pPr>
      <w:r>
        <w:t xml:space="preserve">Confirmatory Analyses</w:t>
      </w:r>
    </w:p>
    <w:bookmarkStart w:id="49"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47" name="Picture"/>
            <a:graphic>
              <a:graphicData uri="http://schemas.openxmlformats.org/drawingml/2006/picture">
                <pic:pic>
                  <pic:nvPicPr>
                    <pic:cNvPr descr="fig1.png" id="48" name="Picture"/>
                    <pic:cNvPicPr>
                      <a:picLocks noChangeArrowheads="1" noChangeAspect="1"/>
                    </pic:cNvPicPr>
                  </pic:nvPicPr>
                  <pic:blipFill>
                    <a:blip r:embed="rId46"/>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9"/>
    <w:bookmarkStart w:id="50"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50"/>
    <w:bookmarkStart w:id="51"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51"/>
    <w:bookmarkStart w:id="52"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52"/>
    <w:bookmarkEnd w:id="53"/>
    <w:bookmarkStart w:id="68" w:name="exploratory-analyses"/>
    <w:p>
      <w:pPr>
        <w:pStyle w:val="Heading3"/>
      </w:pPr>
      <w:r>
        <w:t xml:space="preserve">Exploratory Analyses</w:t>
      </w:r>
    </w:p>
    <w:p>
      <w:pPr>
        <w:pStyle w:val="FirstParagraph"/>
      </w:pPr>
      <w:r>
        <w:t xml:space="preserve">Because the original study was conducted only with individuals in the United States, we conducted an exploratory test of the data to determine whether there was an association between condition and green choice for only US-based participants. For US-based participants, we found no association between condition (two levels: control and status) and green car selection (</w:t>
      </w:r>
      <m:oMath>
        <m:sSup>
          <m:e>
            <m:r>
              <m:t>χ</m:t>
            </m:r>
          </m:e>
          <m:sup>
            <m:r>
              <m:t>2</m:t>
            </m:r>
          </m:sup>
        </m:sSup>
      </m:oMath>
      <w:r>
        <w:t xml:space="preserve">(1, N = 1940)) = 2.58,</w:t>
      </w:r>
      <w:r>
        <w:t xml:space="preserve"> </w:t>
      </w:r>
      <w:r>
        <w:rPr>
          <w:iCs/>
          <w:i/>
        </w:rPr>
        <w:t xml:space="preserve">p</w:t>
      </w:r>
      <w:r>
        <w:t xml:space="preserve"> </w:t>
      </w:r>
      <w:r>
        <w:t xml:space="preserve">= 0.11,</w:t>
      </w:r>
      <w:r>
        <w:t xml:space="preserve"> </w:t>
      </w:r>
      <m:oMath>
        <m:r>
          <m:t>ϕ</m:t>
        </m:r>
      </m:oMath>
      <w:r>
        <w:t xml:space="preserve"> </w:t>
      </w:r>
      <w:r>
        <w:t xml:space="preserve">= 0.04), green cleaner selection (</w:t>
      </w:r>
      <m:oMath>
        <m:sSup>
          <m:e>
            <m:r>
              <m:t>χ</m:t>
            </m:r>
          </m:e>
          <m:sup>
            <m:r>
              <m:t>2</m:t>
            </m:r>
          </m:sup>
        </m:sSup>
      </m:oMath>
      <w:r>
        <w:t xml:space="preserve">(1, N = 1939)) = 1.02,</w:t>
      </w:r>
      <w:r>
        <w:t xml:space="preserve"> </w:t>
      </w:r>
      <w:r>
        <w:rPr>
          <w:iCs/>
          <w:i/>
        </w:rPr>
        <w:t xml:space="preserve">p</w:t>
      </w:r>
      <w:r>
        <w:t xml:space="preserve"> </w:t>
      </w:r>
      <w:r>
        <w:t xml:space="preserve">= 0.31,</w:t>
      </w:r>
      <w:r>
        <w:t xml:space="preserve"> </w:t>
      </w:r>
      <m:oMath>
        <m:r>
          <m:t>ϕ</m:t>
        </m:r>
      </m:oMath>
      <w:r>
        <w:t xml:space="preserve"> </w:t>
      </w:r>
      <w:r>
        <w:t xml:space="preserve">= 0.02), or green dishwasher (</w:t>
      </w:r>
      <m:oMath>
        <m:sSup>
          <m:e>
            <m:r>
              <m:t>χ</m:t>
            </m:r>
          </m:e>
          <m:sup>
            <m:r>
              <m:t>2</m:t>
            </m:r>
          </m:sup>
        </m:sSup>
      </m:oMath>
      <w:r>
        <w:t xml:space="preserve">(1, N = 1943)) = 0.01,</w:t>
      </w:r>
      <w:r>
        <w:t xml:space="preserve"> </w:t>
      </w:r>
      <w:r>
        <w:rPr>
          <w:iCs/>
          <w:i/>
        </w:rPr>
        <w:t xml:space="preserve">p</w:t>
      </w:r>
      <w:r>
        <w:t xml:space="preserve"> </w:t>
      </w:r>
      <w:r>
        <w:t xml:space="preserve">= 0.92,</w:t>
      </w:r>
      <w:r>
        <w:t xml:space="preserve"> </w:t>
      </w:r>
      <m:oMath>
        <m:r>
          <m:t>ϕ</m:t>
        </m:r>
      </m:oMath>
      <w:r>
        <w:t xml:space="preserve"> </w:t>
      </w:r>
      <w:r>
        <w:t xml:space="preserve">= 0) selection.</w:t>
      </w:r>
    </w:p>
    <w:p>
      <w:pPr>
        <w:pStyle w:val="BodyText"/>
      </w:pPr>
      <w:r>
        <w:t xml:space="preserve">To see if there was an effect that differed across time, we examined effects across projects from different years, as determined by their project codes assigned at the time they signed up for the study (e.g. project #14-3 was initiated in 2014). For each project year, we examined whether we could detect any differences in composite green scores across conditions (control and status). As demonstrated by Figure 2, there doesn’t appear to be any meaningful change in effect size over time, such that an effect could be detected at an early point in time but not later or vice versa.</w:t>
      </w:r>
    </w:p>
    <w:p>
      <w:pPr>
        <w:pStyle w:val="CaptionedFigure"/>
      </w:pPr>
      <w:r>
        <w:drawing>
          <wp:inline>
            <wp:extent cx="5334000" cy="5334000"/>
            <wp:effectExtent b="0" l="0" r="0" t="0"/>
            <wp:docPr descr="Figure 2. Forest plot caption stuff" title="" id="55" name="Picture"/>
            <a:graphic>
              <a:graphicData uri="http://schemas.openxmlformats.org/drawingml/2006/picture">
                <pic:pic>
                  <pic:nvPicPr>
                    <pic:cNvPr descr="forestplot.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Forest plot caption stuff</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7"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rPr>
          <w:bCs/>
          <w:b/>
        </w:rPr>
        <w:t xml:space="preserve">NOTE</w:t>
      </w:r>
      <w:r>
        <w:t xml:space="preserve"> </w:t>
      </w:r>
      <w:r>
        <w:t xml:space="preserve">from Michał re: grouping control conditions: but still I would report whether there was a difference between no story and control; I suggest reporting at least p-values and effect sizes</w:t>
      </w:r>
    </w:p>
    <w:bookmarkEnd w:id="57"/>
    <w:bookmarkStart w:id="67"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p>
      <w:pPr>
        <w:pStyle w:val="BodyText"/>
      </w:pPr>
      <w:r>
        <w:t xml:space="preserve">Importantly, we did not have adequate power to detect any interaction effects. Using the Superpower package in r, we determined that we would need at least 418 participants</w:t>
      </w:r>
      <w:r>
        <w:t xml:space="preserve"> </w:t>
      </w:r>
      <w:r>
        <w:rPr>
          <w:iCs/>
          <w:i/>
        </w:rPr>
        <w:t xml:space="preserve">per cell</w:t>
      </w:r>
      <w:r>
        <w:t xml:space="preserve"> </w:t>
      </w:r>
      <w:r>
        <w:t xml:space="preserve">to detect an interaction effect between political party and condition. In our four cells created by the two variables political party (Republican or Democrat) and condition (status or control), our cell sizes were 209, 113, 123, and 69.</w:t>
      </w:r>
    </w:p>
    <w:p>
      <w:pPr>
        <w:pStyle w:val="SourceCode"/>
      </w:pPr>
      <w:r>
        <w:rPr>
          <w:rStyle w:val="CommentTok"/>
        </w:rPr>
        <w:t xml:space="preserve"># power analysis with Superpower</w:t>
      </w:r>
      <w:r>
        <w:br/>
      </w:r>
      <w:r>
        <w:rPr>
          <w:rStyle w:val="NormalTok"/>
        </w:rPr>
        <w:t xml:space="preserve">design  </w:t>
      </w:r>
      <w:r>
        <w:rPr>
          <w:rStyle w:val="OtherTok"/>
        </w:rPr>
        <w:t xml:space="preserve">&lt;-</w:t>
      </w:r>
      <w:r>
        <w:rPr>
          <w:rStyle w:val="NormalTok"/>
        </w:rPr>
        <w:t xml:space="preserve">  </w:t>
      </w:r>
      <w:r>
        <w:rPr>
          <w:rStyle w:val="FunctionTok"/>
        </w:rPr>
        <w:t xml:space="preserve">ANOVA_design</w:t>
      </w:r>
      <w:r>
        <w:rPr>
          <w:rStyle w:val="NormalTok"/>
        </w:rPr>
        <w:t xml:space="preserve">(</w:t>
      </w:r>
      <w:r>
        <w:br/>
      </w:r>
      <w:r>
        <w:rPr>
          <w:rStyle w:val="NormalTok"/>
        </w:rPr>
        <w:t xml:space="preserve">  </w:t>
      </w:r>
      <w:r>
        <w:rPr>
          <w:rStyle w:val="AttributeTok"/>
        </w:rPr>
        <w:t xml:space="preserve">design =</w:t>
      </w:r>
      <w:r>
        <w:rPr>
          <w:rStyle w:val="NormalTok"/>
        </w:rPr>
        <w:t xml:space="preserve"> </w:t>
      </w:r>
      <w:r>
        <w:rPr>
          <w:rStyle w:val="StringTok"/>
        </w:rPr>
        <w:t xml:space="preserve">"2b*2b"</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round</w:t>
      </w:r>
      <w:r>
        <w:rPr>
          <w:rStyle w:val="NormalTok"/>
        </w:rPr>
        <w:t xml:space="preserve">(</w:t>
      </w:r>
      <w:r>
        <w:rPr>
          <w:rStyle w:val="DecValTok"/>
        </w:rPr>
        <w:t xml:space="preserve">739</w:t>
      </w:r>
      <w:r>
        <w:rPr>
          <w:rStyle w:val="SpecialChar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CommentTok"/>
        </w:rPr>
        <w:t xml:space="preserve"># our cell size assuming we had EQUAL cell sizes - a very non-conservative approach (because we had between 81 and 322 participants per cell with the total sample of 739)</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w:t>
      </w:r>
      <w:r>
        <w:rPr>
          <w:rStyle w:val="FloatTok"/>
        </w:rPr>
        <w:t xml:space="preserve">1.90</w:t>
      </w:r>
      <w:r>
        <w:rPr>
          <w:rStyle w:val="NormalTok"/>
        </w:rPr>
        <w:t xml:space="preserve">, </w:t>
      </w:r>
      <w:r>
        <w:rPr>
          <w:rStyle w:val="FloatTok"/>
        </w:rPr>
        <w:t xml:space="preserve">1.38</w:t>
      </w:r>
      <w:r>
        <w:rPr>
          <w:rStyle w:val="NormalTok"/>
        </w:rPr>
        <w:t xml:space="preserve">, </w:t>
      </w:r>
      <w:r>
        <w:rPr>
          <w:rStyle w:val="FloatTok"/>
        </w:rPr>
        <w:t xml:space="preserve">1.95</w:t>
      </w:r>
      <w:r>
        <w:rPr>
          <w:rStyle w:val="NormalTok"/>
        </w:rPr>
        <w:t xml:space="preserve">, </w:t>
      </w:r>
      <w:r>
        <w:rPr>
          <w:rStyle w:val="FloatTok"/>
        </w:rPr>
        <w:t xml:space="preserve">1.15</w:t>
      </w:r>
      <w:r>
        <w:rPr>
          <w:rStyle w:val="NormalTok"/>
        </w:rPr>
        <w:t xml:space="preserve">), </w:t>
      </w:r>
      <w:r>
        <w:rPr>
          <w:rStyle w:val="CommentTok"/>
        </w:rPr>
        <w:t xml:space="preserve"># means for each cell (condition x political orientation)</w:t>
      </w:r>
      <w:r>
        <w:br/>
      </w:r>
      <w:r>
        <w:rPr>
          <w:rStyle w:val="NormalTok"/>
        </w:rPr>
        <w:t xml:space="preserve">  </w:t>
      </w:r>
      <w:r>
        <w:rPr>
          <w:rStyle w:val="AttributeTok"/>
        </w:rPr>
        <w:t xml:space="preserve">sd =</w:t>
      </w:r>
      <w:r>
        <w:rPr>
          <w:rStyle w:val="NormalTok"/>
        </w:rPr>
        <w:t xml:space="preserve"> </w:t>
      </w:r>
      <w:r>
        <w:rPr>
          <w:rStyle w:val="FloatTok"/>
        </w:rPr>
        <w:t xml:space="preserve">1.02</w:t>
      </w:r>
      <w:r>
        <w:rPr>
          <w:rStyle w:val="NormalTok"/>
        </w:rPr>
        <w:t xml:space="preserve">) </w:t>
      </w:r>
    </w:p>
    <w:p>
      <w:pPr>
        <w:pStyle w:val="FirstParagraph"/>
      </w:pPr>
      <w:r>
        <w:drawing>
          <wp:inline>
            <wp:extent cx="5334000" cy="4267200"/>
            <wp:effectExtent b="0" l="0" r="0" t="0"/>
            <wp:docPr descr="" title="" id="59" name="Picture"/>
            <a:graphic>
              <a:graphicData uri="http://schemas.openxmlformats.org/drawingml/2006/picture">
                <pic:pic>
                  <pic:nvPicPr>
                    <pic:cNvPr descr="crep_griskevicius_files/figure-docx/unnamed-chunk-16-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ANOVA_exact</w:t>
      </w:r>
      <w:r>
        <w:rPr>
          <w:rStyle w:val="NormalTok"/>
        </w:rPr>
        <w:t xml:space="preserve">(design, </w:t>
      </w:r>
      <w:r>
        <w:rPr>
          <w:rStyle w:val="AttributeTok"/>
        </w:rPr>
        <w:t xml:space="preserve">alpha_level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a    22.4002              0.0020  0.0442         1.4403</w:t>
      </w:r>
      <w:r>
        <w:br/>
      </w:r>
      <w:r>
        <w:rPr>
          <w:rStyle w:val="VerbatimChar"/>
        </w:rPr>
        <w:t xml:space="preserve">## b   100.0000              0.0952  0.3244        77.4567</w:t>
      </w:r>
      <w:r>
        <w:br/>
      </w:r>
      <w:r>
        <w:rPr>
          <w:rStyle w:val="VerbatimChar"/>
        </w:rPr>
        <w:t xml:space="preserve">## a:b  46.2012              0.0047  0.0688         3.4852</w:t>
      </w:r>
      <w:r>
        <w:br/>
      </w:r>
      <w:r>
        <w:rPr>
          <w:rStyle w:val="VerbatimChar"/>
        </w:rPr>
        <w:t xml:space="preserve">## </w:t>
      </w:r>
      <w:r>
        <w:br/>
      </w:r>
      <w:r>
        <w:rPr>
          <w:rStyle w:val="VerbatimChar"/>
        </w:rPr>
        <w:t xml:space="preserve">## Power and Effect sizes for pairwise comparisons (t-tests)</w:t>
      </w:r>
      <w:r>
        <w:br/>
      </w:r>
      <w:r>
        <w:rPr>
          <w:rStyle w:val="VerbatimChar"/>
        </w:rPr>
        <w:t xml:space="preserve">##                        power effect_size</w:t>
      </w:r>
      <w:r>
        <w:br/>
      </w:r>
      <w:r>
        <w:rPr>
          <w:rStyle w:val="VerbatimChar"/>
        </w:rPr>
        <w:t xml:space="preserve">## p_a_a1_b_b1_a_a1_b_b2  99.83       -0.51</w:t>
      </w:r>
      <w:r>
        <w:br/>
      </w:r>
      <w:r>
        <w:rPr>
          <w:rStyle w:val="VerbatimChar"/>
        </w:rPr>
        <w:t xml:space="preserve">## p_a_a1_b_b1_a_a2_b_b1   7.57        0.05</w:t>
      </w:r>
      <w:r>
        <w:br/>
      </w:r>
      <w:r>
        <w:rPr>
          <w:rStyle w:val="VerbatimChar"/>
        </w:rPr>
        <w:t xml:space="preserve">## p_a_a1_b_b1_a_a2_b_b2 100.00       -0.74</w:t>
      </w:r>
      <w:r>
        <w:br/>
      </w:r>
      <w:r>
        <w:rPr>
          <w:rStyle w:val="VerbatimChar"/>
        </w:rPr>
        <w:t xml:space="preserve">## p_a_a1_b_b2_a_a2_b_b1  99.97        0.56</w:t>
      </w:r>
      <w:r>
        <w:br/>
      </w:r>
      <w:r>
        <w:rPr>
          <w:rStyle w:val="VerbatimChar"/>
        </w:rPr>
        <w:t xml:space="preserve">## p_a_a1_b_b2_a_a2_b_b2  58.05       -0.23</w:t>
      </w:r>
      <w:r>
        <w:br/>
      </w:r>
      <w:r>
        <w:rPr>
          <w:rStyle w:val="VerbatimChar"/>
        </w:rPr>
        <w:t xml:space="preserve">## p_a_a2_b_b1_a_a2_b_b2 100.00       -0.78</w:t>
      </w:r>
    </w:p>
    <w:p>
      <w:pPr>
        <w:pStyle w:val="SourceCode"/>
      </w:pPr>
      <w:r>
        <w:rPr>
          <w:rStyle w:val="VerbatimChar"/>
        </w:rPr>
        <w:t xml:space="preserve">## Power and Effect sizes for ANOVA tests</w:t>
      </w:r>
      <w:r>
        <w:br/>
      </w:r>
      <w:r>
        <w:rPr>
          <w:rStyle w:val="VerbatimChar"/>
        </w:rPr>
        <w:t xml:space="preserve">##        power partial_eta_squared cohen_f non_centrality</w:t>
      </w:r>
      <w:r>
        <w:br/>
      </w:r>
      <w:r>
        <w:rPr>
          <w:rStyle w:val="VerbatimChar"/>
        </w:rPr>
        <w:t xml:space="preserve">## a    22.4002              0.0020  0.0442         1.4403</w:t>
      </w:r>
      <w:r>
        <w:br/>
      </w:r>
      <w:r>
        <w:rPr>
          <w:rStyle w:val="VerbatimChar"/>
        </w:rPr>
        <w:t xml:space="preserve">## b   100.0000              0.0952  0.3244        77.4567</w:t>
      </w:r>
      <w:r>
        <w:br/>
      </w:r>
      <w:r>
        <w:rPr>
          <w:rStyle w:val="VerbatimChar"/>
        </w:rPr>
        <w:t xml:space="preserve">## a:b  46.2012              0.0047  0.0688         3.4852</w:t>
      </w:r>
      <w:r>
        <w:br/>
      </w:r>
      <w:r>
        <w:rPr>
          <w:rStyle w:val="VerbatimChar"/>
        </w:rPr>
        <w:t xml:space="preserve">## </w:t>
      </w:r>
      <w:r>
        <w:br/>
      </w:r>
      <w:r>
        <w:rPr>
          <w:rStyle w:val="VerbatimChar"/>
        </w:rPr>
        <w:t xml:space="preserve">## Power and Effect sizes for pairwise comparisons (t-tests)</w:t>
      </w:r>
      <w:r>
        <w:br/>
      </w:r>
      <w:r>
        <w:rPr>
          <w:rStyle w:val="VerbatimChar"/>
        </w:rPr>
        <w:t xml:space="preserve">##                        power effect_size</w:t>
      </w:r>
      <w:r>
        <w:br/>
      </w:r>
      <w:r>
        <w:rPr>
          <w:rStyle w:val="VerbatimChar"/>
        </w:rPr>
        <w:t xml:space="preserve">## p_a_a1_b_b1_a_a1_b_b2  99.83       -0.51</w:t>
      </w:r>
      <w:r>
        <w:br/>
      </w:r>
      <w:r>
        <w:rPr>
          <w:rStyle w:val="VerbatimChar"/>
        </w:rPr>
        <w:t xml:space="preserve">## p_a_a1_b_b1_a_a2_b_b1   7.57        0.05</w:t>
      </w:r>
      <w:r>
        <w:br/>
      </w:r>
      <w:r>
        <w:rPr>
          <w:rStyle w:val="VerbatimChar"/>
        </w:rPr>
        <w:t xml:space="preserve">## p_a_a1_b_b1_a_a2_b_b2 100.00       -0.74</w:t>
      </w:r>
      <w:r>
        <w:br/>
      </w:r>
      <w:r>
        <w:rPr>
          <w:rStyle w:val="VerbatimChar"/>
        </w:rPr>
        <w:t xml:space="preserve">## p_a_a1_b_b2_a_a2_b_b1  99.97        0.56</w:t>
      </w:r>
      <w:r>
        <w:br/>
      </w:r>
      <w:r>
        <w:rPr>
          <w:rStyle w:val="VerbatimChar"/>
        </w:rPr>
        <w:t xml:space="preserve">## p_a_a1_b_b2_a_a2_b_b2  58.05       -0.23</w:t>
      </w:r>
      <w:r>
        <w:br/>
      </w:r>
      <w:r>
        <w:rPr>
          <w:rStyle w:val="VerbatimChar"/>
        </w:rPr>
        <w:t xml:space="preserve">## p_a_a2_b_b1_a_a2_b_b2 100.00       -0.78</w:t>
      </w:r>
    </w:p>
    <w:p>
      <w:pPr>
        <w:pStyle w:val="SourceCode"/>
      </w:pPr>
      <w:r>
        <w:rPr>
          <w:rStyle w:val="CommentTok"/>
        </w:rPr>
        <w:t xml:space="preserve"># plot power simulation</w:t>
      </w:r>
      <w:r>
        <w:br/>
      </w:r>
      <w:r>
        <w:rPr>
          <w:rStyle w:val="FunctionTok"/>
        </w:rPr>
        <w:t xml:space="preserve">plot_power</w:t>
      </w:r>
      <w:r>
        <w:rPr>
          <w:rStyle w:val="NormalTok"/>
        </w:rPr>
        <w:t xml:space="preserve">(design,</w:t>
      </w:r>
      <w:r>
        <w:br/>
      </w:r>
      <w:r>
        <w:rPr>
          <w:rStyle w:val="NormalTok"/>
        </w:rPr>
        <w:t xml:space="preserve">           </w:t>
      </w:r>
      <w:r>
        <w:rPr>
          <w:rStyle w:val="AttributeTok"/>
        </w:rPr>
        <w:t xml:space="preserve">alpha_level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desired_power =</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max_n =</w:t>
      </w:r>
      <w:r>
        <w:rPr>
          <w:rStyle w:val="NormalTok"/>
        </w:rPr>
        <w:t xml:space="preserve"> </w:t>
      </w:r>
      <w:r>
        <w:rPr>
          <w:rStyle w:val="DecValTok"/>
        </w:rPr>
        <w:t xml:space="preserve">500</w:t>
      </w:r>
      <w:r>
        <w:rPr>
          <w:rStyle w:val="NormalTok"/>
        </w:rPr>
        <w:t xml:space="preserve">)</w:t>
      </w:r>
      <w:r>
        <w:rPr>
          <w:rStyle w:val="SpecialCharTok"/>
        </w:rPr>
        <w:t xml:space="preserve">$</w:t>
      </w:r>
      <w:r>
        <w:rPr>
          <w:rStyle w:val="NormalTok"/>
        </w:rPr>
        <w:t xml:space="preserve">plot_ANOVA</w:t>
      </w:r>
    </w:p>
    <w:p>
      <w:pPr>
        <w:pStyle w:val="FirstParagraph"/>
      </w:pPr>
      <w:r>
        <w:drawing>
          <wp:inline>
            <wp:extent cx="5334000" cy="4267200"/>
            <wp:effectExtent b="0" l="0" r="0" t="0"/>
            <wp:docPr descr="" title="" id="62" name="Picture"/>
            <a:graphic>
              <a:graphicData uri="http://schemas.openxmlformats.org/drawingml/2006/picture">
                <pic:pic>
                  <pic:nvPicPr>
                    <pic:cNvPr descr="crep_griskevicius_files/figure-docx/unnamed-chunk-16-2.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Achieved Power and Sample Size for ANOVA-level effects</w:t>
      </w:r>
      <w:r>
        <w:br/>
      </w:r>
      <w:r>
        <w:rPr>
          <w:rStyle w:val="VerbatimChar"/>
        </w:rPr>
        <w:t xml:space="preserve">##   variable                     label   n achieved_power desired_power</w:t>
      </w:r>
      <w:r>
        <w:br/>
      </w:r>
      <w:r>
        <w:rPr>
          <w:rStyle w:val="VerbatimChar"/>
        </w:rPr>
        <w:t xml:space="preserve">## 1        a Desired Power Not Reached 500          50.49            80</w:t>
      </w:r>
      <w:r>
        <w:br/>
      </w:r>
      <w:r>
        <w:rPr>
          <w:rStyle w:val="VerbatimChar"/>
        </w:rPr>
        <w:t xml:space="preserve">## 2        b    Desired Power Achieved 100         100.00            80</w:t>
      </w:r>
      <w:r>
        <w:br/>
      </w:r>
      <w:r>
        <w:rPr>
          <w:rStyle w:val="VerbatimChar"/>
        </w:rPr>
        <w:t xml:space="preserve">## 3      a:b    Desired Power Achieved 418          80.08            80</w:t>
      </w:r>
    </w:p>
    <w:p>
      <w:pPr>
        <w:pStyle w:val="FirstParagraph"/>
      </w:pPr>
      <w:r>
        <w:drawing>
          <wp:inline>
            <wp:extent cx="5334000" cy="4267200"/>
            <wp:effectExtent b="0" l="0" r="0" t="0"/>
            <wp:docPr descr="" title="" id="65" name="Picture"/>
            <a:graphic>
              <a:graphicData uri="http://schemas.openxmlformats.org/drawingml/2006/picture">
                <pic:pic>
                  <pic:nvPicPr>
                    <pic:cNvPr descr="crep_griskevicius_files/figure-docx/unnamed-chunk-16-3.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418 participants per cell needed for .80 power to detect this interaction, assuming conventional alpha levels of .05</w:t>
      </w:r>
    </w:p>
    <w:bookmarkEnd w:id="67"/>
    <w:bookmarkEnd w:id="68"/>
    <w:bookmarkEnd w:id="69"/>
    <w:bookmarkStart w:id="70"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p>
    <w:p>
      <w:pPr>
        <w:pStyle w:val="BodyText"/>
      </w:pPr>
      <w:r>
        <w:t xml:space="preserve">Discuss that only some moderators had sufficient number of data collected to be analyzed</w:t>
      </w:r>
    </w:p>
    <w:p>
      <w:pPr>
        <w:pStyle w:val="BodyText"/>
      </w:pPr>
      <w:r>
        <w:t xml:space="preserve">Discuss differences -online and lab</w:t>
      </w:r>
    </w:p>
    <w:p>
      <w:pPr>
        <w:pStyle w:val="BodyText"/>
      </w:pPr>
      <w:r>
        <w:t xml:space="preserve">2 vs 3 conditions</w:t>
      </w:r>
    </w:p>
    <w:p>
      <w:pPr>
        <w:pStyle w:val="BodyText"/>
      </w:pPr>
      <w:r>
        <w:t xml:space="preserve">What else? - effect over time, US versus rest</w:t>
      </w:r>
    </w:p>
    <w:bookmarkEnd w:id="70"/>
    <w:bookmarkStart w:id="84"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71">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72">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73">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74">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75">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76">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77">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78">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9">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80">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81">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82">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83">
        <w:r>
          <w:rPr>
            <w:rStyle w:val="Hyperlink"/>
          </w:rPr>
          <w:t xml:space="preserve">https://doi.org/10.1177/14757257221101942</w:t>
        </w:r>
      </w:hyperlink>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hyperlink" Id="rId80" Target="http://www.rstudio.com/" TargetMode="External" /><Relationship Type="http://schemas.openxmlformats.org/officeDocument/2006/relationships/hyperlink" Id="rId74" Target="https://doi.org/10.1037/a0017346" TargetMode="External" /><Relationship Type="http://schemas.openxmlformats.org/officeDocument/2006/relationships/hyperlink" Id="rId76" Target="https://doi.org/10.1177/1474704918802412" TargetMode="External" /><Relationship Type="http://schemas.openxmlformats.org/officeDocument/2006/relationships/hyperlink" Id="rId83" Target="https://doi.org/10.1177/14757257221101942" TargetMode="External" /><Relationship Type="http://schemas.openxmlformats.org/officeDocument/2006/relationships/hyperlink" Id="rId73" Target="https://doi.org/10.1177/1745691612459057" TargetMode="External" /><Relationship Type="http://schemas.openxmlformats.org/officeDocument/2006/relationships/hyperlink" Id="rId71" Target="https://doi.org/10.1177/1745691612460686" TargetMode="External" /><Relationship Type="http://schemas.openxmlformats.org/officeDocument/2006/relationships/hyperlink" Id="rId72" Target="https://doi.org/10.1177/2515245919881152" TargetMode="External" /><Relationship Type="http://schemas.openxmlformats.org/officeDocument/2006/relationships/hyperlink" Id="rId78" Target="https://doi.org/10.1207/S15328023TOP260303" TargetMode="External" /><Relationship Type="http://schemas.openxmlformats.org/officeDocument/2006/relationships/hyperlink" Id="rId75" Target="https://doi.org/10.1371/journal.pbio.1002456" TargetMode="External" /><Relationship Type="http://schemas.openxmlformats.org/officeDocument/2006/relationships/hyperlink" Id="rId81" Target="https://doi.org/10.1525/collabra.177" TargetMode="External" /><Relationship Type="http://schemas.openxmlformats.org/officeDocument/2006/relationships/hyperlink" Id="rId77" Target="https://doi.org/10.24839/2325-7342.JN23.2.98" TargetMode="External" /><Relationship Type="http://schemas.openxmlformats.org/officeDocument/2006/relationships/hyperlink" Id="rId82"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79"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80" Target="http://www.rstudio.com/" TargetMode="External" /><Relationship Type="http://schemas.openxmlformats.org/officeDocument/2006/relationships/hyperlink" Id="rId74" Target="https://doi.org/10.1037/a0017346" TargetMode="External" /><Relationship Type="http://schemas.openxmlformats.org/officeDocument/2006/relationships/hyperlink" Id="rId76" Target="https://doi.org/10.1177/1474704918802412" TargetMode="External" /><Relationship Type="http://schemas.openxmlformats.org/officeDocument/2006/relationships/hyperlink" Id="rId83" Target="https://doi.org/10.1177/14757257221101942" TargetMode="External" /><Relationship Type="http://schemas.openxmlformats.org/officeDocument/2006/relationships/hyperlink" Id="rId73" Target="https://doi.org/10.1177/1745691612459057" TargetMode="External" /><Relationship Type="http://schemas.openxmlformats.org/officeDocument/2006/relationships/hyperlink" Id="rId71" Target="https://doi.org/10.1177/1745691612460686" TargetMode="External" /><Relationship Type="http://schemas.openxmlformats.org/officeDocument/2006/relationships/hyperlink" Id="rId72" Target="https://doi.org/10.1177/2515245919881152" TargetMode="External" /><Relationship Type="http://schemas.openxmlformats.org/officeDocument/2006/relationships/hyperlink" Id="rId78" Target="https://doi.org/10.1207/S15328023TOP260303" TargetMode="External" /><Relationship Type="http://schemas.openxmlformats.org/officeDocument/2006/relationships/hyperlink" Id="rId75" Target="https://doi.org/10.1371/journal.pbio.1002456" TargetMode="External" /><Relationship Type="http://schemas.openxmlformats.org/officeDocument/2006/relationships/hyperlink" Id="rId81" Target="https://doi.org/10.1525/collabra.177" TargetMode="External" /><Relationship Type="http://schemas.openxmlformats.org/officeDocument/2006/relationships/hyperlink" Id="rId77" Target="https://doi.org/10.24839/2325-7342.JN23.2.98" TargetMode="External" /><Relationship Type="http://schemas.openxmlformats.org/officeDocument/2006/relationships/hyperlink" Id="rId82"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79"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2023-01-19T02:57:38Z</dcterms:created>
  <dcterms:modified xsi:type="dcterms:W3CDTF">2023-01-19T02:57:38Z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2023-01-18</vt:lpwstr>
  </property>
  <property fmtid="{D5CDD505-2E9C-101B-9397-08002B2CF9AE}" pid="3" name="output">
    <vt:lpwstr/>
  </property>
</Properties>
</file>