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w:t>
      </w:r>
      <w:r>
        <w:t xml:space="preserve"> </w:t>
      </w:r>
      <w:r>
        <w:t xml:space="preserve">(2010):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2023-01-16</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(all ethics approvals can be found on the project pages from the individual sites:</w:t>
      </w:r>
      <w:r>
        <w:t xml:space="preserve"> </w:t>
      </w:r>
      <w:hyperlink r:id="rId21">
        <w:r>
          <w:rPr>
            <w:rStyle w:val="Hyperlink"/>
          </w:rPr>
          <w:t xml:space="preserve">https://osf.io/4bfwu/</w:t>
        </w:r>
      </w:hyperlink>
      <w:r>
        <w:t xml:space="preserve">).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bookmarkStart w:id="23" w:name="introduction"/>
    <w:p>
      <w:pPr>
        <w:pStyle w:val="Heading2"/>
      </w:pPr>
      <w:r>
        <w:t xml:space="preserve">Introduction</w:t>
      </w:r>
    </w:p>
    <w:p>
      <w:pPr>
        <w:pStyle w:val="FirstParagraph"/>
      </w:pPr>
      <w:r>
        <w:t xml:space="preserve">The Collaborative Replications and Education Project (Wagge et al., 2019b), or CREP, is one of several initiatives that seeks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closely matching the work of scholars in the field. Second, students get to participate in authentic research (Grahe, CITE)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Several CREP studies have been published (e.g., Ghelfi et al., 2020; Leighton et al., 2018; Wagge et al., 2019a) and others have been included in meta-analyses (Lehman et al., 2018).</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2"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give an answer to this question and reported the results of three experiments suggesting that status competition can be used to promote pro-environmental behavior. Namely, the authors of the original study showed that activating status motives incites people to choose green products over more luxurious non-green products. In other words, Griskevicius and his associates claimed that green purchases are motivated by competitive altruism, that is the notion that people are trying to appear more altruistic when competing for status. Showing publicly pro-environmental behavior suggests people care, these altruistic tendencies are positively valued by others and it gives people prestige and status. These authors claimed that people are even more motivated to shop for green products when they are costly, and not when these products are cheaper than luxurious products. To conclude, the original study suggested that status competition can promote pro-environmental behavior.</w:t>
      </w:r>
    </w:p>
    <w:p>
      <w:pPr>
        <w:pStyle w:val="BodyText"/>
      </w:pPr>
      <w:r>
        <w:t xml:space="preserve">In CREP, the first experiment from the Griskevicius et al (2010) study was selected. Experiment 1 investigated how activating a motive for status influenced respondents to choose between relatively luxurious non-green and less-luxurious pro-environmental products. Importantly, the prices of both groups of products were equal. The experiment included three conditions, i.e., condition activating status motives and two control motive conditions. Non-green products were selected so they are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elicited</w:t>
      </w:r>
      <w:r>
        <w:t xml:space="preserve"> </w:t>
      </w:r>
      <w:r>
        <w:t xml:space="preserve">“</w:t>
      </w:r>
      <w:r>
        <w:t xml:space="preserve">a desire for social status</w:t>
      </w:r>
      <w:r>
        <w:t xml:space="preserve">”</w:t>
      </w:r>
      <w:r>
        <w:t xml:space="preserve">, and it was predicted that it will increase the likelihood of choosing prosocial, green products. In the first control condition, participants read a story that elicited similar levels of affect but did not elicit status motives. It was predicted that participants will select non-green products more frequently in the control motive condition. The second control condition did not include a cover story, and participants simply selected among products. In the original paper, using a one-way analysis of variance (ANOVA) on the product composite found a large effect of status prime (d=0.47). To summarize, the first experiment of Griskevicius et al (2010) suggested that activating status motives inclines people towards choosing pro-environmental products over more luxurious nongreen products that might signal prosocial, self-sacrificing behavior.</w:t>
      </w:r>
    </w:p>
    <w:bookmarkEnd w:id="22"/>
    <w:bookmarkEnd w:id="23"/>
    <w:bookmarkStart w:id="45" w:name="method"/>
    <w:p>
      <w:pPr>
        <w:pStyle w:val="Heading2"/>
      </w:pPr>
      <w:r>
        <w:t xml:space="preserve">Method</w:t>
      </w:r>
    </w:p>
    <w:bookmarkStart w:id="26" w:name="crep-procedures"/>
    <w:p>
      <w:pPr>
        <w:pStyle w:val="Heading3"/>
      </w:pPr>
      <w:r>
        <w:t xml:space="preserve">CREP Procedures</w:t>
      </w:r>
    </w:p>
    <w:p>
      <w:pPr>
        <w:pStyle w:val="FirstParagraph"/>
      </w:pPr>
      <w:r>
        <w:t xml:space="preserve">This study was selected for replication using the process outlined in Wagge and colleagues (2019). Briefly, in 2014, CREP volunteers located citations for the most-cited 2010 papers from the flagship empirical journals in psychology and its subdisciplines. In this way, CREP was able to narrow down the pool for selection while also guaranteeing that the paper we selected was both recent and high-interest. The goal was not to find the</w:t>
      </w:r>
      <w:r>
        <w:t xml:space="preserve"> </w:t>
      </w:r>
      <w:r>
        <w:rPr>
          <w:bCs/>
          <w:b/>
        </w:rPr>
        <w:t xml:space="preserve">best</w:t>
      </w:r>
      <w:r>
        <w:t xml:space="preserve"> </w:t>
      </w:r>
      <w:r>
        <w:t xml:space="preserve">paper for replication in terms of the field’s specific needs, but rather to find a set of recent, high-interest papers, that is,</w:t>
      </w:r>
      <w:r>
        <w:t xml:space="preserve"> </w:t>
      </w:r>
      <w:r>
        <w:rPr>
          <w:bCs/>
          <w:b/>
        </w:rPr>
        <w:t xml:space="preserve">good</w:t>
      </w:r>
      <w:r>
        <w:t xml:space="preserve"> </w:t>
      </w:r>
      <w:r>
        <w:t xml:space="preserve">candidates for replication. Once the pool of citations had been gathered, CREP coders read the Method section for each paper and indicated whether it was feasible for student teams to replicate in a semester on a scale of 1 (low) -5 (high) and also whether they thought it would be interesting to students, again, on a scale of 1 (low) -5(high). The feasibility ratings were used to narrow down a final pool, while the interest ratings were used in the final decision-making process if all other factors weighted equally. Documentation of the coding process can be found here:</w:t>
      </w:r>
      <w:r>
        <w:t xml:space="preserve"> </w:t>
      </w:r>
      <w:hyperlink r:id="rId24">
        <w:r>
          <w:rPr>
            <w:rStyle w:val="Hyperlink"/>
          </w:rPr>
          <w:t xml:space="preserve">https://osf.io/9kzje/wiki/home/</w:t>
        </w:r>
      </w:hyperlink>
      <w:r>
        <w:t xml:space="preserve">. 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2014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5">
        <w:r>
          <w:rPr>
            <w:rStyle w:val="Hyperlink"/>
          </w:rPr>
          <w:t xml:space="preserve">https://osf.io/vdo0i/wiki/home/</w:t>
        </w:r>
      </w:hyperlink>
      <w:r>
        <w:t xml:space="preserve">. Two key points from this correspondence will be discussed in the context of our results in this paper.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6"/>
    <w:bookmarkStart w:id="31" w:name="crep-project-process"/>
    <w:p>
      <w:pPr>
        <w:pStyle w:val="Heading3"/>
      </w:pPr>
      <w:r>
        <w:t xml:space="preserve">CREP Project Process</w:t>
      </w:r>
    </w:p>
    <w:p>
      <w:pPr>
        <w:pStyle w:val="FirstParagraph"/>
      </w:pPr>
      <w:r>
        <w:t xml:space="preserve">Groups signed up for the project and prepared OSF project pages for pre-data collection review. Prepared pre-data collection project pages had to include materials, analytical strategy, video of procedure, and IRB approval. Project pages were reviewed by two reviewers and the executive reviewer. After revisions, project pages were reviewed again and after obtaining positive feedback, groups were cleared for data collection. Groups had to pre-register project pages before data-collection. After data-collection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completed. Since 2013, 49 groups from nine different countries expressed interest in conducting CREP Griskevicius et al (2010). Eleven groups did not provide their data and one group did not provide the codebook with us, five groups did not complete data collection, three groups did not create the OSF page, four groups dropped out before data collection, and one group did not follow the CREP procedure. The final sample of completed projects included data collected by 24 groups from 6 different countries: USA, UK, Germany, Canada, Netherlands, and Iceland. The overview of groups participating in this project is provided in Table XX in Supplementary materials (</w:t>
      </w:r>
      <w:hyperlink r:id="rId27">
        <w:r>
          <w:rPr>
            <w:rStyle w:val="Hyperlink"/>
          </w:rPr>
          <w:t xml:space="preserve">https://osf.io/vc5rh/</w:t>
        </w:r>
      </w:hyperlink>
      <w:r>
        <w:t xml:space="preserve">) (XXX THIS LINK IS BAD).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sample size for each group was set to 82 respondents. In CREP, for each project, the sample size was determined to be at least half of the original N. For this study, the targeted sample size was set to 84, but unfortunately, in the documentation file, there was a typo (N=82). However, with multiple groups collecting data, and in this particular case with 3774 participants, we have adequate statistical power to detect a very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 and some groups included extension variables. Characteristics of the replications are given in Table XX in Supplementary materials (</w:t>
      </w:r>
      <w:hyperlink r:id="rId29">
        <w:r>
          <w:rPr>
            <w:rStyle w:val="Hyperlink"/>
          </w:rPr>
          <w:t xml:space="preserve">https://osf.io/7zybp/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data collection, uploaded data, analysis,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which are available on our OSF project page:</w:t>
      </w:r>
      <w:r>
        <w:t xml:space="preserve"> </w:t>
      </w:r>
      <w:hyperlink r:id="rId21">
        <w:r>
          <w:rPr>
            <w:rStyle w:val="Hyperlink"/>
          </w:rPr>
          <w:t xml:space="preserve">https://osf.io/4bfwu/</w:t>
        </w:r>
      </w:hyperlink>
    </w:p>
    <w:bookmarkEnd w:id="39"/>
    <w:bookmarkEnd w:id="40"/>
    <w:bookmarkStart w:id="42" w:name="sample"/>
    <w:p>
      <w:pPr>
        <w:pStyle w:val="Heading3"/>
      </w:pPr>
      <w:r>
        <w:t xml:space="preserve">Sample</w:t>
      </w:r>
    </w:p>
    <w:p>
      <w:pPr>
        <w:pStyle w:val="FirstParagraph"/>
      </w:pPr>
      <w:r>
        <w:t xml:space="preserve">Data were collected by student groups in USA, UK, Germany, Canada, Netherlands, and Iceland who participated in the CREP project. In total, the merged data set contained data collected from 3774 participants. We use datasets collected by 24 groups. All individual data sets are available here:</w:t>
      </w:r>
      <w:r>
        <w:t xml:space="preserve"> </w:t>
      </w:r>
      <w:hyperlink r:id="rId27">
        <w:r>
          <w:rPr>
            <w:rStyle w:val="Hyperlink"/>
          </w:rPr>
          <w:t xml:space="preserve">https://osf.io/vc5rh/</w:t>
        </w:r>
      </w:hyperlink>
      <w:r>
        <w:t xml:space="preserve">. All groups collected at least 82 respondents, except for one that collected 70 participants. Nine groups did not collect data on at least one of the following: age, gender, or race/ethnicity. Details about the missing data are available here (XXX- do we need a link here?). The complete dataset is available here:</w:t>
      </w:r>
      <w:r>
        <w:t xml:space="preserve"> </w:t>
      </w:r>
      <w:hyperlink r:id="rId41">
        <w:r>
          <w:rPr>
            <w:rStyle w:val="Hyperlink"/>
          </w:rPr>
          <w:t xml:space="preserve">https://osf.io/azq76/</w:t>
        </w:r>
      </w:hyperlink>
      <w:r>
        <w:t xml:space="preserve">.</w:t>
      </w:r>
    </w:p>
    <w:p>
      <w:pPr>
        <w:pStyle w:val="BodyText"/>
      </w:pPr>
      <w:r>
        <w:t xml:space="preserve">We removed 21 participants prior to posting the public compiled dataset because they reported ages of 16 (n = 3) or 17 (n = 18), for a total final dataset with 3774 participants. The final sample included 2302 women and 973 men with 18 participants reporting a gender of gender variant/nonconforming,</w:t>
      </w:r>
      <w:r>
        <w:t xml:space="preserve"> </w:t>
      </w:r>
      <w:r>
        <w:t xml:space="preserve">“</w:t>
      </w:r>
      <w:r>
        <w:t xml:space="preserve">other,</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either by choice or because the survey they completed did not request this information. The mean reported age for participants was 23.98 years (</w:t>
      </w:r>
      <w:r>
        <w:rPr>
          <w:iCs/>
          <w:i/>
        </w:rPr>
        <w:t xml:space="preserve">SD</w:t>
      </w:r>
      <w:r>
        <w:t xml:space="preserve"> </w:t>
      </w:r>
      <w:r>
        <w:t xml:space="preserve">= 10.21). 956 participants did not report their age.</w:t>
      </w:r>
    </w:p>
    <w:p>
      <w:pPr>
        <w:pStyle w:val="BodyText"/>
      </w:pPr>
      <w:r>
        <w:t xml:space="preserve">Information about participant race/ethnicity was reported by some sites and not others, and within each site the question could vary in how it was asked. We therefore recoded the original race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total).</w:t>
      </w:r>
    </w:p>
    <w:bookmarkEnd w:id="42"/>
    <w:bookmarkStart w:id="43"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of their project. After data collection was completed, project pages were again reviewed (post-data-collection review) by the executive reviewer and CREP reviewers. Descriptions of individual datasets, along with all deviations are available in Table XX in Supplementary materials (</w:t>
      </w:r>
      <w:hyperlink r:id="rId27">
        <w:r>
          <w:rPr>
            <w:rStyle w:val="Hyperlink"/>
          </w:rPr>
          <w:t xml:space="preserve">https://osf.io/vc5rh/</w:t>
        </w:r>
      </w:hyperlink>
      <w:r>
        <w:t xml:space="preserve">).</w:t>
      </w:r>
    </w:p>
    <w:bookmarkEnd w:id="43"/>
    <w:bookmarkStart w:id="44" w:name="X9f5ec3a673479fc1202bbc6bcd3c15448fed10d"/>
    <w:p>
      <w:pPr>
        <w:pStyle w:val="Heading3"/>
      </w:pPr>
      <w:r>
        <w:t xml:space="preserve">Treatment of missing data, data preparation, and data analysis</w:t>
      </w:r>
    </w:p>
    <w:p>
      <w:pPr>
        <w:pStyle w:val="BlockText"/>
      </w:pPr>
      <w:r>
        <w:t xml:space="preserve">JORDAN TO-DO: work on this section, address comments from Nate:</w:t>
      </w:r>
      <w:r>
        <w:t xml:space="preserve"> </w:t>
      </w:r>
      <w:r>
        <w:t xml:space="preserve">“</w:t>
      </w:r>
      <w:r>
        <w:t xml:space="preserve">What does this mean? What metrics were used to determine if the data from a given study was of a sufficient quality to be included in the analysis? Were there any datasets that did not surpass these metrics? Also, how does the online versus in lab data collection impact the data quality? Were there any methods to ensure online data collection consisted of high quality respondents? Were online participants students from universities, or recruited from crowdsourcing platforms?</w:t>
      </w:r>
      <w:r>
        <w:t xml:space="preserve">”</w:t>
      </w:r>
    </w:p>
    <w:p>
      <w:pPr>
        <w:pStyle w:val="FirstParagraph"/>
      </w:pPr>
      <w:r>
        <w:t xml:space="preserve">We excluded participants without responses for the dependent variables. To create a merged dataset, we accessed all individual datasets through each team’s OSF page when this was available, and contacted teams directly for their data when it was not. When necessary, we also contacted groups to obtain information on whether the dataset was raw or transformed and to obtain codebooks. We left missing data as missing. The merged dataset is available on the OSF project page (</w:t>
      </w:r>
      <w:r>
        <w:rPr>
          <w:bCs/>
          <w:b/>
        </w:rPr>
        <w:t xml:space="preserve">ADD LINK HERE)</w:t>
      </w:r>
      <w:r>
        <w:t xml:space="preserve">. A codebook for our merged data set with all variables collected as part of the project is available on</w:t>
      </w:r>
      <w:r>
        <w:t xml:space="preserve"> </w:t>
      </w:r>
      <w:hyperlink r:id="rId35">
        <w:r>
          <w:rPr>
            <w:rStyle w:val="Hyperlink"/>
          </w:rPr>
          <w:t xml:space="preserve">https://osf.io/7nkhq/</w:t>
        </w:r>
      </w:hyperlink>
      <w:r>
        <w:t xml:space="preserve">. This link includes number of participants, country, institution, race, gender, conditions, and any extension variables added by each team.</w:t>
      </w:r>
    </w:p>
    <w:p>
      <w:pPr>
        <w:pStyle w:val="BodyText"/>
      </w:pPr>
      <w:r>
        <w:t xml:space="preserve">To note, the original study conducted data collection in a computer lab and tested participants in small groups; therefore, we use ANOVA to explore differences between settings (online/lab, testing in-group/testing individually). We also conduct the same analyses as the original paper: for each product (car, soap, and dishwater) we report percentages by condition, Chi-square tests, and Phi coefficients. We also compute a composite green score and run ANOVA across conditions (story, no story, and control story) and report effect size and posthoc comparisons using the LSD test.</w:t>
      </w:r>
    </w:p>
    <w:p>
      <w:pPr>
        <w:pStyle w:val="BodyText"/>
      </w:pPr>
      <w:r>
        <w:t xml:space="preserve">In our exploratory analyses, we test the moderating role of political orientation. We also run 2 x 2 factorial ANOVAs to determine whether political orientation (liberal/conservative) or political party (democrat/republican) interacts with the condition in its association with the composite green score.</w:t>
      </w:r>
    </w:p>
    <w:bookmarkEnd w:id="44"/>
    <w:bookmarkEnd w:id="45"/>
    <w:bookmarkStart w:id="54" w:name="results"/>
    <w:p>
      <w:pPr>
        <w:pStyle w:val="Heading2"/>
      </w:pPr>
      <w:r>
        <w:t xml:space="preserve">Results</w:t>
      </w:r>
    </w:p>
    <w:bookmarkStart w:id="50" w:name="confirmatory-analyses"/>
    <w:p>
      <w:pPr>
        <w:pStyle w:val="Heading3"/>
      </w:pPr>
      <w:r>
        <w:t xml:space="preserve">Confirmatory Analyses</w:t>
      </w:r>
    </w:p>
    <w:bookmarkStart w:id="46" w:name="composite-green-score"/>
    <w:p>
      <w:pPr>
        <w:pStyle w:val="Heading4"/>
      </w:pPr>
      <w:r>
        <w:t xml:space="preserve">Composite Green Score</w:t>
      </w:r>
    </w:p>
    <w:p>
      <w:pPr>
        <w:pStyle w:val="FirstParagraph"/>
      </w:pPr>
      <w:r>
        <w:t xml:space="preserve">Despite low internal consistency of the three items (Cronbach’s alpha = 0.38), we followed the procedure used in the original study and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0.996). A distribution of composite scores can be seen in Figure X (</w:t>
      </w:r>
      <w:r>
        <w:rPr>
          <w:bCs/>
          <w:b/>
        </w:rPr>
        <w:t xml:space="preserve">INSERT FIGURE X here - also asked Michał to create a figure with distributions by product</w:t>
      </w:r>
      <w:r>
        <w:t xml:space="preserve">).</w:t>
      </w:r>
    </w:p>
    <w:p>
      <w:pPr>
        <w:pStyle w:val="BodyText"/>
      </w:pPr>
      <w:r>
        <w:t xml:space="preserve">The original paper by Griskevicius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718</m:t>
            </m:r>
          </m:e>
        </m:d>
        <m:r>
          <m:rPr>
            <m:sty m:val="p"/>
          </m:rPr>
          <m:t>=</m:t>
        </m:r>
        <m:r>
          <m:t>1.16</m:t>
        </m:r>
      </m:oMath>
      <w:r>
        <w:t xml:space="preserve">,</w:t>
      </w:r>
      <w:r>
        <w:t xml:space="preserve"> </w:t>
      </w:r>
      <m:oMath>
        <m:r>
          <m:t>p</m:t>
        </m:r>
        <m:r>
          <m:rPr>
            <m:sty m:val="p"/>
          </m:rPr>
          <m:t>=</m:t>
        </m:r>
        <m:r>
          <m:t>.282</m:t>
        </m:r>
      </m:oMath>
      <w:r>
        <w:t xml:space="preserve">,</w:t>
      </w:r>
      <w:r>
        <w:t xml:space="preserve"> </w:t>
      </w:r>
      <m:oMath>
        <m:sSup>
          <m:e>
            <m:r>
              <m:t>η</m:t>
            </m:r>
          </m:e>
          <m:sup>
            <m:r>
              <m:t>2</m:t>
            </m:r>
          </m:sup>
        </m:sSup>
      </m:oMath>
      <w:r>
        <w:t xml:space="preserve"> </w:t>
      </w:r>
      <w:r>
        <w:t xml:space="preserve">= .000.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717</m:t>
            </m:r>
          </m:e>
        </m:d>
        <m:r>
          <m:rPr>
            <m:sty m:val="p"/>
          </m:rPr>
          <m:t>=</m:t>
        </m:r>
        <m:r>
          <m:t>3.21</m:t>
        </m:r>
      </m:oMath>
      <w:r>
        <w:t xml:space="preserve">,</w:t>
      </w:r>
      <w:r>
        <w:t xml:space="preserve"> </w:t>
      </w:r>
      <m:oMath>
        <m:r>
          <m:t>p</m:t>
        </m:r>
        <m:r>
          <m:rPr>
            <m:sty m:val="p"/>
          </m:rPr>
          <m:t>=</m:t>
        </m:r>
        <m:r>
          <m:t>.040</m:t>
        </m:r>
      </m:oMath>
      <w:r>
        <w:t xml:space="preserve">,</w:t>
      </w:r>
      <w:r>
        <w:t xml:space="preserve"> </w:t>
      </w:r>
      <m:oMath>
        <m:sSup>
          <m:e>
            <m:r>
              <m:t>η</m:t>
            </m:r>
          </m:e>
          <m:sup>
            <m:r>
              <m:t>2</m:t>
            </m:r>
          </m:sup>
        </m:sSup>
      </m:oMath>
      <w:r>
        <w:t xml:space="preserve"> </w:t>
      </w:r>
      <w:r>
        <w:t xml:space="preserve">= .002. Post-hoc testing using Tukey’s HSD correction for multiple pairwise comparisons resulted in no pairwise comparisons with a</w:t>
      </w:r>
      <w:r>
        <w:t xml:space="preserve"> </w:t>
      </w:r>
      <w:r>
        <w:rPr>
          <w:iCs/>
          <w:i/>
        </w:rPr>
        <w:t xml:space="preserve">p</w:t>
      </w:r>
      <w:r>
        <w:t xml:space="preserve"> </w:t>
      </w:r>
      <w:r>
        <w:t xml:space="preserve">&lt; .05 (no story/control = 0.06, status story/control = 0.97, status story/no story = 0.09).</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46"/>
    <w:bookmarkStart w:id="47" w:name="green-car"/>
    <w:p>
      <w:pPr>
        <w:pStyle w:val="Heading4"/>
      </w:pPr>
      <w:r>
        <w:t xml:space="preserve">Green car</w:t>
      </w:r>
    </w:p>
    <w:p>
      <w:pPr>
        <w:pStyle w:val="FirstParagraph"/>
      </w:pPr>
      <w:r>
        <w:t xml:space="preserve">The original paper found that the green car selection was higher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 of control participants selected the green car, compared to 54.83% of the status participants. We were unable to detect an effect of condition on green selection,</w:t>
      </w:r>
      <w:r>
        <w:t xml:space="preserve"> </w:t>
      </w:r>
      <m:oMath>
        <m:sSup>
          <m:e>
            <m:r>
              <m:t>χ</m:t>
            </m:r>
          </m:e>
          <m:sup>
            <m:r>
              <m:t>2</m:t>
            </m:r>
          </m:sup>
        </m:sSup>
      </m:oMath>
      <w:r>
        <w:t xml:space="preserve">(1, N = 3726) = 0.13,</w:t>
      </w:r>
      <w:r>
        <w:t xml:space="preserve"> </w:t>
      </w:r>
      <w:r>
        <w:rPr>
          <w:iCs/>
          <w:i/>
        </w:rPr>
        <w:t xml:space="preserve">p</w:t>
      </w:r>
      <w:r>
        <w:t xml:space="preserve"> </w:t>
      </w:r>
      <w:r>
        <w:t xml:space="preserve">= 0.72,</w:t>
      </w:r>
      <w:r>
        <w:t xml:space="preserve"> </w:t>
      </w:r>
      <m:oMath>
        <m:r>
          <m:t>ϕ</m:t>
        </m:r>
      </m:oMath>
      <w:r>
        <w:t xml:space="preserve"> </w:t>
      </w:r>
      <w:r>
        <w:t xml:space="preserve">= -0.006.</w:t>
      </w:r>
    </w:p>
    <w:bookmarkEnd w:id="47"/>
    <w:bookmarkStart w:id="48" w:name="green-cleaner"/>
    <w:p>
      <w:pPr>
        <w:pStyle w:val="Heading4"/>
      </w:pPr>
      <w:r>
        <w:t xml:space="preserve">Green cleaner</w:t>
      </w:r>
    </w:p>
    <w:p>
      <w:pPr>
        <w:pStyle w:val="FirstParagraph"/>
      </w:pPr>
      <w:r>
        <w:t xml:space="preserve">Similarly, the original paper found that participants in the status condition selected the green cleaner more frequently than participants in the control condition (41.8% and 25.7%, respectively),</w:t>
      </w:r>
      <w:r>
        <w:t xml:space="preserve"> </w:t>
      </w:r>
      <m:oMath>
        <m:sSup>
          <m:e>
            <m:r>
              <m:t>χ</m:t>
            </m:r>
          </m:e>
          <m:sup>
            <m:r>
              <m:t>2</m:t>
            </m:r>
          </m:sup>
        </m:sSup>
      </m:oMath>
      <w:r>
        <w:t xml:space="preserve">(1, N =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choice of cleaner,</w:t>
      </w:r>
      <w:r>
        <w:t xml:space="preserve"> </w:t>
      </w:r>
      <m:oMath>
        <m:sSup>
          <m:e>
            <m:r>
              <m:t>χ</m:t>
            </m:r>
          </m:e>
          <m:sup>
            <m:r>
              <m:t>2</m:t>
            </m:r>
          </m:sup>
        </m:sSup>
      </m:oMath>
      <w:r>
        <w:t xml:space="preserve">(1, N = 3725) = 1.06,</w:t>
      </w:r>
      <w:r>
        <w:t xml:space="preserve"> </w:t>
      </w:r>
      <w:r>
        <w:rPr>
          <w:iCs/>
          <w:i/>
        </w:rPr>
        <w:t xml:space="preserve">p</w:t>
      </w:r>
      <w:r>
        <w:t xml:space="preserve"> </w:t>
      </w:r>
      <w:r>
        <w:t xml:space="preserve">= 0.3,</w:t>
      </w:r>
      <w:r>
        <w:t xml:space="preserve"> </w:t>
      </w:r>
      <m:oMath>
        <m:r>
          <m:t>ϕ</m:t>
        </m:r>
      </m:oMath>
      <w:r>
        <w:t xml:space="preserve"> </w:t>
      </w:r>
      <w:r>
        <w:t xml:space="preserve">= -0.018.</w:t>
      </w:r>
    </w:p>
    <w:bookmarkEnd w:id="48"/>
    <w:bookmarkStart w:id="49" w:name="green-dishwasher"/>
    <w:p>
      <w:pPr>
        <w:pStyle w:val="Heading4"/>
      </w:pPr>
      <w:r>
        <w:t xml:space="preserve">Green dishwasher</w:t>
      </w:r>
    </w:p>
    <w:p>
      <w:pPr>
        <w:pStyle w:val="FirstParagraph"/>
      </w:pPr>
      <w:r>
        <w:t xml:space="preserve">Finally, the original paper also reported greater that selection of the green dishwasher was more likely in the status condition than the control condition (49.1% and 34.5%, respectively),</w:t>
      </w:r>
      <w:r>
        <w:t xml:space="preserve"> </w:t>
      </w:r>
      <m:oMath>
        <m:sSup>
          <m:e>
            <m:r>
              <m:t>χ</m:t>
            </m:r>
          </m:e>
          <m:sup>
            <m:r>
              <m:t>2</m:t>
            </m:r>
          </m:sup>
        </m:sSup>
      </m:oMath>
      <w:r>
        <w:t xml:space="preserve">(1, N = 168) = 3.30,</w:t>
      </w:r>
      <w:r>
        <w:t xml:space="preserve"> </w:t>
      </w:r>
      <w:r>
        <w:rPr>
          <w:iCs/>
          <w:i/>
        </w:rPr>
        <w:t xml:space="preserve">p</w:t>
      </w:r>
      <w:r>
        <w:t xml:space="preserve"> </w:t>
      </w:r>
      <w:r>
        <w:t xml:space="preserve">= .069,</w:t>
      </w:r>
      <w:r>
        <w:t xml:space="preserve"> </w:t>
      </w:r>
      <m:oMath>
        <m:r>
          <m:t>ϕ</m:t>
        </m:r>
      </m:oMath>
      <w:r>
        <w:t xml:space="preserve"> </w:t>
      </w:r>
      <w:r>
        <w:t xml:space="preserve">= .140, while we found no such effect when comparing the 52.9% of control participants who selected the green dishwasher to the 51.65% of status prime participants who did the same,</w:t>
      </w:r>
      <w:r>
        <w:t xml:space="preserve"> </w:t>
      </w:r>
      <m:oMath>
        <m:sSup>
          <m:e>
            <m:r>
              <m:t>χ</m:t>
            </m:r>
          </m:e>
          <m:sup>
            <m:r>
              <m:t>2</m:t>
            </m:r>
          </m:sup>
        </m:sSup>
      </m:oMath>
      <w:r>
        <w:t xml:space="preserve">(1, N = 3729) = 0.49,</w:t>
      </w:r>
      <w:r>
        <w:t xml:space="preserve"> </w:t>
      </w:r>
      <w:r>
        <w:rPr>
          <w:iCs/>
          <w:i/>
        </w:rPr>
        <w:t xml:space="preserve">p</w:t>
      </w:r>
      <w:r>
        <w:t xml:space="preserve"> </w:t>
      </w:r>
      <w:r>
        <w:t xml:space="preserve">= 0.48,</w:t>
      </w:r>
      <w:r>
        <w:t xml:space="preserve"> </w:t>
      </w:r>
      <m:oMath>
        <m:r>
          <m:t>ϕ</m:t>
        </m:r>
      </m:oMath>
      <w:r>
        <w:t xml:space="preserve"> </w:t>
      </w:r>
      <w:r>
        <w:t xml:space="preserve">= -0.012.</w:t>
      </w:r>
    </w:p>
    <w:bookmarkEnd w:id="49"/>
    <w:bookmarkEnd w:id="50"/>
    <w:bookmarkStart w:id="53" w:name="exploratory-analyses"/>
    <w:p>
      <w:pPr>
        <w:pStyle w:val="Heading3"/>
      </w:pPr>
      <w:r>
        <w:t xml:space="preserve">Exploratory Analyses</w:t>
      </w:r>
    </w:p>
    <w:p>
      <w:pPr>
        <w:pStyle w:val="FirstParagraph"/>
      </w:pPr>
      <w:r>
        <w:t xml:space="preserve">JORDAN TO-DO:</w:t>
      </w:r>
    </w:p>
    <w:p>
      <w:pPr>
        <w:pStyle w:val="BodyText"/>
      </w:pPr>
      <w:r>
        <w:t xml:space="preserve">-Look at US versus elsewhere (code written for this)</w:t>
      </w:r>
    </w:p>
    <w:p>
      <w:pPr>
        <w:pStyle w:val="BodyText"/>
      </w:pPr>
      <w:r>
        <w:t xml:space="preserve">-Look at the effect over time</w:t>
      </w:r>
    </w:p>
    <w:p>
      <w:pPr>
        <w:pStyle w:val="BodyText"/>
      </w:pPr>
      <w:r>
        <w:t xml:space="preserve">-Look at how to compare effect sizes over time</w:t>
      </w:r>
    </w:p>
    <w:p>
      <w:pPr>
        <w:pStyle w:val="BodyText"/>
      </w:pPr>
      <w:r>
        <w:t xml:space="preserve">To determine if there were differences in setting type, we first collapsed all reported lab settings (group, individual, and just</w:t>
      </w:r>
      <w:r>
        <w:t xml:space="preserve"> </w:t>
      </w:r>
      <w:r>
        <w:t xml:space="preserve">“</w:t>
      </w:r>
      <w:r>
        <w:t xml:space="preserve">lab</w:t>
      </w:r>
      <w:r>
        <w:t xml:space="preserve">”</w:t>
      </w:r>
      <w:r>
        <w:t xml:space="preserve">) into one variable level, and then conducted chi-square tests of independence using a dichotomous setting variable (lab versus online). We found no relationship between green choice and setting type for all three types of product (ps of .24, .11, and .63 for the green car, soap, and dishwasher).</w:t>
      </w:r>
    </w:p>
    <w:p>
      <w:pPr>
        <w:pStyle w:val="BodyText"/>
      </w:pPr>
      <w:r>
        <w:t xml:space="preserve">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identified as conservative, while n = 744 participants identified as liberal.</w:t>
      </w:r>
    </w:p>
    <w:bookmarkStart w:id="51" w:name="liberalconservative"/>
    <w:p>
      <w:pPr>
        <w:pStyle w:val="Heading4"/>
      </w:pPr>
      <w:r>
        <w:t xml:space="preserve">Liberal/conservative</w:t>
      </w:r>
    </w:p>
    <w:p>
      <w:pPr>
        <w:pStyle w:val="FirstParagraph"/>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p>
          <m:e>
            <m:r>
              <m:t>η</m:t>
            </m:r>
          </m:e>
          <m:sup>
            <m:r>
              <m:t>2</m:t>
            </m:r>
          </m:sup>
        </m:sSup>
      </m:oMath>
      <w:r>
        <w:t xml:space="preserve"> </w:t>
      </w:r>
      <w:r>
        <w:t xml:space="preserve">= .000.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p>
          <m:e>
            <m:r>
              <m:t>η</m:t>
            </m:r>
          </m:e>
          <m:sup>
            <m:r>
              <m:t>2</m:t>
            </m:r>
          </m:sup>
        </m:sSup>
      </m:oMath>
      <w:r>
        <w:t xml:space="preserve"> </w:t>
      </w:r>
      <w:r>
        <w:t xml:space="preserve">= .000.</w:t>
      </w:r>
    </w:p>
    <w:p>
      <w:pPr>
        <w:pStyle w:val="BodyText"/>
      </w:pPr>
      <w:r>
        <w:t xml:space="preserve">Note from Michał re: grouping control conditions: but still I would report whether there was a difference between no story and control; I suggest reporting at least p-values and effect sizes</w:t>
      </w:r>
    </w:p>
    <w:bookmarkEnd w:id="51"/>
    <w:bookmarkStart w:id="52" w:name="democratrepublican"/>
    <w:p>
      <w:pPr>
        <w:pStyle w:val="Heading4"/>
      </w:pPr>
      <w:r>
        <w:t xml:space="preserve">Democrat/republican</w:t>
      </w:r>
    </w:p>
    <w:p>
      <w:pPr>
        <w:pStyle w:val="FirstParagraph"/>
      </w:pPr>
      <w:r>
        <w:t xml:space="preserve">JORDAN TO-DO: Replace results below with full F results</w:t>
      </w:r>
    </w:p>
    <w:p>
      <w:pPr>
        <w:pStyle w:val="BodyText"/>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332) categories, we did find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0.09. We were unable to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w:t>
      </w:r>
      <w:r>
        <w:t xml:space="preserve"> </w:t>
      </w:r>
      <m:oMath>
        <m:sSup>
          <m:e>
            <m:r>
              <m:t>η</m:t>
            </m:r>
          </m:e>
          <m:sup>
            <m:r>
              <m:t>2</m:t>
            </m:r>
          </m:sup>
        </m:sSup>
      </m:oMath>
      <w:r>
        <w:t xml:space="preserve"> </w:t>
      </w:r>
      <w:r>
        <w:t xml:space="preserve">= 0,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w:t>
      </w:r>
      <w:r>
        <w:t xml:space="preserve"> </w:t>
      </w:r>
      <m:oMath>
        <m:sSup>
          <m:e>
            <m:r>
              <m:t>η</m:t>
            </m:r>
          </m:e>
          <m:sup>
            <m:r>
              <m:t>2</m:t>
            </m:r>
          </m:sup>
        </m:sSup>
      </m:oMath>
      <w:r>
        <w:t xml:space="preserve"> </w:t>
      </w:r>
      <w:r>
        <w:t xml:space="preserve">= 0.</w:t>
      </w:r>
    </w:p>
    <w:bookmarkEnd w:id="52"/>
    <w:bookmarkEnd w:id="53"/>
    <w:bookmarkEnd w:id="54"/>
    <w:bookmarkStart w:id="55" w:name="discussion"/>
    <w:p>
      <w:pPr>
        <w:pStyle w:val="Heading2"/>
      </w:pPr>
      <w:r>
        <w:t xml:space="preserve">Discussion</w:t>
      </w:r>
    </w:p>
    <w:p>
      <w:pPr>
        <w:pStyle w:val="FirstParagraph"/>
      </w:pPr>
      <w:r>
        <w:t xml:space="preserve">Original study conducted by Griskevicius et al (2010) concluded that proenviromental behavior can be promoted using status competition. That is, earning a good reputation via prosocial and proenvironmetal behavior and action can increase an individual’s status in a group. Original study also showed that all selection of all three green-products (green car, green cleaner, green dishwasher) was higher in the status condition.</w:t>
      </w:r>
    </w:p>
    <w:p>
      <w:pPr>
        <w:pStyle w:val="BodyText"/>
      </w:pPr>
      <w:r>
        <w:t xml:space="preserve">In this multi-lab replication study we followed the analytical strategy as in the original study. As part of pre-registered confirmatory analysis we tested whether effect exists when green score is calculated as composite, and our results resulted in lack of statistically significant effect. We also analyzed separate if effect exists for each of the green vs non-green products. For all three products, we did not detect significant effect for none of the products. Overall, our findings do not support main conclusion of Griskevicius et al (2010).</w:t>
      </w:r>
    </w:p>
    <w:p>
      <w:pPr>
        <w:pStyle w:val="BodyText"/>
      </w:pPr>
      <w:r>
        <w:t xml:space="preserve">Per recommendation of original authors, exploratory analyses included testing if political orientation moderates significantly main effect. In this study, data on political orientation and/or political party were collected as extension variables. When political orientation was defined as liberal-conservative we detected a main effect of political orientation on selection of green products, but the main effect of condition was absent. When political party was tested as moderator, a main effect of political party was detected (i.e., people who identified as democrat more often select green products), but moderation effect of political party on product select was absent again.</w:t>
      </w:r>
    </w:p>
    <w:p>
      <w:pPr>
        <w:pStyle w:val="BodyText"/>
      </w:pPr>
      <w:r>
        <w:t xml:space="preserve">Add: discuss reliability of composite score</w:t>
      </w:r>
    </w:p>
    <w:p>
      <w:pPr>
        <w:pStyle w:val="BodyText"/>
      </w:pPr>
      <w:r>
        <w:t xml:space="preserve">Discuss that only some moderators had sufficient number of data collected to be analyzed</w:t>
      </w:r>
    </w:p>
    <w:p>
      <w:pPr>
        <w:pStyle w:val="BodyText"/>
      </w:pPr>
      <w:r>
        <w:t xml:space="preserve">Discuss differences -online and lab</w:t>
      </w:r>
    </w:p>
    <w:p>
      <w:pPr>
        <w:pStyle w:val="BodyText"/>
      </w:pPr>
      <w:r>
        <w:t xml:space="preserve">2 vs 3 conditions</w:t>
      </w:r>
    </w:p>
    <w:p>
      <w:pPr>
        <w:pStyle w:val="BodyText"/>
      </w:pPr>
      <w:r>
        <w:t xml:space="preserve">What else?</w:t>
      </w:r>
    </w:p>
    <w:p>
      <w:pPr>
        <w:pStyle w:val="SourceCode"/>
      </w:pPr>
      <w:r>
        <w:rPr>
          <w:rStyle w:val="VerbatimChar"/>
        </w:rPr>
        <w:t xml:space="preserve">Effect over time</w:t>
      </w:r>
      <w:r>
        <w:br/>
      </w:r>
      <w:r>
        <w:br/>
      </w:r>
      <w:r>
        <w:rPr>
          <w:rStyle w:val="VerbatimChar"/>
        </w:rPr>
        <w:t xml:space="preserve">US vs rest</w:t>
      </w:r>
    </w:p>
    <w:bookmarkEnd w:id="55"/>
    <w:bookmarkStart w:id="69" w:name="references"/>
    <w:p>
      <w:pPr>
        <w:pStyle w:val="Heading2"/>
      </w:pPr>
      <w:r>
        <w:t xml:space="preserve">References</w:t>
      </w:r>
    </w:p>
    <w:p>
      <w:pPr>
        <w:pStyle w:val="FirstParagraph"/>
      </w:pPr>
      <w:r>
        <w:t xml:space="preserve">Frank, M. C., &amp; Saxe, R. (2012). Teaching Replication.</w:t>
      </w:r>
      <w:r>
        <w:t xml:space="preserve"> </w:t>
      </w:r>
      <w:r>
        <w:rPr>
          <w:iCs/>
          <w:i/>
        </w:rPr>
        <w:t xml:space="preserve">Perspectives on Psychological Science</w:t>
      </w:r>
      <w:r>
        <w:t xml:space="preserve">,</w:t>
      </w:r>
      <w:r>
        <w:t xml:space="preserve"> </w:t>
      </w:r>
      <w:r>
        <w:rPr>
          <w:iCs/>
          <w:i/>
        </w:rPr>
        <w:t xml:space="preserve">7</w:t>
      </w:r>
      <w:r>
        <w:t xml:space="preserve">(6), 600–604.</w:t>
      </w:r>
      <w:r>
        <w:t xml:space="preserve"> </w:t>
      </w:r>
      <w:hyperlink r:id="rId56">
        <w:r>
          <w:rPr>
            <w:rStyle w:val="Hyperlink"/>
          </w:rPr>
          <w:t xml:space="preserve">https://doi.org/10.1177/1745691612460686</w:t>
        </w:r>
      </w:hyperlink>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w:t>
      </w:r>
      <w:r>
        <w:t xml:space="preserve">,</w:t>
      </w:r>
      <w:r>
        <w:t xml:space="preserve"> </w:t>
      </w:r>
      <w:r>
        <w:rPr>
          <w:iCs/>
          <w:i/>
        </w:rPr>
        <w:t xml:space="preserve">3</w:t>
      </w:r>
      <w:r>
        <w:t xml:space="preserve">(1), 3–23.</w:t>
      </w:r>
      <w:r>
        <w:t xml:space="preserve"> </w:t>
      </w:r>
      <w:hyperlink r:id="rId57">
        <w:r>
          <w:rPr>
            <w:rStyle w:val="Hyperlink"/>
          </w:rPr>
          <w:t xml:space="preserve">https://doi.org/10.1177/2515245919881152</w:t>
        </w:r>
      </w:hyperlink>
    </w:p>
    <w:p>
      <w:pPr>
        <w:pStyle w:val="BodyText"/>
      </w:pPr>
      <w:r>
        <w:t xml:space="preserve">Grahe, J. E., Reifman, A., Hermann, A. D., Walker, M., Oleson, K. C., Nario-Redmond, M., &amp; Wiebe, R. P. (2012). Harnessing the undiscovered resource of student research projects.</w:t>
      </w:r>
      <w:r>
        <w:t xml:space="preserve"> </w:t>
      </w:r>
      <w:r>
        <w:rPr>
          <w:iCs/>
          <w:i/>
        </w:rPr>
        <w:t xml:space="preserve">Perspectives on Psychological Science</w:t>
      </w:r>
      <w:r>
        <w:t xml:space="preserve">,</w:t>
      </w:r>
      <w:r>
        <w:t xml:space="preserve"> </w:t>
      </w:r>
      <w:r>
        <w:rPr>
          <w:iCs/>
          <w:i/>
        </w:rPr>
        <w:t xml:space="preserve">7</w:t>
      </w:r>
      <w:r>
        <w:t xml:space="preserve">(6), 605–607.</w:t>
      </w:r>
      <w:r>
        <w:t xml:space="preserve"> </w:t>
      </w:r>
      <w:hyperlink r:id="rId58">
        <w:r>
          <w:rPr>
            <w:rStyle w:val="Hyperlink"/>
          </w:rPr>
          <w:t xml:space="preserve">https://doi.org/10.1177/1745691612459057</w:t>
        </w:r>
      </w:hyperlink>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w:t>
      </w:r>
      <w:r>
        <w:t xml:space="preserve">,</w:t>
      </w:r>
      <w:r>
        <w:t xml:space="preserve"> </w:t>
      </w:r>
      <w:r>
        <w:rPr>
          <w:iCs/>
          <w:i/>
        </w:rPr>
        <w:t xml:space="preserve">98</w:t>
      </w:r>
      <w:r>
        <w:t xml:space="preserve">(3), 392–404.</w:t>
      </w:r>
      <w:r>
        <w:t xml:space="preserve"> </w:t>
      </w:r>
      <w:hyperlink r:id="rId59">
        <w:r>
          <w:rPr>
            <w:rStyle w:val="Hyperlink"/>
          </w:rPr>
          <w:t xml:space="preserve">https://doi.org/10.1037/a0017346</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60">
        <w:r>
          <w:rPr>
            <w:rStyle w:val="Hyperlink"/>
          </w:rPr>
          <w:t xml:space="preserve">https://doi.org/10.1371/journal.pbio.1002456</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w:t>
      </w:r>
      <w:r>
        <w:t xml:space="preserve">,</w:t>
      </w:r>
      <w:r>
        <w:t xml:space="preserve"> </w:t>
      </w:r>
      <w:r>
        <w:rPr>
          <w:iCs/>
          <w:i/>
        </w:rPr>
        <w:t xml:space="preserve">16</w:t>
      </w:r>
      <w:r>
        <w:t xml:space="preserve">(4), 1474704918802412.</w:t>
      </w:r>
      <w:r>
        <w:t xml:space="preserve"> </w:t>
      </w:r>
      <w:hyperlink r:id="rId61">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w:t>
      </w:r>
      <w:r>
        <w:t xml:space="preserve"> </w:t>
      </w:r>
      <w:r>
        <w:rPr>
          <w:iCs/>
          <w:i/>
        </w:rPr>
        <w:t xml:space="preserve">Psi Chi Journal of Psychological Research</w:t>
      </w:r>
      <w:r>
        <w:t xml:space="preserve">,</w:t>
      </w:r>
      <w:r>
        <w:t xml:space="preserve"> </w:t>
      </w:r>
      <w:r>
        <w:rPr>
          <w:iCs/>
          <w:i/>
        </w:rPr>
        <w:t xml:space="preserve">23</w:t>
      </w:r>
      <w:r>
        <w:t xml:space="preserve">(2), 98–109.</w:t>
      </w:r>
      <w:r>
        <w:t xml:space="preserve"> </w:t>
      </w:r>
      <w:hyperlink r:id="rId62">
        <w:r>
          <w:rPr>
            <w:rStyle w:val="Hyperlink"/>
          </w:rPr>
          <w:t xml:space="preserve">https://doi.org/10.24839/2325-7342.JN23.2.98</w:t>
        </w:r>
      </w:hyperlink>
    </w:p>
    <w:p>
      <w:pPr>
        <w:pStyle w:val="BodyText"/>
      </w:pPr>
      <w:r>
        <w:t xml:space="preserve">Perlman, B., &amp; McCann, L. I. (1999). The most frequently listed courses in the undergraduate psychology curriculum.</w:t>
      </w:r>
      <w:r>
        <w:t xml:space="preserve"> </w:t>
      </w:r>
      <w:r>
        <w:rPr>
          <w:iCs/>
          <w:i/>
        </w:rPr>
        <w:t xml:space="preserve">Teaching of Psychology</w:t>
      </w:r>
      <w:r>
        <w:t xml:space="preserve">,</w:t>
      </w:r>
      <w:r>
        <w:t xml:space="preserve"> </w:t>
      </w:r>
      <w:r>
        <w:rPr>
          <w:iCs/>
          <w:i/>
        </w:rPr>
        <w:t xml:space="preserve">26</w:t>
      </w:r>
      <w:r>
        <w:t xml:space="preserve">(3), 177–182.</w:t>
      </w:r>
      <w:r>
        <w:t xml:space="preserve"> </w:t>
      </w:r>
      <w:hyperlink r:id="rId63">
        <w:r>
          <w:rPr>
            <w:rStyle w:val="Hyperlink"/>
          </w:rPr>
          <w:t xml:space="preserve">https://doi.org/10.1207/S15328023TOP260303</w:t>
        </w:r>
      </w:hyperlink>
    </w:p>
    <w:p>
      <w:pPr>
        <w:pStyle w:val="BodyText"/>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64">
        <w:r>
          <w:rPr>
            <w:rStyle w:val="Hyperlink"/>
          </w:rPr>
          <w:t xml:space="preserve">https://www.R-project.org/</w:t>
        </w:r>
      </w:hyperlink>
    </w:p>
    <w:p>
      <w:pPr>
        <w:pStyle w:val="BodyText"/>
      </w:pPr>
      <w:r>
        <w:t xml:space="preserve">RStudio Team. (2020).</w:t>
      </w:r>
      <w:r>
        <w:t xml:space="preserve"> </w:t>
      </w:r>
      <w:r>
        <w:rPr>
          <w:iCs/>
          <w:i/>
        </w:rPr>
        <w:t xml:space="preserve">RStudio: Integrated Development Environment for R</w:t>
      </w:r>
      <w:r>
        <w:t xml:space="preserve">. RStudio, PBC.</w:t>
      </w:r>
      <w:r>
        <w:t xml:space="preserve"> </w:t>
      </w:r>
      <w:hyperlink r:id="rId65">
        <w:r>
          <w:rPr>
            <w:rStyle w:val="Hyperlink"/>
          </w:rPr>
          <w:t xml:space="preserve">http://www.rstudio.com/</w:t>
        </w:r>
      </w:hyperlink>
    </w:p>
    <w:p>
      <w:pPr>
        <w:pStyle w:val="BodyText"/>
      </w:pPr>
      <w:r>
        <w:t xml:space="preserve">Standing, L. G., Grenier, M., Lane, E. A., Roberts, M. S., &amp; Sykes, S. J. (2014). Using replication projects in teaching research methods.</w:t>
      </w:r>
      <w:r>
        <w:t xml:space="preserve"> </w:t>
      </w:r>
      <w:r>
        <w:rPr>
          <w:iCs/>
          <w:i/>
        </w:rPr>
        <w:t xml:space="preserve">Psychology Teaching Review</w:t>
      </w:r>
      <w:r>
        <w:t xml:space="preserve">,</w:t>
      </w:r>
      <w:r>
        <w:t xml:space="preserve"> </w:t>
      </w:r>
      <w:r>
        <w:rPr>
          <w:iCs/>
          <w:i/>
        </w:rPr>
        <w:t xml:space="preserve">20</w:t>
      </w:r>
      <w:r>
        <w:t xml:space="preserve">(1), 96–104.</w:t>
      </w:r>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w:t>
      </w:r>
      <w:r>
        <w:t xml:space="preserve">,</w:t>
      </w:r>
      <w:r>
        <w:t xml:space="preserve"> </w:t>
      </w:r>
      <w:r>
        <w:rPr>
          <w:iCs/>
          <w:i/>
        </w:rPr>
        <w:t xml:space="preserve">5</w:t>
      </w:r>
      <w:r>
        <w:t xml:space="preserve">(1), 5.</w:t>
      </w:r>
      <w:r>
        <w:t xml:space="preserve"> </w:t>
      </w:r>
      <w:hyperlink r:id="rId66">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w:t>
      </w:r>
      <w:r>
        <w:t xml:space="preserve">,</w:t>
      </w:r>
      <w:r>
        <w:t xml:space="preserve"> </w:t>
      </w:r>
      <w:r>
        <w:rPr>
          <w:iCs/>
          <w:i/>
        </w:rPr>
        <w:t xml:space="preserve">10</w:t>
      </w:r>
      <w:r>
        <w:t xml:space="preserve">, 247.</w:t>
      </w:r>
      <w:r>
        <w:t xml:space="preserve"> </w:t>
      </w:r>
      <w:hyperlink r:id="rId67">
        <w:r>
          <w:rPr>
            <w:rStyle w:val="Hyperlink"/>
          </w:rPr>
          <w:t xml:space="preserve">https://doi.org/10.3389/fpsyg.2019.00247</w:t>
        </w:r>
      </w:hyperlink>
    </w:p>
    <w:p>
      <w:pPr>
        <w:pStyle w:val="BodyText"/>
      </w:pPr>
      <w:r>
        <w:t xml:space="preserve">Wagge, J. R., Hurst, M. A., Brandt, M. J., Lazarevic, L. B., Legate, N., &amp; Grahe, J. E. (2022). Teaching research in principle and in practice: What do psychology instructors think of research projects in their courses?</w:t>
      </w:r>
      <w:r>
        <w:t xml:space="preserve"> </w:t>
      </w:r>
      <w:r>
        <w:rPr>
          <w:iCs/>
          <w:i/>
        </w:rPr>
        <w:t xml:space="preserve">Psychology Learning &amp; Teaching</w:t>
      </w:r>
      <w:r>
        <w:t xml:space="preserve">, 147572572211019.</w:t>
      </w:r>
      <w:r>
        <w:t xml:space="preserve"> </w:t>
      </w:r>
      <w:hyperlink r:id="rId68">
        <w:r>
          <w:rPr>
            <w:rStyle w:val="Hyperlink"/>
          </w:rPr>
          <w:t xml:space="preserve">https://doi.org/10.1177/14757257221101942</w:t>
        </w:r>
      </w:hyperlink>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www.rstudio.com/" TargetMode="External" /><Relationship Type="http://schemas.openxmlformats.org/officeDocument/2006/relationships/hyperlink" Id="rId59" Target="https://doi.org/10.1037/a0017346" TargetMode="External" /><Relationship Type="http://schemas.openxmlformats.org/officeDocument/2006/relationships/hyperlink" Id="rId61" Target="https://doi.org/10.1177/1474704918802412" TargetMode="External" /><Relationship Type="http://schemas.openxmlformats.org/officeDocument/2006/relationships/hyperlink" Id="rId68" Target="https://doi.org/10.1177/14757257221101942" TargetMode="External" /><Relationship Type="http://schemas.openxmlformats.org/officeDocument/2006/relationships/hyperlink" Id="rId58" Target="https://doi.org/10.1177/1745691612459057" TargetMode="External" /><Relationship Type="http://schemas.openxmlformats.org/officeDocument/2006/relationships/hyperlink" Id="rId56" Target="https://doi.org/10.1177/1745691612460686" TargetMode="External" /><Relationship Type="http://schemas.openxmlformats.org/officeDocument/2006/relationships/hyperlink" Id="rId57" Target="https://doi.org/10.1177/2515245919881152" TargetMode="External" /><Relationship Type="http://schemas.openxmlformats.org/officeDocument/2006/relationships/hyperlink" Id="rId63" Target="https://doi.org/10.1207/S15328023TOP260303" TargetMode="External" /><Relationship Type="http://schemas.openxmlformats.org/officeDocument/2006/relationships/hyperlink" Id="rId60" Target="https://doi.org/10.1371/journal.pbio.1002456" TargetMode="External" /><Relationship Type="http://schemas.openxmlformats.org/officeDocument/2006/relationships/hyperlink" Id="rId66" Target="https://doi.org/10.1525/collabra.177" TargetMode="External" /><Relationship Type="http://schemas.openxmlformats.org/officeDocument/2006/relationships/hyperlink" Id="rId62" Target="https://doi.org/10.24839/2325-7342.JN23.2.98" TargetMode="External" /><Relationship Type="http://schemas.openxmlformats.org/officeDocument/2006/relationships/hyperlink" Id="rId67"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4"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65" Target="http://www.rstudio.com/" TargetMode="External" /><Relationship Type="http://schemas.openxmlformats.org/officeDocument/2006/relationships/hyperlink" Id="rId59" Target="https://doi.org/10.1037/a0017346" TargetMode="External" /><Relationship Type="http://schemas.openxmlformats.org/officeDocument/2006/relationships/hyperlink" Id="rId61" Target="https://doi.org/10.1177/1474704918802412" TargetMode="External" /><Relationship Type="http://schemas.openxmlformats.org/officeDocument/2006/relationships/hyperlink" Id="rId68" Target="https://doi.org/10.1177/14757257221101942" TargetMode="External" /><Relationship Type="http://schemas.openxmlformats.org/officeDocument/2006/relationships/hyperlink" Id="rId58" Target="https://doi.org/10.1177/1745691612459057" TargetMode="External" /><Relationship Type="http://schemas.openxmlformats.org/officeDocument/2006/relationships/hyperlink" Id="rId56" Target="https://doi.org/10.1177/1745691612460686" TargetMode="External" /><Relationship Type="http://schemas.openxmlformats.org/officeDocument/2006/relationships/hyperlink" Id="rId57" Target="https://doi.org/10.1177/2515245919881152" TargetMode="External" /><Relationship Type="http://schemas.openxmlformats.org/officeDocument/2006/relationships/hyperlink" Id="rId63" Target="https://doi.org/10.1207/S15328023TOP260303" TargetMode="External" /><Relationship Type="http://schemas.openxmlformats.org/officeDocument/2006/relationships/hyperlink" Id="rId60" Target="https://doi.org/10.1371/journal.pbio.1002456" TargetMode="External" /><Relationship Type="http://schemas.openxmlformats.org/officeDocument/2006/relationships/hyperlink" Id="rId66" Target="https://doi.org/10.1525/collabra.177" TargetMode="External" /><Relationship Type="http://schemas.openxmlformats.org/officeDocument/2006/relationships/hyperlink" Id="rId62" Target="https://doi.org/10.24839/2325-7342.JN23.2.98" TargetMode="External" /><Relationship Type="http://schemas.openxmlformats.org/officeDocument/2006/relationships/hyperlink" Id="rId67" Target="https://doi.org/10.3389/fpsyg.2019.00247" TargetMode="External" /><Relationship Type="http://schemas.openxmlformats.org/officeDocument/2006/relationships/hyperlink" Id="rId21" Target="https://osf.io/4bfwu/" TargetMode="External" /><Relationship Type="http://schemas.openxmlformats.org/officeDocument/2006/relationships/hyperlink" Id="rId35" Target="https://osf.io/7nkhq/" TargetMode="External" /><Relationship Type="http://schemas.openxmlformats.org/officeDocument/2006/relationships/hyperlink" Id="rId29" Target="https://osf.io/7zybp/" TargetMode="External" /><Relationship Type="http://schemas.openxmlformats.org/officeDocument/2006/relationships/hyperlink" Id="rId24" Target="https://osf.io/9kzje/wiki/home/" TargetMode="External" /><Relationship Type="http://schemas.openxmlformats.org/officeDocument/2006/relationships/hyperlink" Id="rId32" Target="https://osf.io/ach3n" TargetMode="External" /><Relationship Type="http://schemas.openxmlformats.org/officeDocument/2006/relationships/hyperlink" Id="rId41" Target="https://osf.io/azq76/"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27" Target="https://osf.io/vc5rh/" TargetMode="External" /><Relationship Type="http://schemas.openxmlformats.org/officeDocument/2006/relationships/hyperlink" Id="rId25" Target="https://osf.io/vdo0i/wiki/home/" TargetMode="External" /><Relationship Type="http://schemas.openxmlformats.org/officeDocument/2006/relationships/hyperlink" Id="rId64"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2023-01-17T03:13:28Z</dcterms:created>
  <dcterms:modified xsi:type="dcterms:W3CDTF">2023-01-17T03:13:28Z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2023-01-16</vt:lpwstr>
  </property>
  <property fmtid="{D5CDD505-2E9C-101B-9397-08002B2CF9AE}" pid="3" name="output">
    <vt:lpwstr/>
  </property>
</Properties>
</file>