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tatistical-methods"/>
      <w:r>
        <w:t xml:space="preserve">Statistical methods</w:t>
      </w:r>
      <w:bookmarkEnd w:id="20"/>
    </w:p>
    <w:p>
      <w:pPr>
        <w:pStyle w:val="FirstParagraph"/>
      </w:pPr>
      <w:r>
        <w:t xml:space="preserve">Continuous variables were described by their means and SDs, medians and IQRs, and their range; while categorical variables were described by their counts and percentages in each category.</w:t>
      </w:r>
    </w:p>
    <w:p>
      <w:pPr>
        <w:pStyle w:val="BodyText"/>
      </w:pPr>
      <w:r>
        <w:t xml:space="preserve">Average treatment effects were estimated using multilevel models with a random effect for participant. All reported models were adjusted for the sex of the participant (to correspond to the sex-stratified randomization lists). We also estimated a model with an added period effect, and another that also included an adjustment for period-specific baseline values of the outcome measure (REF). Following advice from Senn (REF), we did not formally test for a carry-over effect. All model-based estimates are reported with 95% CIs and p-values based on conditional F-tests with Kenward-Roger degrees of freedom (REF). We did not apply any adjustment for multiple testing, but have provided enough information for the reader to do so it they wish. Data were analysed on an intent-to-treat basis.</w:t>
      </w:r>
    </w:p>
    <w:p>
      <w:pPr>
        <w:pStyle w:val="BodyText"/>
      </w:pPr>
      <w:r>
        <w:t xml:space="preserve">Senn REF:</w:t>
      </w:r>
      <w:r>
        <w:t xml:space="preserve"> </w:t>
      </w:r>
      <w:r>
        <w:t xml:space="preserve">Cross-over Trials in Clinical Research. Stephen Senn. Second Edition: Published August 2002 ISBN 0 471 49653 7</w:t>
      </w:r>
    </w:p>
    <w:p>
      <w:pPr>
        <w:pStyle w:val="BodyText"/>
      </w:pPr>
      <w:r>
        <w:t xml:space="preserve">KR REF:</w:t>
      </w:r>
      <w:r>
        <w:t xml:space="preserve"> </w:t>
      </w:r>
      <w:r>
        <w:t xml:space="preserve">Ulrich Halekoh, Søren Højsgaard (2014)., A Kenward-Roger Approximation and Parametric Bootstrap</w:t>
      </w:r>
      <w:r>
        <w:t xml:space="preserve"> </w:t>
      </w:r>
      <w:r>
        <w:t xml:space="preserve">Methods for Tests in Linear Mixed Models - The R Package pbkrtest., Journal of Statistical</w:t>
      </w:r>
      <w:r>
        <w:t xml:space="preserve"> </w:t>
      </w:r>
      <w:r>
        <w:t xml:space="preserve">Software, 58(10), 1-30.,</w:t>
      </w:r>
      <w:r>
        <w:t xml:space="preserve"> </w:t>
      </w:r>
      <w:hyperlink r:id="rId21">
        <w:r>
          <w:rPr>
            <w:rStyle w:val="Hyperlink"/>
          </w:rPr>
          <w:t xml:space="preserve">http://www.jstatsoft.org/v59/i09/</w:t>
        </w:r>
      </w:hyperlink>
    </w:p>
    <w:p>
      <w:pPr>
        <w:pStyle w:val="BodyText"/>
      </w:pPr>
      <w:r>
        <w:t xml:space="preserve">To evalaute the possilbity of heterogeneity of treatment effects, we followed the advice of Cortes et al. (REF) and calulated the various outcome variances for the baseline and end-of-period values under the active treatment condtion, and tested wheher the resulting outcome-specific variance ratios were equal to 1 using a two-sided Pitman Morgan test for paired observations (REF). We reported exact p-values from this test.</w:t>
      </w:r>
    </w:p>
    <w:p>
      <w:pPr>
        <w:pStyle w:val="BodyText"/>
      </w:pPr>
      <w:r>
        <w:t xml:space="preserve">Cortes REF:</w:t>
      </w:r>
      <w:r>
        <w:t xml:space="preserve"> </w:t>
      </w:r>
      <w:r>
        <w:t xml:space="preserve">Cortés J, González JA, Medina MN et al. Does evidence support the high expectations placed in precision medicine? A bibliographic review [version 5; peer review: 2 approved, 1 approved with reservations, 3 not approved]. F1000Research 2019, 7:30 (</w:t>
      </w:r>
      <w:hyperlink r:id="rId22">
        <w:r>
          <w:rPr>
            <w:rStyle w:val="Hyperlink"/>
          </w:rPr>
          <w:t xml:space="preserve">https://doi.org/10.12688/f1000research.13490.5</w:t>
        </w:r>
      </w:hyperlink>
      <w:r>
        <w:t xml:space="preserve">)</w:t>
      </w:r>
    </w:p>
    <w:p>
      <w:pPr>
        <w:pStyle w:val="BodyText"/>
      </w:pPr>
      <w:r>
        <w:t xml:space="preserve">Pitman-Morgan REFs:</w:t>
      </w:r>
      <w:r>
        <w:t xml:space="preserve"> </w:t>
      </w:r>
      <w:r>
        <w:t xml:space="preserve">Sachs L: Applied Statistics: A Handbook of Techniques. 2nd ed. New York: Springer-Verlag, 1984.</w:t>
      </w:r>
    </w:p>
    <w:p>
      <w:pPr>
        <w:pStyle w:val="BodyText"/>
      </w:pPr>
      <w:r>
        <w:t xml:space="preserve">Morgan, W.A. (1939) A test for the significance of the difference between two variances in a sample from a normal bivariate distribution. Biometrika, 31, 13-19.</w:t>
      </w:r>
    </w:p>
    <w:p>
      <w:pPr>
        <w:pStyle w:val="BodyText"/>
      </w:pPr>
      <w:r>
        <w:t xml:space="preserve">All analyses were conducted using R language for statistical computing software V3.6.0 (2019-04-26). We used the lme4 package (REF) to estimate mixed effects models; ggplot2 (REF) to generate plots; and sjPlot to produce tables of model results. All anonymized data and the code used for the analysis and to generate outputs can be found on the Open Science Framework (</w:t>
      </w:r>
      <w:hyperlink r:id="rId23">
        <w:r>
          <w:rPr>
            <w:rStyle w:val="Hyperlink"/>
          </w:rPr>
          <w:t xml:space="preserve">https://osf.io/zq4y9/</w:t>
        </w:r>
      </w:hyperlink>
      <w:r>
        <w:t xml:space="preserve">).</w:t>
      </w:r>
    </w:p>
    <w:p>
      <w:pPr>
        <w:pStyle w:val="BodyText"/>
      </w:pPr>
      <w:r>
        <w:t xml:space="preserve">Table 1. Respondent characteristics</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 SD</w:t>
            </w:r>
          </w:p>
        </w:tc>
        <w:tc>
          <w:tcPr>
            <w:tcBorders>
              <w:bottom w:val="single"/>
            </w:tcBorders>
            <w:vAlign w:val="bottom"/>
          </w:tcPr>
          <w:p>
            <w:pPr>
              <w:pStyle w:val="Compact"/>
              <w:jc w:val="left"/>
            </w:pPr>
            <w:r>
              <w:t xml:space="preserve">Median [IQR]</w:t>
            </w:r>
          </w:p>
        </w:tc>
        <w:tc>
          <w:tcPr>
            <w:tcBorders>
              <w:bottom w:val="single"/>
            </w:tcBorders>
            <w:vAlign w:val="bottom"/>
          </w:tcPr>
          <w:p>
            <w:pPr>
              <w:pStyle w:val="Compact"/>
              <w:jc w:val="left"/>
            </w:pPr>
            <w:r>
              <w:t xml:space="preserve">(Min, Max)</w:t>
            </w:r>
          </w:p>
        </w:tc>
      </w:tr>
      <w:tr>
        <w:tc>
          <w:p>
            <w:pPr>
              <w:pStyle w:val="Compact"/>
              <w:jc w:val="left"/>
            </w:pPr>
            <w:r>
              <w:t xml:space="preserve">Sequence</w:t>
            </w:r>
          </w:p>
        </w:tc>
        <w:tc>
          <w:p>
            <w:pPr>
              <w:pStyle w:val="Compact"/>
              <w:jc w:val="left"/>
            </w:pPr>
            <w:r>
              <w:t xml:space="preserve">80</w:t>
            </w:r>
          </w:p>
        </w:tc>
        <w:tc>
          <w:p>
            <w:pPr>
              <w:pStyle w:val="Compact"/>
              <w:jc w:val="left"/>
            </w:pPr>
            <w:r>
              <w:t xml:space="preserve">0.5 ± 0.5</w:t>
            </w:r>
          </w:p>
        </w:tc>
        <w:tc>
          <w:p>
            <w:pPr>
              <w:pStyle w:val="Compact"/>
              <w:jc w:val="left"/>
            </w:pPr>
            <w:r>
              <w:t xml:space="preserve">0.5 (0, 1)</w:t>
            </w:r>
          </w:p>
        </w:tc>
        <w:tc>
          <w:p>
            <w:pPr>
              <w:pStyle w:val="Compact"/>
              <w:jc w:val="left"/>
            </w:pPr>
            <w:r>
              <w:t xml:space="preserve">(0, 1)</w:t>
            </w:r>
          </w:p>
        </w:tc>
      </w:tr>
      <w:tr>
        <w:tc>
          <w:p>
            <w:pPr>
              <w:pStyle w:val="Compact"/>
              <w:jc w:val="left"/>
            </w:pPr>
            <w:r>
              <w:t xml:space="preserve">Sex</w:t>
            </w:r>
          </w:p>
        </w:tc>
        <w:tc>
          <w:p>
            <w:pPr>
              <w:pStyle w:val="Compact"/>
              <w:jc w:val="left"/>
            </w:pPr>
            <w:r>
              <w:t xml:space="preserve">80</w:t>
            </w:r>
          </w:p>
        </w:tc>
        <w:tc>
          <w:p/>
        </w:tc>
        <w:tc>
          <w:p/>
        </w:tc>
        <w:tc>
          <w:p/>
        </w:tc>
      </w:tr>
      <w:tr>
        <w:tc>
          <w:p>
            <w:pPr>
              <w:pStyle w:val="Compact"/>
              <w:jc w:val="left"/>
            </w:pPr>
            <w:r>
              <w:t xml:space="preserve">Male</w:t>
            </w:r>
          </w:p>
        </w:tc>
        <w:tc>
          <w:p/>
        </w:tc>
        <w:tc>
          <w:p>
            <w:pPr>
              <w:pStyle w:val="Compact"/>
              <w:jc w:val="left"/>
            </w:pPr>
            <w:r>
              <w:t xml:space="preserve">46 (57.5%)</w:t>
            </w:r>
          </w:p>
        </w:tc>
        <w:tc>
          <w:p/>
        </w:tc>
        <w:tc>
          <w:p/>
        </w:tc>
      </w:tr>
      <w:tr>
        <w:tc>
          <w:p>
            <w:pPr>
              <w:pStyle w:val="Compact"/>
              <w:jc w:val="left"/>
            </w:pPr>
            <w:r>
              <w:t xml:space="preserve">Female</w:t>
            </w:r>
          </w:p>
        </w:tc>
        <w:tc>
          <w:p/>
        </w:tc>
        <w:tc>
          <w:p>
            <w:pPr>
              <w:pStyle w:val="Compact"/>
              <w:jc w:val="left"/>
            </w:pPr>
            <w:r>
              <w:t xml:space="preserve">34 (42.5%)</w:t>
            </w:r>
          </w:p>
        </w:tc>
        <w:tc>
          <w:p/>
        </w:tc>
        <w:tc>
          <w:p/>
        </w:tc>
      </w:tr>
      <w:tr>
        <w:tc>
          <w:p>
            <w:pPr>
              <w:pStyle w:val="Compact"/>
              <w:jc w:val="left"/>
            </w:pPr>
            <w:r>
              <w:t xml:space="preserve">Age Screening</w:t>
            </w:r>
          </w:p>
        </w:tc>
        <w:tc>
          <w:p>
            <w:pPr>
              <w:pStyle w:val="Compact"/>
              <w:jc w:val="left"/>
            </w:pPr>
            <w:r>
              <w:t xml:space="preserve">80</w:t>
            </w:r>
          </w:p>
        </w:tc>
        <w:tc>
          <w:p>
            <w:pPr>
              <w:pStyle w:val="Compact"/>
              <w:jc w:val="left"/>
            </w:pPr>
            <w:r>
              <w:t xml:space="preserve">57.7 ± 6.3</w:t>
            </w:r>
          </w:p>
        </w:tc>
        <w:tc>
          <w:p>
            <w:pPr>
              <w:pStyle w:val="Compact"/>
              <w:jc w:val="left"/>
            </w:pPr>
            <w:r>
              <w:t xml:space="preserve">57 (52, 63)</w:t>
            </w:r>
          </w:p>
        </w:tc>
        <w:tc>
          <w:p>
            <w:pPr>
              <w:pStyle w:val="Compact"/>
              <w:jc w:val="left"/>
            </w:pPr>
            <w:r>
              <w:t xml:space="preserve">(45, 70)</w:t>
            </w:r>
          </w:p>
        </w:tc>
      </w:tr>
      <w:tr>
        <w:tc>
          <w:p>
            <w:pPr>
              <w:pStyle w:val="Compact"/>
              <w:jc w:val="left"/>
            </w:pPr>
            <w:r>
              <w:t xml:space="preserve">Height m</w:t>
            </w:r>
          </w:p>
        </w:tc>
        <w:tc>
          <w:p>
            <w:pPr>
              <w:pStyle w:val="Compact"/>
              <w:jc w:val="left"/>
            </w:pPr>
            <w:r>
              <w:t xml:space="preserve">80</w:t>
            </w:r>
          </w:p>
        </w:tc>
        <w:tc>
          <w:p>
            <w:pPr>
              <w:pStyle w:val="Compact"/>
              <w:jc w:val="left"/>
            </w:pPr>
            <w:r>
              <w:t xml:space="preserve">1.7 ± 0.1</w:t>
            </w:r>
          </w:p>
        </w:tc>
        <w:tc>
          <w:p>
            <w:pPr>
              <w:pStyle w:val="Compact"/>
              <w:jc w:val="left"/>
            </w:pPr>
            <w:r>
              <w:t xml:space="preserve">1.7 (1.6, 1.8)</w:t>
            </w:r>
          </w:p>
        </w:tc>
        <w:tc>
          <w:p>
            <w:pPr>
              <w:pStyle w:val="Compact"/>
              <w:jc w:val="left"/>
            </w:pPr>
            <w:r>
              <w:t xml:space="preserve">(1.5, 1.9)</w:t>
            </w:r>
          </w:p>
        </w:tc>
      </w:tr>
      <w:tr>
        <w:tc>
          <w:p>
            <w:pPr>
              <w:pStyle w:val="Compact"/>
              <w:jc w:val="left"/>
            </w:pPr>
            <w:r>
              <w:t xml:space="preserve">Weight Kg Screen</w:t>
            </w:r>
          </w:p>
        </w:tc>
        <w:tc>
          <w:p>
            <w:pPr>
              <w:pStyle w:val="Compact"/>
              <w:jc w:val="left"/>
            </w:pPr>
            <w:r>
              <w:t xml:space="preserve">80</w:t>
            </w:r>
          </w:p>
        </w:tc>
        <w:tc>
          <w:p>
            <w:pPr>
              <w:pStyle w:val="Compact"/>
              <w:jc w:val="left"/>
            </w:pPr>
            <w:r>
              <w:t xml:space="preserve">80.5 ± 13.2</w:t>
            </w:r>
          </w:p>
        </w:tc>
        <w:tc>
          <w:p>
            <w:pPr>
              <w:pStyle w:val="Compact"/>
              <w:jc w:val="left"/>
            </w:pPr>
            <w:r>
              <w:t xml:space="preserve">81 (70, 91)</w:t>
            </w:r>
          </w:p>
        </w:tc>
        <w:tc>
          <w:p>
            <w:pPr>
              <w:pStyle w:val="Compact"/>
              <w:jc w:val="left"/>
            </w:pPr>
            <w:r>
              <w:t xml:space="preserve">(53.5, 106.3)</w:t>
            </w:r>
          </w:p>
        </w:tc>
      </w:tr>
      <w:tr>
        <w:tc>
          <w:p>
            <w:pPr>
              <w:pStyle w:val="Compact"/>
              <w:jc w:val="left"/>
            </w:pPr>
            <w:r>
              <w:t xml:space="preserve">Bmi Screening</w:t>
            </w:r>
          </w:p>
        </w:tc>
        <w:tc>
          <w:p>
            <w:pPr>
              <w:pStyle w:val="Compact"/>
              <w:jc w:val="left"/>
            </w:pPr>
            <w:r>
              <w:t xml:space="preserve">80</w:t>
            </w:r>
          </w:p>
        </w:tc>
        <w:tc>
          <w:p>
            <w:pPr>
              <w:pStyle w:val="Compact"/>
              <w:jc w:val="left"/>
            </w:pPr>
            <w:r>
              <w:t xml:space="preserve">27.7 ± 3.5</w:t>
            </w:r>
          </w:p>
        </w:tc>
        <w:tc>
          <w:p>
            <w:pPr>
              <w:pStyle w:val="Compact"/>
              <w:jc w:val="left"/>
            </w:pPr>
            <w:r>
              <w:t xml:space="preserve">27.8 (25, 29.9)</w:t>
            </w:r>
          </w:p>
        </w:tc>
        <w:tc>
          <w:p>
            <w:pPr>
              <w:pStyle w:val="Compact"/>
              <w:jc w:val="left"/>
            </w:pPr>
            <w:r>
              <w:t xml:space="preserve">(20.4, 37.2)</w:t>
            </w:r>
          </w:p>
        </w:tc>
      </w:tr>
      <w:tr>
        <w:tc>
          <w:p>
            <w:pPr>
              <w:pStyle w:val="Compact"/>
              <w:jc w:val="left"/>
            </w:pPr>
            <w:r>
              <w:t xml:space="preserve">Sbpscreening</w:t>
            </w:r>
          </w:p>
        </w:tc>
        <w:tc>
          <w:p>
            <w:pPr>
              <w:pStyle w:val="Compact"/>
              <w:jc w:val="left"/>
            </w:pPr>
            <w:r>
              <w:t xml:space="preserve">80</w:t>
            </w:r>
          </w:p>
        </w:tc>
        <w:tc>
          <w:p>
            <w:pPr>
              <w:pStyle w:val="Compact"/>
              <w:jc w:val="left"/>
            </w:pPr>
            <w:r>
              <w:t xml:space="preserve">140.5 ± 10.3</w:t>
            </w:r>
          </w:p>
        </w:tc>
        <w:tc>
          <w:p>
            <w:pPr>
              <w:pStyle w:val="Compact"/>
              <w:jc w:val="left"/>
            </w:pPr>
            <w:r>
              <w:t xml:space="preserve">140 (132.8, 146)</w:t>
            </w:r>
          </w:p>
        </w:tc>
        <w:tc>
          <w:p>
            <w:pPr>
              <w:pStyle w:val="Compact"/>
              <w:jc w:val="left"/>
            </w:pPr>
            <w:r>
              <w:t xml:space="preserve">(124, 171)</w:t>
            </w:r>
          </w:p>
        </w:tc>
      </w:tr>
      <w:tr>
        <w:tc>
          <w:p>
            <w:pPr>
              <w:pStyle w:val="Compact"/>
              <w:jc w:val="left"/>
            </w:pPr>
            <w:r>
              <w:t xml:space="preserve">Dbpscreening</w:t>
            </w:r>
          </w:p>
        </w:tc>
        <w:tc>
          <w:p>
            <w:pPr>
              <w:pStyle w:val="Compact"/>
              <w:jc w:val="left"/>
            </w:pPr>
            <w:r>
              <w:t xml:space="preserve">80</w:t>
            </w:r>
          </w:p>
        </w:tc>
        <w:tc>
          <w:p>
            <w:pPr>
              <w:pStyle w:val="Compact"/>
              <w:jc w:val="left"/>
            </w:pPr>
            <w:r>
              <w:t xml:space="preserve">89.7 ± 8.8</w:t>
            </w:r>
          </w:p>
        </w:tc>
        <w:tc>
          <w:p>
            <w:pPr>
              <w:pStyle w:val="Compact"/>
              <w:jc w:val="left"/>
            </w:pPr>
            <w:r>
              <w:t xml:space="preserve">90 (84, 95.2)</w:t>
            </w:r>
          </w:p>
        </w:tc>
        <w:tc>
          <w:p>
            <w:pPr>
              <w:pStyle w:val="Compact"/>
              <w:jc w:val="left"/>
            </w:pPr>
            <w:r>
              <w:t xml:space="preserve">(67, 112)</w:t>
            </w:r>
          </w:p>
        </w:tc>
      </w:tr>
      <w:tr>
        <w:tc>
          <w:p>
            <w:pPr>
              <w:pStyle w:val="Compact"/>
              <w:jc w:val="left"/>
            </w:pPr>
            <w:r>
              <w:t xml:space="preserve">Smoking Ever</w:t>
            </w:r>
          </w:p>
        </w:tc>
        <w:tc>
          <w:p>
            <w:pPr>
              <w:pStyle w:val="Compact"/>
              <w:jc w:val="left"/>
            </w:pPr>
            <w:r>
              <w:t xml:space="preserve">80</w:t>
            </w:r>
          </w:p>
        </w:tc>
        <w:tc>
          <w:p/>
        </w:tc>
        <w:tc>
          <w:p/>
        </w:tc>
        <w:tc>
          <w:p/>
        </w:tc>
      </w:tr>
      <w:tr>
        <w:tc>
          <w:p>
            <w:pPr>
              <w:pStyle w:val="Compact"/>
              <w:jc w:val="left"/>
            </w:pPr>
            <w:r>
              <w:t xml:space="preserve">No</w:t>
            </w:r>
          </w:p>
        </w:tc>
        <w:tc>
          <w:p/>
        </w:tc>
        <w:tc>
          <w:p>
            <w:pPr>
              <w:pStyle w:val="Compact"/>
              <w:jc w:val="left"/>
            </w:pPr>
            <w:r>
              <w:t xml:space="preserve">57 (71.2%)</w:t>
            </w:r>
          </w:p>
        </w:tc>
        <w:tc>
          <w:p/>
        </w:tc>
        <w:tc>
          <w:p/>
        </w:tc>
      </w:tr>
      <w:tr>
        <w:tc>
          <w:p>
            <w:pPr>
              <w:pStyle w:val="Compact"/>
              <w:jc w:val="left"/>
            </w:pPr>
            <w:r>
              <w:t xml:space="preserve">Yes</w:t>
            </w:r>
          </w:p>
        </w:tc>
        <w:tc>
          <w:p/>
        </w:tc>
        <w:tc>
          <w:p>
            <w:pPr>
              <w:pStyle w:val="Compact"/>
              <w:jc w:val="left"/>
            </w:pPr>
            <w:r>
              <w:t xml:space="preserve">23 (28.8%)</w:t>
            </w:r>
          </w:p>
        </w:tc>
        <w:tc>
          <w:p/>
        </w:tc>
        <w:tc>
          <w:p/>
        </w:tc>
      </w:tr>
      <w:tr>
        <w:tc>
          <w:p>
            <w:pPr>
              <w:pStyle w:val="Compact"/>
              <w:jc w:val="left"/>
            </w:pPr>
            <w:r>
              <w:t xml:space="preserve">Alcohol Consumption</w:t>
            </w:r>
          </w:p>
        </w:tc>
        <w:tc>
          <w:p>
            <w:pPr>
              <w:pStyle w:val="Compact"/>
              <w:jc w:val="left"/>
            </w:pPr>
            <w:r>
              <w:t xml:space="preserve">80</w:t>
            </w:r>
          </w:p>
        </w:tc>
        <w:tc>
          <w:p/>
        </w:tc>
        <w:tc>
          <w:p/>
        </w:tc>
        <w:tc>
          <w:p/>
        </w:tc>
      </w:tr>
      <w:tr>
        <w:tc>
          <w:p>
            <w:pPr>
              <w:pStyle w:val="Compact"/>
              <w:jc w:val="left"/>
            </w:pPr>
            <w:r>
              <w:t xml:space="preserve">No</w:t>
            </w:r>
          </w:p>
        </w:tc>
        <w:tc>
          <w:p/>
        </w:tc>
        <w:tc>
          <w:p>
            <w:pPr>
              <w:pStyle w:val="Compact"/>
              <w:jc w:val="left"/>
            </w:pPr>
            <w:r>
              <w:t xml:space="preserve">19 (23.8%)</w:t>
            </w:r>
          </w:p>
        </w:tc>
        <w:tc>
          <w:p/>
        </w:tc>
        <w:tc>
          <w:p/>
        </w:tc>
      </w:tr>
      <w:tr>
        <w:tc>
          <w:p>
            <w:pPr>
              <w:pStyle w:val="Compact"/>
              <w:jc w:val="left"/>
            </w:pPr>
            <w:r>
              <w:t xml:space="preserve">Yes</w:t>
            </w:r>
          </w:p>
        </w:tc>
        <w:tc>
          <w:p/>
        </w:tc>
        <w:tc>
          <w:p>
            <w:pPr>
              <w:pStyle w:val="Compact"/>
              <w:jc w:val="left"/>
            </w:pPr>
            <w:r>
              <w:t xml:space="preserve">61 (76.2%)</w:t>
            </w:r>
          </w:p>
        </w:tc>
        <w:tc>
          <w:p/>
        </w:tc>
        <w:tc>
          <w:p/>
        </w:tc>
      </w:tr>
      <w:tr>
        <w:tc>
          <w:p>
            <w:pPr>
              <w:pStyle w:val="Compact"/>
              <w:jc w:val="left"/>
            </w:pPr>
            <w:r>
              <w:t xml:space="preserve">Physical Mins</w:t>
            </w:r>
          </w:p>
        </w:tc>
        <w:tc>
          <w:p>
            <w:pPr>
              <w:pStyle w:val="Compact"/>
              <w:jc w:val="left"/>
            </w:pPr>
            <w:r>
              <w:t xml:space="preserve">52</w:t>
            </w:r>
          </w:p>
        </w:tc>
        <w:tc>
          <w:p>
            <w:pPr>
              <w:pStyle w:val="Compact"/>
              <w:jc w:val="left"/>
            </w:pPr>
            <w:r>
              <w:t xml:space="preserve">45.2 ± 32.3</w:t>
            </w:r>
          </w:p>
        </w:tc>
        <w:tc>
          <w:p>
            <w:pPr>
              <w:pStyle w:val="Compact"/>
              <w:jc w:val="left"/>
            </w:pPr>
            <w:r>
              <w:t xml:space="preserve">34.3 (21.5, 60)</w:t>
            </w:r>
          </w:p>
        </w:tc>
        <w:tc>
          <w:p>
            <w:pPr>
              <w:pStyle w:val="Compact"/>
              <w:jc w:val="left"/>
            </w:pPr>
            <w:r>
              <w:t xml:space="preserve">(9, 148)</w:t>
            </w:r>
          </w:p>
        </w:tc>
      </w:tr>
      <w:tr>
        <w:tc>
          <w:p>
            <w:pPr>
              <w:pStyle w:val="Compact"/>
              <w:jc w:val="left"/>
            </w:pPr>
            <w:r>
              <w:t xml:space="preserve">Tv Hours</w:t>
            </w:r>
          </w:p>
        </w:tc>
        <w:tc>
          <w:p>
            <w:pPr>
              <w:pStyle w:val="Compact"/>
              <w:jc w:val="left"/>
            </w:pPr>
            <w:r>
              <w:t xml:space="preserve">79</w:t>
            </w:r>
          </w:p>
        </w:tc>
        <w:tc>
          <w:p>
            <w:pPr>
              <w:pStyle w:val="Compact"/>
              <w:jc w:val="left"/>
            </w:pPr>
            <w:r>
              <w:t xml:space="preserve">1.9 ± 1.7</w:t>
            </w:r>
          </w:p>
        </w:tc>
        <w:tc>
          <w:p>
            <w:pPr>
              <w:pStyle w:val="Compact"/>
              <w:jc w:val="left"/>
            </w:pPr>
            <w:r>
              <w:t xml:space="preserve">1.5 (1, 2.5)</w:t>
            </w:r>
          </w:p>
        </w:tc>
        <w:tc>
          <w:p>
            <w:pPr>
              <w:pStyle w:val="Compact"/>
              <w:jc w:val="left"/>
            </w:pPr>
            <w:r>
              <w:t xml:space="preserve">(0, 12)</w:t>
            </w:r>
          </w:p>
        </w:tc>
      </w:tr>
      <w:tr>
        <w:tc>
          <w:p>
            <w:pPr>
              <w:pStyle w:val="Compact"/>
              <w:jc w:val="left"/>
            </w:pPr>
            <w:r>
              <w:t xml:space="preserve">Sleep Hours</w:t>
            </w:r>
          </w:p>
        </w:tc>
        <w:tc>
          <w:p>
            <w:pPr>
              <w:pStyle w:val="Compact"/>
              <w:jc w:val="left"/>
            </w:pPr>
            <w:r>
              <w:t xml:space="preserve">79</w:t>
            </w:r>
          </w:p>
        </w:tc>
        <w:tc>
          <w:p>
            <w:pPr>
              <w:pStyle w:val="Compact"/>
              <w:jc w:val="left"/>
            </w:pPr>
            <w:r>
              <w:t xml:space="preserve">7 ± 1.1</w:t>
            </w:r>
          </w:p>
        </w:tc>
        <w:tc>
          <w:p>
            <w:pPr>
              <w:pStyle w:val="Compact"/>
              <w:jc w:val="left"/>
            </w:pPr>
            <w:r>
              <w:t xml:space="preserve">7 (6.5, 8)</w:t>
            </w:r>
          </w:p>
        </w:tc>
        <w:tc>
          <w:p>
            <w:pPr>
              <w:pStyle w:val="Compact"/>
              <w:jc w:val="left"/>
            </w:pPr>
            <w:r>
              <w:t xml:space="preserve">(3.5, 10)</w:t>
            </w:r>
          </w:p>
        </w:tc>
      </w:tr>
      <w:tr>
        <w:tc>
          <w:p>
            <w:pPr>
              <w:pStyle w:val="Compact"/>
              <w:jc w:val="left"/>
            </w:pPr>
            <w:r>
              <w:t xml:space="preserve">Occupation</w:t>
            </w:r>
          </w:p>
        </w:tc>
        <w:tc>
          <w:p>
            <w:pPr>
              <w:pStyle w:val="Compact"/>
              <w:jc w:val="left"/>
            </w:pPr>
            <w:r>
              <w:t xml:space="preserve">79</w:t>
            </w:r>
          </w:p>
        </w:tc>
        <w:tc>
          <w:p/>
        </w:tc>
        <w:tc>
          <w:p/>
        </w:tc>
        <w:tc>
          <w:p/>
        </w:tc>
      </w:tr>
      <w:tr>
        <w:tc>
          <w:p>
            <w:pPr>
              <w:pStyle w:val="Compact"/>
              <w:jc w:val="left"/>
            </w:pPr>
            <w:r>
              <w:t xml:space="preserve">Professional/Managerial/Technical</w:t>
            </w:r>
          </w:p>
        </w:tc>
        <w:tc>
          <w:p/>
        </w:tc>
        <w:tc>
          <w:p>
            <w:pPr>
              <w:pStyle w:val="Compact"/>
              <w:jc w:val="left"/>
            </w:pPr>
            <w:r>
              <w:t xml:space="preserve">35 (44.3%)</w:t>
            </w:r>
          </w:p>
        </w:tc>
        <w:tc>
          <w:p/>
        </w:tc>
        <w:tc>
          <w:p/>
        </w:tc>
      </w:tr>
      <w:tr>
        <w:tc>
          <w:p>
            <w:pPr>
              <w:pStyle w:val="Compact"/>
              <w:jc w:val="left"/>
            </w:pPr>
            <w:r>
              <w:t xml:space="preserve">Non-Manual Skilled</w:t>
            </w:r>
          </w:p>
        </w:tc>
        <w:tc>
          <w:p/>
        </w:tc>
        <w:tc>
          <w:p>
            <w:pPr>
              <w:pStyle w:val="Compact"/>
              <w:jc w:val="left"/>
            </w:pPr>
            <w:r>
              <w:t xml:space="preserve">19 (24.1%)</w:t>
            </w:r>
          </w:p>
        </w:tc>
        <w:tc>
          <w:p/>
        </w:tc>
        <w:tc>
          <w:p/>
        </w:tc>
      </w:tr>
      <w:tr>
        <w:tc>
          <w:p>
            <w:pPr>
              <w:pStyle w:val="Compact"/>
              <w:jc w:val="left"/>
            </w:pPr>
            <w:r>
              <w:t xml:space="preserve">Manual Skilled</w:t>
            </w:r>
          </w:p>
        </w:tc>
        <w:tc>
          <w:p/>
        </w:tc>
        <w:tc>
          <w:p>
            <w:pPr>
              <w:pStyle w:val="Compact"/>
              <w:jc w:val="left"/>
            </w:pPr>
            <w:r>
              <w:t xml:space="preserve">15 (19%)</w:t>
            </w:r>
          </w:p>
        </w:tc>
        <w:tc>
          <w:p/>
        </w:tc>
        <w:tc>
          <w:p/>
        </w:tc>
      </w:tr>
      <w:tr>
        <w:tc>
          <w:p>
            <w:pPr>
              <w:pStyle w:val="Compact"/>
              <w:jc w:val="left"/>
            </w:pPr>
            <w:r>
              <w:t xml:space="preserve">Semi Skilled/Unskilled (Including Students)</w:t>
            </w:r>
          </w:p>
        </w:tc>
        <w:tc>
          <w:p/>
        </w:tc>
        <w:tc>
          <w:p>
            <w:pPr>
              <w:pStyle w:val="Compact"/>
              <w:jc w:val="left"/>
            </w:pPr>
            <w:r>
              <w:t xml:space="preserve">1 (1.3%)</w:t>
            </w:r>
          </w:p>
        </w:tc>
        <w:tc>
          <w:p/>
        </w:tc>
        <w:tc>
          <w:p/>
        </w:tc>
      </w:tr>
      <w:tr>
        <w:tc>
          <w:p>
            <w:pPr>
              <w:pStyle w:val="Compact"/>
              <w:jc w:val="left"/>
            </w:pPr>
            <w:r>
              <w:t xml:space="preserve">Not Disclosed</w:t>
            </w:r>
          </w:p>
        </w:tc>
        <w:tc>
          <w:p/>
        </w:tc>
        <w:tc>
          <w:p>
            <w:pPr>
              <w:pStyle w:val="Compact"/>
              <w:jc w:val="left"/>
            </w:pPr>
            <w:r>
              <w:t xml:space="preserve">9 (11.4%)</w:t>
            </w:r>
          </w:p>
        </w:tc>
        <w:tc>
          <w:p/>
        </w:tc>
        <w:tc>
          <w:p/>
        </w:tc>
      </w:tr>
      <w:tr>
        <w:tc>
          <w:p>
            <w:pPr>
              <w:pStyle w:val="Compact"/>
              <w:jc w:val="left"/>
            </w:pPr>
            <w:r>
              <w:t xml:space="preserve">Educationcategory</w:t>
            </w:r>
          </w:p>
        </w:tc>
        <w:tc>
          <w:p>
            <w:pPr>
              <w:pStyle w:val="Compact"/>
              <w:jc w:val="left"/>
            </w:pPr>
            <w:r>
              <w:t xml:space="preserve">79</w:t>
            </w:r>
          </w:p>
        </w:tc>
        <w:tc>
          <w:p/>
        </w:tc>
        <w:tc>
          <w:p/>
        </w:tc>
        <w:tc>
          <w:p/>
        </w:tc>
      </w:tr>
      <w:tr>
        <w:tc>
          <w:p>
            <w:pPr>
              <w:pStyle w:val="Compact"/>
              <w:jc w:val="left"/>
            </w:pPr>
            <w:r>
              <w:t xml:space="preserve">Primary School</w:t>
            </w:r>
          </w:p>
        </w:tc>
        <w:tc>
          <w:p/>
        </w:tc>
        <w:tc>
          <w:p>
            <w:pPr>
              <w:pStyle w:val="Compact"/>
              <w:jc w:val="left"/>
            </w:pPr>
            <w:r>
              <w:t xml:space="preserve">2 (2.5%)</w:t>
            </w:r>
          </w:p>
        </w:tc>
        <w:tc>
          <w:p/>
        </w:tc>
        <w:tc>
          <w:p/>
        </w:tc>
      </w:tr>
      <w:tr>
        <w:tc>
          <w:p>
            <w:pPr>
              <w:pStyle w:val="Compact"/>
              <w:jc w:val="left"/>
            </w:pPr>
            <w:r>
              <w:t xml:space="preserve">Secondary School</w:t>
            </w:r>
          </w:p>
        </w:tc>
        <w:tc>
          <w:p/>
        </w:tc>
        <w:tc>
          <w:p>
            <w:pPr>
              <w:pStyle w:val="Compact"/>
              <w:jc w:val="left"/>
            </w:pPr>
            <w:r>
              <w:t xml:space="preserve">22 (27.8%)</w:t>
            </w:r>
          </w:p>
        </w:tc>
        <w:tc>
          <w:p/>
        </w:tc>
        <w:tc>
          <w:p/>
        </w:tc>
      </w:tr>
      <w:tr>
        <w:tc>
          <w:p>
            <w:pPr>
              <w:pStyle w:val="Compact"/>
              <w:jc w:val="left"/>
            </w:pPr>
            <w:r>
              <w:t xml:space="preserve">University Degree</w:t>
            </w:r>
          </w:p>
        </w:tc>
        <w:tc>
          <w:p/>
        </w:tc>
        <w:tc>
          <w:p>
            <w:pPr>
              <w:pStyle w:val="Compact"/>
              <w:jc w:val="left"/>
            </w:pPr>
            <w:r>
              <w:t xml:space="preserve">32 (40.5%)</w:t>
            </w:r>
          </w:p>
        </w:tc>
        <w:tc>
          <w:p/>
        </w:tc>
        <w:tc>
          <w:p/>
        </w:tc>
      </w:tr>
      <w:tr>
        <w:tc>
          <w:p>
            <w:pPr>
              <w:pStyle w:val="Compact"/>
              <w:jc w:val="left"/>
            </w:pPr>
            <w:r>
              <w:t xml:space="preserve">Other Professional Qualification</w:t>
            </w:r>
          </w:p>
        </w:tc>
        <w:tc>
          <w:p/>
        </w:tc>
        <w:tc>
          <w:p>
            <w:pPr>
              <w:pStyle w:val="Compact"/>
              <w:jc w:val="left"/>
            </w:pPr>
            <w:r>
              <w:t xml:space="preserve">23 (29.1%)</w:t>
            </w:r>
          </w:p>
        </w:tc>
        <w:tc>
          <w:p/>
        </w:tc>
        <w:tc>
          <w:p/>
        </w:tc>
      </w:tr>
    </w:tbl>
    <w:p>
      <w:pPr>
        <w:pStyle w:val="BodyText"/>
      </w:pPr>
      <w:r>
        <w:t xml:space="preserve">Table 2. Blood pressure outcomes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right"/>
            </w:pPr>
            <w:r>
              <w:t xml:space="preserve">n_control</w:t>
            </w:r>
          </w:p>
        </w:tc>
        <w:tc>
          <w:tcPr>
            <w:tcBorders>
              <w:bottom w:val="single"/>
            </w:tcBorders>
            <w:vAlign w:val="bottom"/>
          </w:tcPr>
          <w:p>
            <w:pPr>
              <w:pStyle w:val="Compact"/>
              <w:jc w:val="left"/>
            </w:pPr>
            <w:r>
              <w:t xml:space="preserve">Control</w:t>
            </w:r>
          </w:p>
        </w:tc>
        <w:tc>
          <w:tcPr>
            <w:tcBorders>
              <w:bottom w:val="single"/>
            </w:tcBorders>
            <w:vAlign w:val="bottom"/>
          </w:tcPr>
          <w:p>
            <w:pPr>
              <w:pStyle w:val="Compact"/>
              <w:jc w:val="right"/>
            </w:pPr>
            <w:r>
              <w:t xml:space="preserve">n_active</w:t>
            </w:r>
          </w:p>
        </w:tc>
        <w:tc>
          <w:tcPr>
            <w:tcBorders>
              <w:bottom w:val="single"/>
            </w:tcBorders>
            <w:vAlign w:val="bottom"/>
          </w:tcPr>
          <w:p>
            <w:pPr>
              <w:pStyle w:val="Compact"/>
              <w:jc w:val="left"/>
            </w:pPr>
            <w:r>
              <w:t xml:space="preserve">Active</w:t>
            </w:r>
          </w:p>
        </w:tc>
        <w:tc>
          <w:tcPr>
            <w:tcBorders>
              <w:bottom w:val="single"/>
            </w:tcBorders>
            <w:vAlign w:val="bottom"/>
          </w:tcPr>
          <w:p>
            <w:pPr>
              <w:pStyle w:val="Compact"/>
              <w:jc w:val="right"/>
            </w:pPr>
            <w:r>
              <w:t xml:space="preserve">n_diff</w:t>
            </w:r>
          </w:p>
        </w:tc>
        <w:tc>
          <w:tcPr>
            <w:tcBorders>
              <w:bottom w:val="single"/>
            </w:tcBorders>
            <w:vAlign w:val="bottom"/>
          </w:tcPr>
          <w:p>
            <w:pPr>
              <w:pStyle w:val="Compact"/>
              <w:jc w:val="left"/>
            </w:pPr>
            <w:r>
              <w:t xml:space="preserve">Difference</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p</w:t>
            </w:r>
          </w:p>
        </w:tc>
      </w:tr>
      <w:tr>
        <w:tc>
          <w:p>
            <w:pPr>
              <w:pStyle w:val="Compact"/>
              <w:jc w:val="left"/>
            </w:pPr>
            <w:r>
              <w:t xml:space="preserve">SBP</w:t>
            </w:r>
          </w:p>
        </w:tc>
        <w:tc>
          <w:p>
            <w:pPr>
              <w:pStyle w:val="Compact"/>
              <w:jc w:val="right"/>
            </w:pPr>
            <w:r>
              <w:t xml:space="preserve">79</w:t>
            </w:r>
          </w:p>
        </w:tc>
        <w:tc>
          <w:p>
            <w:pPr>
              <w:pStyle w:val="Compact"/>
              <w:jc w:val="left"/>
            </w:pPr>
            <w:r>
              <w:t xml:space="preserve">140 (14)</w:t>
            </w:r>
          </w:p>
        </w:tc>
        <w:tc>
          <w:p>
            <w:pPr>
              <w:pStyle w:val="Compact"/>
              <w:jc w:val="right"/>
            </w:pPr>
            <w:r>
              <w:t xml:space="preserve">80</w:t>
            </w:r>
          </w:p>
        </w:tc>
        <w:tc>
          <w:p>
            <w:pPr>
              <w:pStyle w:val="Compact"/>
              <w:jc w:val="left"/>
            </w:pPr>
            <w:r>
              <w:t xml:space="preserve">140 (14)</w:t>
            </w:r>
          </w:p>
        </w:tc>
        <w:tc>
          <w:p>
            <w:pPr>
              <w:pStyle w:val="Compact"/>
              <w:jc w:val="right"/>
            </w:pPr>
            <w:r>
              <w:t xml:space="preserve">79</w:t>
            </w:r>
          </w:p>
        </w:tc>
        <w:tc>
          <w:p>
            <w:pPr>
              <w:pStyle w:val="Compact"/>
              <w:jc w:val="left"/>
            </w:pPr>
            <w:r>
              <w:t xml:space="preserve">0.089 (11)</w:t>
            </w:r>
          </w:p>
        </w:tc>
        <w:tc>
          <w:p>
            <w:pPr>
              <w:pStyle w:val="Compact"/>
              <w:jc w:val="left"/>
            </w:pPr>
            <w:r>
              <w:t xml:space="preserve">-0.4 (-3.18 to 2.38)</w:t>
            </w:r>
          </w:p>
        </w:tc>
        <w:tc>
          <w:p>
            <w:pPr>
              <w:pStyle w:val="Compact"/>
              <w:jc w:val="right"/>
            </w:pPr>
            <w:r>
              <w:t xml:space="preserve">0.78</w:t>
            </w:r>
          </w:p>
        </w:tc>
      </w:tr>
      <w:tr>
        <w:tc>
          <w:p>
            <w:pPr>
              <w:pStyle w:val="Compact"/>
              <w:jc w:val="left"/>
            </w:pPr>
            <w:r>
              <w:t xml:space="preserve">C SBP</w:t>
            </w:r>
          </w:p>
        </w:tc>
        <w:tc>
          <w:p>
            <w:pPr>
              <w:pStyle w:val="Compact"/>
              <w:jc w:val="right"/>
            </w:pPr>
            <w:r>
              <w:t xml:space="preserve">80</w:t>
            </w:r>
          </w:p>
        </w:tc>
        <w:tc>
          <w:p>
            <w:pPr>
              <w:pStyle w:val="Compact"/>
              <w:jc w:val="left"/>
            </w:pPr>
            <w:r>
              <w:t xml:space="preserve">140 (14)</w:t>
            </w:r>
          </w:p>
        </w:tc>
        <w:tc>
          <w:p>
            <w:pPr>
              <w:pStyle w:val="Compact"/>
              <w:jc w:val="right"/>
            </w:pPr>
            <w:r>
              <w:t xml:space="preserve">78</w:t>
            </w:r>
          </w:p>
        </w:tc>
        <w:tc>
          <w:p>
            <w:pPr>
              <w:pStyle w:val="Compact"/>
              <w:jc w:val="left"/>
            </w:pPr>
            <w:r>
              <w:t xml:space="preserve">140 (15)</w:t>
            </w:r>
          </w:p>
        </w:tc>
        <w:tc>
          <w:p>
            <w:pPr>
              <w:pStyle w:val="Compact"/>
              <w:jc w:val="right"/>
            </w:pPr>
            <w:r>
              <w:t xml:space="preserve">78</w:t>
            </w:r>
          </w:p>
        </w:tc>
        <w:tc>
          <w:p>
            <w:pPr>
              <w:pStyle w:val="Compact"/>
              <w:jc w:val="left"/>
            </w:pPr>
            <w:r>
              <w:t xml:space="preserve">1.4 (11)</w:t>
            </w:r>
          </w:p>
        </w:tc>
        <w:tc>
          <w:p>
            <w:pPr>
              <w:pStyle w:val="Compact"/>
              <w:jc w:val="left"/>
            </w:pPr>
            <w:r>
              <w:t xml:space="preserve">0.47 (-2.42 to 3.36)</w:t>
            </w:r>
          </w:p>
        </w:tc>
        <w:tc>
          <w:p>
            <w:pPr>
              <w:pStyle w:val="Compact"/>
              <w:jc w:val="right"/>
            </w:pPr>
            <w:r>
              <w:t xml:space="preserve">0.75</w:t>
            </w:r>
          </w:p>
        </w:tc>
      </w:tr>
      <w:tr>
        <w:tc>
          <w:p>
            <w:pPr>
              <w:pStyle w:val="Compact"/>
              <w:jc w:val="left"/>
            </w:pPr>
            <w:r>
              <w:t xml:space="preserve">DBP</w:t>
            </w:r>
          </w:p>
        </w:tc>
        <w:tc>
          <w:p>
            <w:pPr>
              <w:pStyle w:val="Compact"/>
              <w:jc w:val="right"/>
            </w:pPr>
            <w:r>
              <w:t xml:space="preserve">79</w:t>
            </w:r>
          </w:p>
        </w:tc>
        <w:tc>
          <w:p>
            <w:pPr>
              <w:pStyle w:val="Compact"/>
              <w:jc w:val="left"/>
            </w:pPr>
            <w:r>
              <w:t xml:space="preserve">89 (9.6)</w:t>
            </w:r>
          </w:p>
        </w:tc>
        <w:tc>
          <w:p>
            <w:pPr>
              <w:pStyle w:val="Compact"/>
              <w:jc w:val="right"/>
            </w:pPr>
            <w:r>
              <w:t xml:space="preserve">80</w:t>
            </w:r>
          </w:p>
        </w:tc>
        <w:tc>
          <w:p>
            <w:pPr>
              <w:pStyle w:val="Compact"/>
              <w:jc w:val="left"/>
            </w:pPr>
            <w:r>
              <w:t xml:space="preserve">89 (9.1)</w:t>
            </w:r>
          </w:p>
        </w:tc>
        <w:tc>
          <w:p>
            <w:pPr>
              <w:pStyle w:val="Compact"/>
              <w:jc w:val="right"/>
            </w:pPr>
            <w:r>
              <w:t xml:space="preserve">79</w:t>
            </w:r>
          </w:p>
        </w:tc>
        <w:tc>
          <w:p>
            <w:pPr>
              <w:pStyle w:val="Compact"/>
              <w:jc w:val="left"/>
            </w:pPr>
            <w:r>
              <w:t xml:space="preserve">-0.42 (7.4)</w:t>
            </w:r>
          </w:p>
        </w:tc>
        <w:tc>
          <w:p>
            <w:pPr>
              <w:pStyle w:val="Compact"/>
              <w:jc w:val="left"/>
            </w:pPr>
            <w:r>
              <w:t xml:space="preserve">-0.43 (-2.21 to 1.35)</w:t>
            </w:r>
          </w:p>
        </w:tc>
        <w:tc>
          <w:p>
            <w:pPr>
              <w:pStyle w:val="Compact"/>
              <w:jc w:val="right"/>
            </w:pPr>
            <w:r>
              <w:t xml:space="preserve">0.64</w:t>
            </w:r>
          </w:p>
        </w:tc>
      </w:tr>
      <w:tr>
        <w:tc>
          <w:p>
            <w:pPr>
              <w:pStyle w:val="Compact"/>
              <w:jc w:val="left"/>
            </w:pPr>
            <w:r>
              <w:t xml:space="preserve">C DBP</w:t>
            </w:r>
          </w:p>
        </w:tc>
        <w:tc>
          <w:p>
            <w:pPr>
              <w:pStyle w:val="Compact"/>
              <w:jc w:val="right"/>
            </w:pPr>
            <w:r>
              <w:t xml:space="preserve">80</w:t>
            </w:r>
          </w:p>
        </w:tc>
        <w:tc>
          <w:p>
            <w:pPr>
              <w:pStyle w:val="Compact"/>
              <w:jc w:val="left"/>
            </w:pPr>
            <w:r>
              <w:t xml:space="preserve">77 (7.2)</w:t>
            </w:r>
          </w:p>
        </w:tc>
        <w:tc>
          <w:p>
            <w:pPr>
              <w:pStyle w:val="Compact"/>
              <w:jc w:val="right"/>
            </w:pPr>
            <w:r>
              <w:t xml:space="preserve">78</w:t>
            </w:r>
          </w:p>
        </w:tc>
        <w:tc>
          <w:p>
            <w:pPr>
              <w:pStyle w:val="Compact"/>
              <w:jc w:val="left"/>
            </w:pPr>
            <w:r>
              <w:t xml:space="preserve">77 (6.5)</w:t>
            </w:r>
          </w:p>
        </w:tc>
        <w:tc>
          <w:p>
            <w:pPr>
              <w:pStyle w:val="Compact"/>
              <w:jc w:val="right"/>
            </w:pPr>
            <w:r>
              <w:t xml:space="preserve">78</w:t>
            </w:r>
          </w:p>
        </w:tc>
        <w:tc>
          <w:p>
            <w:pPr>
              <w:pStyle w:val="Compact"/>
              <w:jc w:val="left"/>
            </w:pPr>
            <w:r>
              <w:t xml:space="preserve">-0.11 (6.3)</w:t>
            </w:r>
          </w:p>
        </w:tc>
        <w:tc>
          <w:p>
            <w:pPr>
              <w:pStyle w:val="Compact"/>
              <w:jc w:val="left"/>
            </w:pPr>
            <w:r>
              <w:t xml:space="preserve">-0.12 (-1.62 to 1.38)</w:t>
            </w:r>
          </w:p>
        </w:tc>
        <w:tc>
          <w:p>
            <w:pPr>
              <w:pStyle w:val="Compact"/>
              <w:jc w:val="right"/>
            </w:pPr>
            <w:r>
              <w:t xml:space="preserve">0.88</w:t>
            </w:r>
          </w:p>
        </w:tc>
      </w:tr>
    </w:tbl>
    <w:p>
      <w:pPr>
        <w:pStyle w:val="BodyText"/>
      </w:pPr>
      <w:r>
        <w:t xml:space="preserve">Figure 1. Mixed-effect model estimated treatment effects for blood pressure outcomes.</w:t>
      </w:r>
    </w:p>
    <w:p>
      <w:pPr>
        <w:pStyle w:val="BodyText"/>
      </w:pPr>
      <w:r>
        <w:drawing>
          <wp:inline>
            <wp:extent cx="5943600" cy="3561707"/>
            <wp:effectExtent b="0" l="0" r="0" t="0"/>
            <wp:docPr descr="" title="" id="1" name="Picture"/>
            <a:graphic>
              <a:graphicData uri="http://schemas.openxmlformats.org/drawingml/2006/picture">
                <pic:pic>
                  <pic:nvPicPr>
                    <pic:cNvPr descr="paper_stats_files/figure-docx/unnamed-chunk-2-1.png" id="0" name="Picture"/>
                    <pic:cNvPicPr>
                      <a:picLocks noChangeArrowheads="1" noChangeAspect="1"/>
                    </pic:cNvPicPr>
                  </pic:nvPicPr>
                  <pic:blipFill>
                    <a:blip r:embed="rId24"/>
                    <a:stretch>
                      <a:fillRect/>
                    </a:stretch>
                  </pic:blipFill>
                  <pic:spPr bwMode="auto">
                    <a:xfrm>
                      <a:off x="0" y="0"/>
                      <a:ext cx="5943600" cy="3561707"/>
                    </a:xfrm>
                    <a:prstGeom prst="rect">
                      <a:avLst/>
                    </a:prstGeom>
                    <a:noFill/>
                    <a:ln w="9525">
                      <a:noFill/>
                      <a:headEnd/>
                      <a:tailEnd/>
                    </a:ln>
                  </pic:spPr>
                </pic:pic>
              </a:graphicData>
            </a:graphic>
          </wp:inline>
        </w:drawing>
      </w:r>
    </w:p>
    <w:p>
      <w:pPr>
        <w:pStyle w:val="BodyText"/>
      </w:pPr>
      <w:r>
        <w:t xml:space="preserve">Figure 2. Change in systolic blood pressure across the two study periods</w:t>
      </w:r>
    </w:p>
    <w:p>
      <w:pPr>
        <w:pStyle w:val="BodyText"/>
      </w:pPr>
      <w:r>
        <w:drawing>
          <wp:inline>
            <wp:extent cx="5943600" cy="3561707"/>
            <wp:effectExtent b="0" l="0" r="0" t="0"/>
            <wp:docPr descr="" title="" id="1" name="Picture"/>
            <a:graphic>
              <a:graphicData uri="http://schemas.openxmlformats.org/drawingml/2006/picture">
                <pic:pic>
                  <pic:nvPicPr>
                    <pic:cNvPr descr="paper_stats_files/figure-docx/unnamed-chunk-3-1.png" id="0" name="Picture"/>
                    <pic:cNvPicPr>
                      <a:picLocks noChangeArrowheads="1" noChangeAspect="1"/>
                    </pic:cNvPicPr>
                  </pic:nvPicPr>
                  <pic:blipFill>
                    <a:blip r:embed="rId25"/>
                    <a:stretch>
                      <a:fillRect/>
                    </a:stretch>
                  </pic:blipFill>
                  <pic:spPr bwMode="auto">
                    <a:xfrm>
                      <a:off x="0" y="0"/>
                      <a:ext cx="5943600" cy="3561707"/>
                    </a:xfrm>
                    <a:prstGeom prst="rect">
                      <a:avLst/>
                    </a:prstGeom>
                    <a:noFill/>
                    <a:ln w="9525">
                      <a:noFill/>
                      <a:headEnd/>
                      <a:tailEnd/>
                    </a:ln>
                  </pic:spPr>
                </pic:pic>
              </a:graphicData>
            </a:graphic>
          </wp:inline>
        </w:drawing>
      </w:r>
    </w:p>
    <w:p>
      <w:pPr>
        <w:pStyle w:val="BodyText"/>
      </w:pPr>
      <w:r>
        <w:t xml:space="preserve">Heterogenity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right"/>
            </w:pPr>
            <w:r>
              <w:t xml:space="preserve">vr</w:t>
            </w:r>
          </w:p>
        </w:tc>
        <w:tc>
          <w:tcPr>
            <w:tcBorders>
              <w:bottom w:val="single"/>
            </w:tcBorders>
            <w:vAlign w:val="bottom"/>
          </w:tcPr>
          <w:p>
            <w:pPr>
              <w:pStyle w:val="Compact"/>
              <w:jc w:val="right"/>
            </w:pPr>
            <w:r>
              <w:t xml:space="preserve">p</w:t>
            </w:r>
          </w:p>
        </w:tc>
      </w:tr>
      <w:tr>
        <w:tc>
          <w:p>
            <w:pPr>
              <w:pStyle w:val="Compact"/>
              <w:jc w:val="left"/>
            </w:pPr>
            <w:r>
              <w:t xml:space="preserve">SBP</w:t>
            </w:r>
          </w:p>
        </w:tc>
        <w:tc>
          <w:p>
            <w:pPr>
              <w:pStyle w:val="Compact"/>
              <w:jc w:val="right"/>
            </w:pPr>
            <w:r>
              <w:t xml:space="preserve">1.30</w:t>
            </w:r>
          </w:p>
        </w:tc>
        <w:tc>
          <w:p>
            <w:pPr>
              <w:pStyle w:val="Compact"/>
              <w:jc w:val="right"/>
            </w:pPr>
            <w:r>
              <w:t xml:space="preserve">0.106</w:t>
            </w:r>
          </w:p>
        </w:tc>
      </w:tr>
      <w:tr>
        <w:tc>
          <w:p>
            <w:pPr>
              <w:pStyle w:val="Compact"/>
              <w:jc w:val="left"/>
            </w:pPr>
            <w:r>
              <w:t xml:space="preserve">DBP</w:t>
            </w:r>
          </w:p>
        </w:tc>
        <w:tc>
          <w:p>
            <w:pPr>
              <w:pStyle w:val="Compact"/>
              <w:jc w:val="right"/>
            </w:pPr>
            <w:r>
              <w:t xml:space="preserve">1.10</w:t>
            </w:r>
          </w:p>
        </w:tc>
        <w:tc>
          <w:p>
            <w:pPr>
              <w:pStyle w:val="Compact"/>
              <w:jc w:val="right"/>
            </w:pPr>
            <w:r>
              <w:t xml:space="preserve">0.597</w:t>
            </w:r>
          </w:p>
        </w:tc>
      </w:tr>
      <w:tr>
        <w:tc>
          <w:p>
            <w:pPr>
              <w:pStyle w:val="Compact"/>
              <w:jc w:val="left"/>
            </w:pPr>
            <w:r>
              <w:t xml:space="preserve">Central SBP</w:t>
            </w:r>
          </w:p>
        </w:tc>
        <w:tc>
          <w:p>
            <w:pPr>
              <w:pStyle w:val="Compact"/>
              <w:jc w:val="right"/>
            </w:pPr>
            <w:r>
              <w:t xml:space="preserve">1.10</w:t>
            </w:r>
          </w:p>
        </w:tc>
        <w:tc>
          <w:p>
            <w:pPr>
              <w:pStyle w:val="Compact"/>
              <w:jc w:val="right"/>
            </w:pPr>
            <w:r>
              <w:t xml:space="preserve">0.597</w:t>
            </w:r>
          </w:p>
        </w:tc>
      </w:tr>
      <w:tr>
        <w:tc>
          <w:p>
            <w:pPr>
              <w:pStyle w:val="Compact"/>
              <w:jc w:val="left"/>
            </w:pPr>
            <w:r>
              <w:t xml:space="preserve">Central DBP</w:t>
            </w:r>
          </w:p>
        </w:tc>
        <w:tc>
          <w:p>
            <w:pPr>
              <w:pStyle w:val="Compact"/>
              <w:jc w:val="right"/>
            </w:pPr>
            <w:r>
              <w:t xml:space="preserve">0.63</w:t>
            </w:r>
          </w:p>
        </w:tc>
        <w:tc>
          <w:p>
            <w:pPr>
              <w:pStyle w:val="Compact"/>
              <w:jc w:val="right"/>
            </w:pPr>
            <w:r>
              <w:t xml:space="preserve">0.021</w:t>
            </w:r>
          </w:p>
        </w:tc>
      </w:tr>
      <w:tr>
        <w:tc>
          <w:p>
            <w:pPr>
              <w:pStyle w:val="Compact"/>
              <w:jc w:val="left"/>
            </w:pPr>
            <w:r>
              <w:t xml:space="preserve">Arterial Stiffness</w:t>
            </w:r>
          </w:p>
        </w:tc>
        <w:tc>
          <w:p>
            <w:pPr>
              <w:pStyle w:val="Compact"/>
              <w:jc w:val="right"/>
            </w:pPr>
            <w:r>
              <w:t xml:space="preserve">0.81</w:t>
            </w:r>
          </w:p>
        </w:tc>
        <w:tc>
          <w:p>
            <w:pPr>
              <w:pStyle w:val="Compact"/>
              <w:jc w:val="right"/>
            </w:pPr>
            <w:r>
              <w:t xml:space="preserve">0.325</w:t>
            </w:r>
          </w:p>
        </w:tc>
      </w:tr>
      <w:tr>
        <w:tc>
          <w:p>
            <w:pPr>
              <w:pStyle w:val="Compact"/>
              <w:jc w:val="left"/>
            </w:pPr>
            <w:r>
              <w:t xml:space="preserve">Glucose</w:t>
            </w:r>
          </w:p>
        </w:tc>
        <w:tc>
          <w:p>
            <w:pPr>
              <w:pStyle w:val="Compact"/>
              <w:jc w:val="right"/>
            </w:pPr>
            <w:r>
              <w:t xml:space="preserve">0.77</w:t>
            </w:r>
          </w:p>
        </w:tc>
        <w:tc>
          <w:p>
            <w:pPr>
              <w:pStyle w:val="Compact"/>
              <w:jc w:val="right"/>
            </w:pPr>
            <w:r>
              <w:t xml:space="preserve">0.174</w:t>
            </w:r>
          </w:p>
        </w:tc>
      </w:tr>
      <w:tr>
        <w:tc>
          <w:p>
            <w:pPr>
              <w:pStyle w:val="Compact"/>
              <w:jc w:val="left"/>
            </w:pPr>
            <w:r>
              <w:t xml:space="preserve">log(HDL)</w:t>
            </w:r>
          </w:p>
        </w:tc>
        <w:tc>
          <w:p>
            <w:pPr>
              <w:pStyle w:val="Compact"/>
              <w:jc w:val="right"/>
            </w:pPr>
            <w:r>
              <w:t xml:space="preserve">0.59</w:t>
            </w:r>
          </w:p>
        </w:tc>
        <w:tc>
          <w:p>
            <w:pPr>
              <w:pStyle w:val="Compact"/>
              <w:jc w:val="right"/>
            </w:pPr>
            <w:r>
              <w:t xml:space="preserve">0.006</w:t>
            </w:r>
          </w:p>
        </w:tc>
      </w:tr>
      <w:tr>
        <w:tc>
          <w:p>
            <w:pPr>
              <w:pStyle w:val="Compact"/>
              <w:jc w:val="left"/>
            </w:pPr>
            <w:r>
              <w:t xml:space="preserve">LDL</w:t>
            </w:r>
          </w:p>
        </w:tc>
        <w:tc>
          <w:p>
            <w:pPr>
              <w:pStyle w:val="Compact"/>
              <w:jc w:val="right"/>
            </w:pPr>
            <w:r>
              <w:t xml:space="preserve">1.40</w:t>
            </w:r>
          </w:p>
        </w:tc>
        <w:tc>
          <w:p>
            <w:pPr>
              <w:pStyle w:val="Compact"/>
              <w:jc w:val="right"/>
            </w:pPr>
            <w:r>
              <w:t xml:space="preserve">0.076</w:t>
            </w:r>
          </w:p>
        </w:tc>
      </w:tr>
      <w:tr>
        <w:tc>
          <w:p>
            <w:pPr>
              <w:pStyle w:val="Compact"/>
              <w:jc w:val="left"/>
            </w:pPr>
            <w:r>
              <w:t xml:space="preserve">log(OxLDL)</w:t>
            </w:r>
          </w:p>
        </w:tc>
        <w:tc>
          <w:p>
            <w:pPr>
              <w:pStyle w:val="Compact"/>
              <w:jc w:val="right"/>
            </w:pPr>
            <w:r>
              <w:t xml:space="preserve">1.40</w:t>
            </w:r>
          </w:p>
        </w:tc>
        <w:tc>
          <w:p>
            <w:pPr>
              <w:pStyle w:val="Compact"/>
              <w:jc w:val="right"/>
            </w:pPr>
            <w:r>
              <w:t xml:space="preserve">0.112</w:t>
            </w:r>
          </w:p>
        </w:tc>
      </w:tr>
      <w:tr>
        <w:tc>
          <w:p>
            <w:pPr>
              <w:pStyle w:val="Compact"/>
              <w:jc w:val="left"/>
            </w:pPr>
            <w:r>
              <w:t xml:space="preserve">PWA Augment</w:t>
            </w:r>
          </w:p>
        </w:tc>
        <w:tc>
          <w:p>
            <w:pPr>
              <w:pStyle w:val="Compact"/>
              <w:jc w:val="right"/>
            </w:pPr>
            <w:r>
              <w:t xml:space="preserve">0.79</w:t>
            </w:r>
          </w:p>
        </w:tc>
        <w:tc>
          <w:p>
            <w:pPr>
              <w:pStyle w:val="Compact"/>
              <w:jc w:val="right"/>
            </w:pPr>
            <w:r>
              <w:t xml:space="preserve">0.189</w:t>
            </w:r>
          </w:p>
        </w:tc>
      </w:tr>
      <w:tr>
        <w:tc>
          <w:p>
            <w:pPr>
              <w:pStyle w:val="Compact"/>
              <w:jc w:val="left"/>
            </w:pPr>
            <w:r>
              <w:t xml:space="preserve">log(TAG)</w:t>
            </w:r>
          </w:p>
        </w:tc>
        <w:tc>
          <w:p>
            <w:pPr>
              <w:pStyle w:val="Compact"/>
              <w:jc w:val="right"/>
            </w:pPr>
            <w:r>
              <w:t xml:space="preserve">0.95</w:t>
            </w:r>
          </w:p>
        </w:tc>
        <w:tc>
          <w:p>
            <w:pPr>
              <w:pStyle w:val="Compact"/>
              <w:jc w:val="right"/>
            </w:pPr>
            <w:r>
              <w:t xml:space="preserve">0.742</w:t>
            </w:r>
          </w:p>
        </w:tc>
      </w:tr>
      <w:tr>
        <w:tc>
          <w:p>
            <w:pPr>
              <w:pStyle w:val="Compact"/>
              <w:jc w:val="left"/>
            </w:pPr>
            <w:r>
              <w:t xml:space="preserve">log(Total Cholesterol)</w:t>
            </w:r>
          </w:p>
        </w:tc>
        <w:tc>
          <w:p>
            <w:pPr>
              <w:pStyle w:val="Compact"/>
              <w:jc w:val="right"/>
            </w:pPr>
            <w:r>
              <w:t xml:space="preserve">1.00</w:t>
            </w:r>
          </w:p>
        </w:tc>
        <w:tc>
          <w:p>
            <w:pPr>
              <w:pStyle w:val="Compact"/>
              <w:jc w:val="right"/>
            </w:pPr>
            <w:r>
              <w:t xml:space="preserve">0.919</w:t>
            </w:r>
          </w:p>
        </w:tc>
      </w:tr>
    </w:tbl>
    <w:sectPr w:rsidR="00014A4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6728F3"/>
    <w:multiLevelType w:val="multilevel"/>
    <w:tmpl w:val="288269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6FD931E"/>
    <w:multiLevelType w:val="multilevel"/>
    <w:tmpl w:val="AD08BD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7927F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DB47DE2"/>
    <w:multiLevelType w:val="multilevel"/>
    <w:tmpl w:val="EA3A6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7DD020B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3498353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60C4BE82"/>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39062254"/>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4A16AEF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D5A48FA6"/>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AEAE52"/>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09B499BA"/>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A530CAF0"/>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63785C3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C37E5B7"/>
    <w:multiLevelType w:val="multilevel"/>
    <w:tmpl w:val="B958F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C38DA07"/>
    <w:multiLevelType w:val="multilevel"/>
    <w:tmpl w:val="A10248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3"/>
  </w:num>
  <w:num w:numId="14">
    <w:abstractNumId w:val="14"/>
  </w:num>
  <w:num w:numId="15">
    <w:abstractNumId w:val="15"/>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EBE"/>
    <w:pPr>
      <w:spacing w:after="0"/>
    </w:pPr>
    <w:rPr>
      <w:rFonts w:ascii="Arial" w:hAnsi="Arial" w:cs="Arial"/>
      <w:sz w:val="20"/>
      <w:szCs w:val="20"/>
    </w:rPr>
  </w:style>
  <w:style w:type="paragraph" w:styleId="Heading1">
    <w:name w:val="heading 1"/>
    <w:basedOn w:val="BodyText"/>
    <w:next w:val="BodyText"/>
    <w:uiPriority w:val="9"/>
    <w:qFormat/>
    <w:rsid w:val="00C81083"/>
    <w:pPr>
      <w:outlineLvl w:val="0"/>
    </w:pPr>
    <w:rPr>
      <w:b/>
      <w:sz w:val="28"/>
      <w:szCs w:val="28"/>
    </w:rPr>
  </w:style>
  <w:style w:type="paragraph" w:styleId="Heading2">
    <w:name w:val="heading 2"/>
    <w:basedOn w:val="BodyText"/>
    <w:next w:val="BodyText"/>
    <w:uiPriority w:val="9"/>
    <w:unhideWhenUsed/>
    <w:qFormat/>
    <w:rsid w:val="00C81083"/>
    <w:pPr>
      <w:outlineLvl w:val="1"/>
    </w:pPr>
    <w:rPr>
      <w:i/>
      <w:sz w:val="28"/>
      <w:szCs w:val="28"/>
    </w:rPr>
  </w:style>
  <w:style w:type="paragraph" w:styleId="Heading3">
    <w:name w:val="heading 3"/>
    <w:basedOn w:val="BodyText"/>
    <w:next w:val="BodyText"/>
    <w:uiPriority w:val="9"/>
    <w:unhideWhenUsed/>
    <w:qFormat/>
    <w:rsid w:val="00C81083"/>
    <w:pPr>
      <w:outlineLvl w:val="2"/>
    </w:pPr>
    <w:rPr>
      <w:b/>
    </w:rPr>
  </w:style>
  <w:style w:type="paragraph" w:styleId="Heading4">
    <w:name w:val="heading 4"/>
    <w:basedOn w:val="BodyText"/>
    <w:next w:val="BodyText"/>
    <w:uiPriority w:val="9"/>
    <w:unhideWhenUsed/>
    <w:qFormat/>
    <w:rsid w:val="00C81083"/>
    <w:pPr>
      <w:outlineLvl w:val="3"/>
    </w:pPr>
    <w:rPr>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81083"/>
    <w:pPr>
      <w:spacing w:before="180" w:after="180"/>
    </w:pPr>
    <w:rPr>
      <w:rFonts w:ascii="Georgia" w:hAnsi="Georgia"/>
      <w:sz w:val="24"/>
      <w:szCs w:val="24"/>
    </w:rPr>
  </w:style>
  <w:style w:type="paragraph" w:customStyle="1" w:styleId="FirstParagraph">
    <w:name w:val="First Paragraph"/>
    <w:basedOn w:val="BodyText"/>
    <w:next w:val="BodyText"/>
    <w:qFormat/>
  </w:style>
  <w:style w:type="paragraph" w:customStyle="1" w:styleId="Compact">
    <w:name w:val="Compact"/>
    <w:basedOn w:val="NoSpacing"/>
    <w:next w:val="NoSpacing"/>
    <w:qFormat/>
    <w:rsid w:val="009937AF"/>
  </w:style>
  <w:style w:type="paragraph" w:styleId="Title">
    <w:name w:val="Title"/>
    <w:basedOn w:val="Normal"/>
    <w:next w:val="BodyText"/>
    <w:qFormat/>
    <w:rsid w:val="00D44F97"/>
    <w:pPr>
      <w:keepNext/>
      <w:keepLines/>
      <w:spacing w:before="480" w:after="240"/>
      <w:jc w:val="center"/>
    </w:pPr>
    <w:rPr>
      <w:rFonts w:ascii="Georgia" w:eastAsiaTheme="majorEastAsia" w:hAnsi="Georgia"/>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44F97"/>
    <w:pPr>
      <w:keepNext/>
      <w:keepLines/>
      <w:jc w:val="center"/>
    </w:pPr>
    <w:rPr>
      <w:rFonts w:ascii="Georgia" w:hAnsi="Georgia" w:cs="Arial"/>
    </w:rPr>
  </w:style>
  <w:style w:type="paragraph" w:styleId="Date">
    <w:name w:val="Date"/>
    <w:next w:val="BodyText"/>
    <w:qFormat/>
    <w:rsid w:val="00D44F97"/>
    <w:pPr>
      <w:keepNext/>
      <w:keepLines/>
      <w:jc w:val="center"/>
    </w:pPr>
    <w:rPr>
      <w:rFonts w:ascii="Georgia" w:hAnsi="Georgia" w:cs="Arial"/>
      <w:i/>
    </w:r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qFormat/>
    <w:rsid w:val="0071553F"/>
    <w:pPr>
      <w:spacing w:after="0"/>
    </w:pPr>
    <w:rPr>
      <w:rFonts w:ascii="Arial" w:hAnsi="Arial" w:cs="Arial"/>
      <w:sz w:val="20"/>
      <w:szCs w:val="20"/>
    </w:rPr>
  </w:style>
  <w:style w:type="character" w:customStyle="1" w:styleId="BodyTextChar">
    <w:name w:val="Body Text Char"/>
    <w:basedOn w:val="DefaultParagraphFont"/>
    <w:link w:val="BodyText"/>
    <w:rsid w:val="00C81083"/>
    <w:rPr>
      <w:rFonts w:ascii="Georgia" w:hAnsi="Georgia" w:cs="Arial"/>
    </w:rPr>
  </w:style>
  <w:style w:type="paragraph" w:styleId="NormalWeb">
    <w:name w:val="Normal (Web)"/>
    <w:basedOn w:val="Normal"/>
    <w:unhideWhenUsed/>
    <w:rsid w:val="00D008A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1" Target="http://www.jstatsoft.org/v59/i09/" TargetMode="External" /><Relationship Type="http://schemas.openxmlformats.org/officeDocument/2006/relationships/hyperlink" Id="rId22" Target="https://doi.org/10.12688/f1000research.13490.5" TargetMode="External" /><Relationship Type="http://schemas.openxmlformats.org/officeDocument/2006/relationships/hyperlink" Id="rId23" Target="https://osf.io/zq4y9/" TargetMode="External" /></Relationships>
</file>

<file path=word/_rels/footnotes.xml.rels><?xml version="1.0" encoding="UTF-8"?>
<Relationships xmlns="http://schemas.openxmlformats.org/package/2006/relationships"><Relationship Type="http://schemas.openxmlformats.org/officeDocument/2006/relationships/hyperlink" Id="rId21" Target="http://www.jstatsoft.org/v59/i09/" TargetMode="External" /><Relationship Type="http://schemas.openxmlformats.org/officeDocument/2006/relationships/hyperlink" Id="rId22" Target="https://doi.org/10.12688/f1000research.13490.5" TargetMode="External" /><Relationship Type="http://schemas.openxmlformats.org/officeDocument/2006/relationships/hyperlink" Id="rId23" Target="https://osf.io/zq4y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Untitled</vt:lpstr>
    </vt:vector>
  </TitlesOfParts>
  <Company>Microsoft</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2020-01-23T15:31:03Z</dcterms:created>
  <dcterms:modified xsi:type="dcterms:W3CDTF">2020-01-23T15:31:03Z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