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2A" w:rsidRDefault="00D7604F">
      <w:pPr>
        <w:pStyle w:val="Heading1"/>
      </w:pPr>
      <w:bookmarkStart w:id="0" w:name="respondent-characteristics"/>
      <w:r>
        <w:t>Respondent characteristics</w:t>
      </w:r>
      <w:bookmarkEnd w:id="0"/>
    </w:p>
    <w:tbl>
      <w:tblPr>
        <w:tblW w:w="5000" w:type="pct"/>
        <w:tblLook w:val="07E0" w:firstRow="1" w:lastRow="1" w:firstColumn="1" w:lastColumn="1" w:noHBand="1" w:noVBand="1"/>
      </w:tblPr>
      <w:tblGrid>
        <w:gridCol w:w="2976"/>
        <w:gridCol w:w="1844"/>
        <w:gridCol w:w="1992"/>
        <w:gridCol w:w="1391"/>
        <w:gridCol w:w="1157"/>
      </w:tblGrid>
      <w:tr w:rsidR="000F572A" w:rsidTr="00D7604F">
        <w:tc>
          <w:tcPr>
            <w:tcW w:w="1590" w:type="pct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</w:pPr>
            <w:r>
              <w:t>Variable</w:t>
            </w:r>
          </w:p>
        </w:tc>
        <w:tc>
          <w:tcPr>
            <w:tcW w:w="985" w:type="pct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</w:pPr>
            <w:r>
              <w:t>N</w:t>
            </w:r>
          </w:p>
        </w:tc>
        <w:tc>
          <w:tcPr>
            <w:tcW w:w="1064" w:type="pct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</w:pPr>
            <w:r>
              <w:t>Mean 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</w:pPr>
            <w:r>
              <w:t>(Min, Max)</w:t>
            </w:r>
          </w:p>
        </w:tc>
      </w:tr>
      <w:tr w:rsidR="000F572A" w:rsidTr="00D7604F">
        <w:tc>
          <w:tcPr>
            <w:tcW w:w="1590" w:type="pct"/>
          </w:tcPr>
          <w:p w:rsidR="000F572A" w:rsidRPr="00E175FF" w:rsidRDefault="00D7604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Age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4914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F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1889 (38.4%)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M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3025 (61.6%)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D7604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Age (years)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4914</w:t>
            </w:r>
          </w:p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47.3 ± 11.7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47 (38, 56)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(24, 90)</w:t>
            </w:r>
          </w:p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Groups:</w:t>
            </w:r>
          </w:p>
        </w:tc>
        <w:tc>
          <w:tcPr>
            <w:tcW w:w="985" w:type="pct"/>
          </w:tcPr>
          <w:p w:rsidR="000F572A" w:rsidRDefault="000F572A">
            <w:pPr>
              <w:pStyle w:val="Compact"/>
            </w:pP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34 and under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780 (15.9%)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35 – 44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1372 (27.9%)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45 – 54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1374 (28%)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55+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1388 (28.2%)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D7604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Years on register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4914</w:t>
            </w:r>
          </w:p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14.6 ± 11.6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12 (4, 23)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(0, 37)</w:t>
            </w:r>
          </w:p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Groups:</w:t>
            </w:r>
          </w:p>
        </w:tc>
        <w:tc>
          <w:tcPr>
            <w:tcW w:w="985" w:type="pct"/>
          </w:tcPr>
          <w:p w:rsidR="000F572A" w:rsidRDefault="000F572A">
            <w:pPr>
              <w:pStyle w:val="Compact"/>
            </w:pP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0 – 4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1995 (40.6%)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5 – 14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1362 (27.7%)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15 – 24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831 (16.9%)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D7604F">
            <w:pPr>
              <w:pStyle w:val="Compact"/>
              <w:jc w:val="right"/>
            </w:pPr>
            <w:r>
              <w:t>25+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726 (14.8%)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E175F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Enrolled on the scheme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4914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Yes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4755 (96.8%)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No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159 (3.2%)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E175F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Division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4914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General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1894 (38.5%)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Specialist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2896 (58.9%)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Supervised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31 (0.6%)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Training Specialist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93 (1.9%)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E175F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Status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4914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Active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4832 (98.3%)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Application Under Review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 (0%)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Withdrawn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81 (1.6%)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E175F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Hours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3732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10 to 20 hours per week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263 (7%)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21 to 30 hours per week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303 (8.1%)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31 to 40 hours per week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1156 (31%)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Fewer than 10 hours per week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147 (3.9%)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More than 40 hours per week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1863 (49.9%)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E175F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Role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3737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Community Health Doctor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66 (1.8%)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General practitioner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1364 (36.5%)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Healthcare related management and administration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19 (0.5%)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Hospital Consultant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1250 (33.4%)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Non-consultant hospital doctor, in training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67 (1.8%)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Non-consultant hospital doctor, not in training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684 (18.3%)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Other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74 (2%)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Other Consultant or Specialist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184 (4.9%)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Public Health Doctor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29 (0.8%)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E175F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Service model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3228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Provision of privately funded services only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248 (7.7%)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lastRenderedPageBreak/>
              <w:t>Provision of publicly and privately funded services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1788 (55.4%)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Provision of publicly funded services only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1192 (36.9%)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E175F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Country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3723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Both within and outside the Republic of Ireland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281 (7.5%)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Outside the Republic of Ireland only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71 (1.9%)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Within the Republic of Ireland only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3371 (90.5%)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E175F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Country group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4914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Ireland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2763 (56.2%)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EU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715 (14.6%)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Non EU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1436 (29.2%)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E175F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County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3674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Dublin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1362 (37.1%)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Other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2312 (62.9%)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Pr="00E175FF" w:rsidRDefault="00E175FF" w:rsidP="00E175FF">
            <w:pPr>
              <w:pStyle w:val="Compact"/>
              <w:rPr>
                <w:b/>
              </w:rPr>
            </w:pPr>
            <w:r w:rsidRPr="00E175FF">
              <w:rPr>
                <w:b/>
              </w:rPr>
              <w:t>Passport</w:t>
            </w:r>
          </w:p>
        </w:tc>
        <w:tc>
          <w:tcPr>
            <w:tcW w:w="985" w:type="pct"/>
          </w:tcPr>
          <w:p w:rsidR="000F572A" w:rsidRDefault="00D7604F">
            <w:pPr>
              <w:pStyle w:val="Compact"/>
            </w:pPr>
            <w:r>
              <w:t>3790</w:t>
            </w:r>
          </w:p>
        </w:tc>
        <w:tc>
          <w:tcPr>
            <w:tcW w:w="1064" w:type="pct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Ireland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2490 (65.7%)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  <w:tr w:rsidR="000F572A" w:rsidTr="00D7604F">
        <w:tc>
          <w:tcPr>
            <w:tcW w:w="1590" w:type="pct"/>
          </w:tcPr>
          <w:p w:rsidR="000F572A" w:rsidRDefault="00D7604F" w:rsidP="00E175FF">
            <w:pPr>
              <w:pStyle w:val="Compact"/>
              <w:jc w:val="right"/>
            </w:pPr>
            <w:r>
              <w:t>Other</w:t>
            </w:r>
          </w:p>
        </w:tc>
        <w:tc>
          <w:tcPr>
            <w:tcW w:w="985" w:type="pct"/>
          </w:tcPr>
          <w:p w:rsidR="000F572A" w:rsidRDefault="000F572A"/>
        </w:tc>
        <w:tc>
          <w:tcPr>
            <w:tcW w:w="1064" w:type="pct"/>
          </w:tcPr>
          <w:p w:rsidR="000F572A" w:rsidRDefault="00D7604F">
            <w:pPr>
              <w:pStyle w:val="Compact"/>
            </w:pPr>
            <w:r>
              <w:t>1300 (34.3%)</w:t>
            </w:r>
          </w:p>
        </w:tc>
        <w:tc>
          <w:tcPr>
            <w:tcW w:w="0" w:type="auto"/>
          </w:tcPr>
          <w:p w:rsidR="000F572A" w:rsidRDefault="000F572A"/>
        </w:tc>
        <w:tc>
          <w:tcPr>
            <w:tcW w:w="0" w:type="auto"/>
          </w:tcPr>
          <w:p w:rsidR="000F572A" w:rsidRDefault="000F572A"/>
        </w:tc>
      </w:tr>
    </w:tbl>
    <w:p w:rsidR="001B4164" w:rsidRDefault="001B4164">
      <w:pPr>
        <w:pStyle w:val="Heading1"/>
      </w:pPr>
      <w:bookmarkStart w:id="1" w:name="survey-items-and-intent"/>
    </w:p>
    <w:p w:rsidR="001B4164" w:rsidRDefault="001B4164" w:rsidP="001B4164">
      <w:pPr>
        <w:pStyle w:val="BodyText"/>
        <w:rPr>
          <w:sz w:val="28"/>
          <w:szCs w:val="28"/>
        </w:rPr>
      </w:pPr>
      <w:r>
        <w:br w:type="page"/>
      </w:r>
    </w:p>
    <w:p w:rsidR="000F572A" w:rsidRDefault="00D7604F">
      <w:pPr>
        <w:pStyle w:val="Heading1"/>
      </w:pPr>
      <w:r>
        <w:lastRenderedPageBreak/>
        <w:t>Survey items and intent</w:t>
      </w:r>
      <w:bookmarkEnd w:id="1"/>
    </w:p>
    <w:p w:rsidR="000F572A" w:rsidRDefault="00D7604F">
      <w:pPr>
        <w:pStyle w:val="Heading2"/>
      </w:pPr>
      <w:bookmarkStart w:id="2" w:name="Xa5ec33886639e5d26266ec414fb6fedfd45112a"/>
      <w:r>
        <w:t>F1: Items 1-7 &amp; 21: Attitudes to Maintenance of Professional Competence</w:t>
      </w:r>
      <w:bookmarkEnd w:id="2"/>
    </w:p>
    <w:p w:rsidR="000F572A" w:rsidRDefault="00D7604F">
      <w:pPr>
        <w:pStyle w:val="FirstParagraph"/>
      </w:pPr>
      <w:r>
        <w:t xml:space="preserve">Do you argree with the following statements about the MPC?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mpc_liker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t xml:space="preserve">By intent to comply (yes/no)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mpc_likert_intend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lastRenderedPageBreak/>
        <w:t xml:space="preserve">Do you argree with the following statements about personal impact of participation?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part_liker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t xml:space="preserve">By intent to comply (yes/no)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part_likert_intend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lastRenderedPageBreak/>
        <w:t xml:space="preserve">How do all of these items relate to intention?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beliefs_intends_bar_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t xml:space="preserve">Proportional odds models for intent regressed on each item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64" w:rsidRDefault="001B4164">
      <w:pPr>
        <w:spacing w:after="200"/>
        <w:rPr>
          <w:rFonts w:ascii="Georgia" w:hAnsi="Georgia"/>
          <w:i/>
          <w:sz w:val="28"/>
          <w:szCs w:val="28"/>
        </w:rPr>
      </w:pPr>
      <w:bookmarkStart w:id="3" w:name="X98efa1c774622603a017548fb3fd96a8d1b05b9"/>
      <w:r>
        <w:br w:type="page"/>
      </w:r>
    </w:p>
    <w:p w:rsidR="000F572A" w:rsidRDefault="00D7604F">
      <w:pPr>
        <w:pStyle w:val="Heading2"/>
      </w:pPr>
      <w:r>
        <w:lastRenderedPageBreak/>
        <w:t>F2: Items 8-15 &amp; 26: Barriers to Engagement with Maintenance of Professional Competence</w:t>
      </w:r>
      <w:bookmarkEnd w:id="3"/>
    </w:p>
    <w:p w:rsidR="000F572A" w:rsidRDefault="00D7604F">
      <w:pPr>
        <w:pStyle w:val="FirstParagraph"/>
      </w:pPr>
      <w:r>
        <w:t xml:space="preserve">Please indicate your agreement with these statements about BARRIERS to your own engagement with Maintenance of Professional Competence in Ireland </w:t>
      </w:r>
      <w:r w:rsidR="001B4164">
        <w:rPr>
          <w:noProof/>
          <w:lang w:val="en-GB" w:eastAsia="en-GB"/>
        </w:rPr>
        <w:drawing>
          <wp:inline distT="0" distB="0" distL="0" distR="0" wp14:anchorId="51764B86" wp14:editId="423C40ED">
            <wp:extent cx="5943600" cy="35610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barrier_likert_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barrier_likert_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lastRenderedPageBreak/>
        <w:t xml:space="preserve">By intent to comply (yes/no)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barrier_likert_1_intend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0F572A">
      <w:pPr>
        <w:pStyle w:val="BodyText"/>
      </w:pPr>
    </w:p>
    <w:p w:rsidR="000F572A" w:rsidRDefault="00D7604F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barrier_likert_2_intend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lastRenderedPageBreak/>
        <w:t xml:space="preserve">How do all of these items relate to intention?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t xml:space="preserve">Proportional odds models for intent regressed on each item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64" w:rsidRDefault="001B4164">
      <w:pPr>
        <w:spacing w:after="200"/>
        <w:rPr>
          <w:rFonts w:ascii="Georgia" w:hAnsi="Georgia"/>
          <w:sz w:val="24"/>
          <w:szCs w:val="24"/>
        </w:rPr>
      </w:pPr>
      <w:r>
        <w:br w:type="page"/>
      </w:r>
    </w:p>
    <w:p w:rsidR="000F572A" w:rsidRDefault="00D7604F" w:rsidP="001B4164">
      <w:pPr>
        <w:pStyle w:val="Heading2"/>
      </w:pPr>
      <w:r>
        <w:lastRenderedPageBreak/>
        <w:t>F3: Items 17-20: Facilitators of Engagement with Maintenance of Professional Competence</w:t>
      </w:r>
    </w:p>
    <w:p w:rsidR="000F572A" w:rsidRDefault="00D7604F">
      <w:pPr>
        <w:pStyle w:val="BodyText"/>
      </w:pPr>
      <w:r>
        <w:t xml:space="preserve">Please indicate your agreement with the following statements about factors which SUPPORT your own engagement with Maintenance of Professional Competence in Ireland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engage_likert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lastRenderedPageBreak/>
        <w:t xml:space="preserve">By intent to comply (yes/no)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engage_likert_intend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t xml:space="preserve">How do all of these items relate to intention?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lastRenderedPageBreak/>
        <w:t xml:space="preserve">Proportional odds models for intent regressed on each item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64" w:rsidRDefault="001B4164">
      <w:pPr>
        <w:spacing w:after="200"/>
        <w:rPr>
          <w:rFonts w:ascii="Georgia" w:hAnsi="Georgia"/>
          <w:i/>
          <w:sz w:val="28"/>
          <w:szCs w:val="28"/>
        </w:rPr>
      </w:pPr>
      <w:bookmarkStart w:id="4" w:name="Xbb3c8cf020283c34391fd5ceb09d77e8f936f41"/>
      <w:r>
        <w:br w:type="page"/>
      </w:r>
    </w:p>
    <w:p w:rsidR="000F572A" w:rsidRDefault="00D7604F">
      <w:pPr>
        <w:pStyle w:val="Heading2"/>
      </w:pPr>
      <w:r>
        <w:lastRenderedPageBreak/>
        <w:t>F4: Items 27-29: Social Norms relating to Maintenance of Professional Competence</w:t>
      </w:r>
      <w:bookmarkEnd w:id="4"/>
    </w:p>
    <w:p w:rsidR="000F572A" w:rsidRDefault="00D7604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social_likert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t xml:space="preserve">Intends to comply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social_likert_intends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lastRenderedPageBreak/>
        <w:t xml:space="preserve">How do all of these items relate to intention?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social_intends_bar_plot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t xml:space="preserve">Proportional odds models for intent regressed on each item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64" w:rsidRDefault="001B4164">
      <w:pPr>
        <w:spacing w:after="200"/>
        <w:rPr>
          <w:rFonts w:ascii="Georgia" w:hAnsi="Georgia"/>
          <w:b/>
          <w:sz w:val="28"/>
          <w:szCs w:val="28"/>
        </w:rPr>
      </w:pPr>
      <w:bookmarkStart w:id="5" w:name="full-cfa"/>
      <w:r>
        <w:br w:type="page"/>
      </w:r>
    </w:p>
    <w:p w:rsidR="000F572A" w:rsidRDefault="00D7604F">
      <w:pPr>
        <w:pStyle w:val="Heading1"/>
      </w:pPr>
      <w:r>
        <w:lastRenderedPageBreak/>
        <w:t>Full CFA</w:t>
      </w:r>
      <w:bookmarkEnd w:id="5"/>
    </w:p>
    <w:p w:rsidR="001B4164" w:rsidRDefault="00D7604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full_cfa_density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64" w:rsidRDefault="001B4164" w:rsidP="001B4164">
      <w:pPr>
        <w:pStyle w:val="BodyText"/>
      </w:pPr>
      <w:r>
        <w:br w:type="page"/>
      </w:r>
    </w:p>
    <w:p w:rsidR="000F572A" w:rsidRDefault="000F572A">
      <w:pPr>
        <w:pStyle w:val="FirstParagraph"/>
      </w:pPr>
    </w:p>
    <w:p w:rsidR="000F572A" w:rsidRDefault="00D7604F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561707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64" w:rsidRDefault="00D7604F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64" w:rsidRDefault="001B4164" w:rsidP="001B4164">
      <w:pPr>
        <w:pStyle w:val="BodyText"/>
      </w:pPr>
      <w:r>
        <w:br w:type="page"/>
      </w:r>
    </w:p>
    <w:p w:rsidR="000F572A" w:rsidRDefault="000F572A">
      <w:pPr>
        <w:pStyle w:val="BodyText"/>
      </w:pPr>
    </w:p>
    <w:p w:rsidR="000F572A" w:rsidRDefault="00D7604F">
      <w:pPr>
        <w:pStyle w:val="TableCaption"/>
      </w:pPr>
      <w:r>
        <w:t>Factor Loadings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95"/>
        <w:gridCol w:w="3196"/>
        <w:gridCol w:w="784"/>
        <w:gridCol w:w="717"/>
        <w:gridCol w:w="939"/>
        <w:gridCol w:w="872"/>
        <w:gridCol w:w="784"/>
      </w:tblGrid>
      <w:tr w:rsidR="000F572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</w:pPr>
            <w:r>
              <w:t>Latent Factor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</w:pPr>
            <w:r>
              <w:t>Indicator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 w:rsidP="00815342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 w:rsidP="00815342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 w:rsidP="00815342">
            <w:pPr>
              <w:pStyle w:val="Compact"/>
              <w:jc w:val="center"/>
            </w:pPr>
            <w:r>
              <w:t>Z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 w:rsidP="00815342">
            <w:pPr>
              <w:pStyle w:val="Compact"/>
              <w:jc w:val="center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 w:rsidP="00815342">
            <w:pPr>
              <w:pStyle w:val="Compact"/>
              <w:jc w:val="center"/>
            </w:pPr>
            <w:r>
              <w:t>Beta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mpc_01_reassurespublic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1.000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0.000</w:t>
            </w:r>
          </w:p>
        </w:tc>
        <w:tc>
          <w:tcPr>
            <w:tcW w:w="0" w:type="auto"/>
          </w:tcPr>
          <w:p w:rsidR="000F572A" w:rsidRDefault="00815342" w:rsidP="0081534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F572A" w:rsidRDefault="00815342" w:rsidP="0081534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0.804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mpc_02_encouragesdoctors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1.106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0.008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144.496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0.889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mpc_03_raisesstandards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1.104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0.008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143.764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0.888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part_04_encouragesmereflect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1.094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0.008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144.280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0.879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part_05_encouragesmeeducation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1.016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0.008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124.525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0.817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part_06_resultchangeinpractice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1.019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0.008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123.646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0.819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part_07_worthtimeeffortexpense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1.067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0.008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134.274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0.858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agree_21_tickbox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-0.611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0.014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-43.093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-0.491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barrier_08_dontunderstandreq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1.000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0.000</w:t>
            </w:r>
          </w:p>
        </w:tc>
        <w:tc>
          <w:tcPr>
            <w:tcW w:w="0" w:type="auto"/>
          </w:tcPr>
          <w:p w:rsidR="000F572A" w:rsidRDefault="00815342" w:rsidP="0081534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F572A" w:rsidRDefault="00815342" w:rsidP="0081534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0.433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barrier_09_lackprottime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1.331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0.045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29.685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0.577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barrier_10_pcsfeeabarrier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1.972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0.060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32.641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0.854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barrier_11_cpdexpenseabarrier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1.951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0.061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32.079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0.845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barrier_13_onlineplatformabarrier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1.251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0.043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29.189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0.542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barrier_14_lackauditskillsabarrier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1.549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0.047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32.945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0.671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barrier_15_topicabarrier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1.608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0.051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31.570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0.697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agree_26_pcsusedagainstme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0.930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0.041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22.912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0.403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engage_17_cpdaddressesgaps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1.000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0.000</w:t>
            </w:r>
          </w:p>
        </w:tc>
        <w:tc>
          <w:tcPr>
            <w:tcW w:w="0" w:type="auto"/>
          </w:tcPr>
          <w:p w:rsidR="000F572A" w:rsidRDefault="00815342" w:rsidP="0081534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F572A" w:rsidRDefault="00815342" w:rsidP="0081534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0.695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engage_18_cpdaccessible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1.044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0.017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59.736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0.726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engage_19_pcsflexible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1.167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0.018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63.760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0.811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engage_20_pcsinfosufficient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1.201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0.019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62.739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0.835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agree_27_importantforpts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1.000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0.000</w:t>
            </w:r>
          </w:p>
        </w:tc>
        <w:tc>
          <w:tcPr>
            <w:tcW w:w="0" w:type="auto"/>
          </w:tcPr>
          <w:p w:rsidR="000F572A" w:rsidRDefault="00815342" w:rsidP="0081534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F572A" w:rsidRDefault="00815342" w:rsidP="0081534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0.907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agree_28_importantforcolleagues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0.997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0.012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82.328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0.904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agree_29_riskremoval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0.300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0.018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16.360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F572A" w:rsidRDefault="00D7604F" w:rsidP="00815342">
            <w:pPr>
              <w:pStyle w:val="Compact"/>
              <w:jc w:val="center"/>
            </w:pPr>
            <w:r>
              <w:t>0.272</w:t>
            </w:r>
          </w:p>
        </w:tc>
      </w:tr>
    </w:tbl>
    <w:p w:rsidR="00815342" w:rsidRDefault="00815342">
      <w:pPr>
        <w:pStyle w:val="TableCaption"/>
      </w:pPr>
    </w:p>
    <w:p w:rsidR="00815342" w:rsidRDefault="00815342">
      <w:pPr>
        <w:pStyle w:val="TableCaption"/>
      </w:pPr>
    </w:p>
    <w:p w:rsidR="000F572A" w:rsidRDefault="00D7604F">
      <w:pPr>
        <w:pStyle w:val="TableCaption"/>
      </w:pPr>
      <w:r>
        <w:t>Model fit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17"/>
        <w:gridCol w:w="1162"/>
      </w:tblGrid>
      <w:tr w:rsidR="000F572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  <w:jc w:val="right"/>
            </w:pPr>
            <w:r>
              <w:t>Value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chisq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12400.889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df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224.000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pvalue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cfi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0.973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tli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0.970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rmsea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0.105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rmsea.pvalue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</w:t>
            </w:r>
          </w:p>
        </w:tc>
      </w:tr>
    </w:tbl>
    <w:p w:rsidR="001B4164" w:rsidRDefault="001B4164">
      <w:pPr>
        <w:pStyle w:val="Heading1"/>
      </w:pPr>
      <w:bookmarkStart w:id="6" w:name="proportional-odds-models-for-intends"/>
    </w:p>
    <w:p w:rsidR="001B4164" w:rsidRDefault="001B4164" w:rsidP="001B4164">
      <w:pPr>
        <w:pStyle w:val="BodyText"/>
        <w:rPr>
          <w:sz w:val="28"/>
          <w:szCs w:val="28"/>
        </w:rPr>
      </w:pPr>
      <w:r>
        <w:br w:type="page"/>
      </w:r>
    </w:p>
    <w:p w:rsidR="000F572A" w:rsidRDefault="00D7604F">
      <w:pPr>
        <w:pStyle w:val="Heading1"/>
      </w:pPr>
      <w:r>
        <w:lastRenderedPageBreak/>
        <w:t>Proportional odds models for intends</w:t>
      </w:r>
      <w:bookmarkEnd w:id="6"/>
    </w:p>
    <w:tbl>
      <w:tblPr>
        <w:tblW w:w="0" w:type="pct"/>
        <w:tblLook w:val="07E0" w:firstRow="1" w:lastRow="1" w:firstColumn="1" w:lastColumn="1" w:noHBand="1" w:noVBand="1"/>
      </w:tblPr>
      <w:tblGrid>
        <w:gridCol w:w="2083"/>
        <w:gridCol w:w="1228"/>
        <w:gridCol w:w="494"/>
        <w:gridCol w:w="939"/>
      </w:tblGrid>
      <w:tr w:rsidR="000F572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0F572A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  <w:jc w:val="right"/>
            </w:pPr>
            <w:r>
              <w:t>Chi-Square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  <w:jc w:val="right"/>
            </w:pPr>
            <w:r>
              <w:t>d.f.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  <w:jc w:val="right"/>
            </w:pPr>
            <w:r>
              <w:t>P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22.000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0.00025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9.300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0.02500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19.000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0.00082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1.500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0.67000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0.00043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4.400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0.22000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18.000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0.00120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13.000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0.00370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country_groups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7.900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0.02000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9.100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0.00260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division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0.80000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13.000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0.11000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servicemodel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0.65000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passport_ireland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1.300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0.25000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TOTAL NONLINEAR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31.000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0.00220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290.000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0.00000</w:t>
            </w:r>
          </w:p>
        </w:tc>
      </w:tr>
    </w:tbl>
    <w:p w:rsidR="000F572A" w:rsidRDefault="00D7604F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561707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561707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561707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64" w:rsidRDefault="001B4164">
      <w:pPr>
        <w:spacing w:after="200"/>
        <w:rPr>
          <w:rFonts w:ascii="Georgia" w:hAnsi="Georgia"/>
          <w:b/>
          <w:sz w:val="28"/>
          <w:szCs w:val="28"/>
        </w:rPr>
      </w:pPr>
      <w:bookmarkStart w:id="7" w:name="proportional-odds-models-for-confidence"/>
      <w:r>
        <w:br w:type="page"/>
      </w:r>
    </w:p>
    <w:p w:rsidR="000F572A" w:rsidRDefault="00D7604F">
      <w:pPr>
        <w:pStyle w:val="Heading1"/>
      </w:pPr>
      <w:r>
        <w:lastRenderedPageBreak/>
        <w:t>Proportional odds models for confidence</w:t>
      </w:r>
      <w:bookmarkEnd w:id="7"/>
    </w:p>
    <w:tbl>
      <w:tblPr>
        <w:tblW w:w="0" w:type="pct"/>
        <w:tblLook w:val="07E0" w:firstRow="1" w:lastRow="1" w:firstColumn="1" w:lastColumn="1" w:noHBand="1" w:noVBand="1"/>
      </w:tblPr>
      <w:tblGrid>
        <w:gridCol w:w="2083"/>
        <w:gridCol w:w="1228"/>
        <w:gridCol w:w="494"/>
        <w:gridCol w:w="939"/>
      </w:tblGrid>
      <w:tr w:rsidR="000F572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0F572A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  <w:jc w:val="right"/>
            </w:pPr>
            <w:r>
              <w:t>Chi-Square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  <w:jc w:val="right"/>
            </w:pPr>
            <w:r>
              <w:t>d.f.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72A" w:rsidRDefault="00D7604F">
            <w:pPr>
              <w:pStyle w:val="Compact"/>
              <w:jc w:val="right"/>
            </w:pPr>
            <w:r>
              <w:t>P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1.5e+01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0.00470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2.3e+00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0.51000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5.0e+01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1.3e+01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0.00500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8.4e+01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1.7e+01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0.00072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9.2e+01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6.7e+01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country_groups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1.6e+00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0.44000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4.3e-03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0.95000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division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4.9e-01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0.48000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6.2e+00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0.62000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servicemodel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3.1e+00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0.21000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passport_ireland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9.0e-02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0.76000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TOTAL NONLINEAR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1.3e+02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0.00000</w:t>
            </w:r>
          </w:p>
        </w:tc>
      </w:tr>
      <w:tr w:rsidR="000F572A">
        <w:tc>
          <w:tcPr>
            <w:tcW w:w="0" w:type="auto"/>
          </w:tcPr>
          <w:p w:rsidR="000F572A" w:rsidRDefault="00D7604F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3.9e+02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:rsidR="000F572A" w:rsidRDefault="00D7604F">
            <w:pPr>
              <w:pStyle w:val="Compact"/>
              <w:jc w:val="right"/>
            </w:pPr>
            <w:r>
              <w:t>0.00000</w:t>
            </w:r>
          </w:p>
        </w:tc>
      </w:tr>
    </w:tbl>
    <w:p w:rsidR="000F572A" w:rsidRDefault="00D7604F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561707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561707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2A" w:rsidRDefault="00D7604F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69" w:rsidRDefault="00D7604F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561707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69" w:rsidRDefault="00F35C69" w:rsidP="00F35C69">
      <w:pPr>
        <w:pStyle w:val="BodyText"/>
      </w:pPr>
      <w:r>
        <w:br w:type="page"/>
      </w:r>
    </w:p>
    <w:p w:rsidR="00F35C69" w:rsidRDefault="00F35C69" w:rsidP="00F35C69">
      <w:pPr>
        <w:pStyle w:val="Heading1"/>
      </w:pPr>
      <w:bookmarkStart w:id="8" w:name="X8ef399cd5c68be33971bcd4c23883c06c79a84a"/>
      <w:r>
        <w:lastRenderedPageBreak/>
        <w:t>The relationship between gender, country_groups, division and questionnaire responses, using the binary responses.</w:t>
      </w:r>
      <w:bookmarkEnd w:id="8"/>
    </w:p>
    <w:p w:rsidR="002E0408" w:rsidRPr="002E0408" w:rsidRDefault="002E0408" w:rsidP="002E0408">
      <w:pPr>
        <w:pStyle w:val="BodyText"/>
      </w:pPr>
      <w:r>
        <w:t xml:space="preserve">This plots and tests (using chi squared) the relationships between the binary responses and the key respondent characteristics. The multiple comparisons are addressed with the </w:t>
      </w:r>
      <w:r w:rsidRPr="002E0408">
        <w:t>Benjamini–Hochberg</w:t>
      </w:r>
      <w:r>
        <w:t xml:space="preserve"> procedure,</w:t>
      </w:r>
      <w:bookmarkStart w:id="9" w:name="_GoBack"/>
      <w:bookmarkEnd w:id="9"/>
      <w:r>
        <w:t xml:space="preserve"> controlling for a false discovery rate of 5%. Binary questionnaire responses flagged as sig = TRUE are those we might treat as statistically significant after the adjustment for multiplicity. </w:t>
      </w:r>
    </w:p>
    <w:p w:rsidR="002E0408" w:rsidRDefault="002E0408">
      <w:pPr>
        <w:spacing w:after="200"/>
        <w:rPr>
          <w:rFonts w:ascii="Georgia" w:hAnsi="Georgia"/>
          <w:sz w:val="24"/>
          <w:szCs w:val="24"/>
        </w:rPr>
      </w:pPr>
      <w:r>
        <w:br w:type="page"/>
      </w:r>
    </w:p>
    <w:p w:rsidR="00F35C69" w:rsidRDefault="00F35C69" w:rsidP="00F35C69">
      <w:pPr>
        <w:pStyle w:val="FirstParagraph"/>
      </w:pPr>
      <w:r>
        <w:lastRenderedPageBreak/>
        <w:t>Sex</w:t>
      </w:r>
    </w:p>
    <w:p w:rsidR="00F35C69" w:rsidRDefault="00F35C69" w:rsidP="00F35C69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54CD1A30" wp14:editId="5B728165">
            <wp:extent cx="5943600" cy="3561707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896"/>
        <w:gridCol w:w="1056"/>
        <w:gridCol w:w="439"/>
        <w:gridCol w:w="439"/>
        <w:gridCol w:w="606"/>
        <w:gridCol w:w="1162"/>
        <w:gridCol w:w="850"/>
      </w:tblGrid>
      <w:tr w:rsidR="00F35C69" w:rsidTr="0069630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</w:pPr>
            <w:r>
              <w:t>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fdrp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</w:pPr>
            <w:r>
              <w:t>sig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binary_dontunderstand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0.0021739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binary_intention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0.0043478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binary_patientfeedback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0.0065217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binary_colleaguefeedback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0.0086957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binary_qivsaudit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8.00e-07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0.0108696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binary_riskremoval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1.00e-06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0.0130435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binary_onlineplatbarrier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1.38e-03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0.0152174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binary_cpdaccessible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5.73e-03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0.0173913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binary_lackofauditskillsbar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6.06e-03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0.0195652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binary_lackprottime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1.47e-02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0.0217391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binary_cpdaddresesgaps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1.48e-02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0.0239130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binary_pcsflexible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2.98e-02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0.0260870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binary_importantforcolleagues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4.96e-02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0.0282609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binary_locumexpense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5.06e-02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0.0304348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binary_topicabarrier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5.83e-02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0.0326087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binary_confidentfulfillreq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7.58e-02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0.0347826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binary_matchcpdtogaps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1.26e-01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0.0369565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binary_pcsinfosufficient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2.06e-01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0.0391304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binary_tickbox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5.77e-01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0.0413043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binary_importantforpts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6.45e-01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0.0434783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binary_cpdexpbarrier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6.55e-01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0.0456522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binary_pcsfeeabarrier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9.40e-01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0.0478261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binary_pcsusedagainstme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9.95e-01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0.0500000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</w:tbl>
    <w:p w:rsidR="002E0408" w:rsidRDefault="002E0408" w:rsidP="00F35C69">
      <w:pPr>
        <w:pStyle w:val="BodyText"/>
      </w:pPr>
    </w:p>
    <w:p w:rsidR="002E0408" w:rsidRDefault="002E0408" w:rsidP="002E0408">
      <w:pPr>
        <w:pStyle w:val="BodyText"/>
      </w:pPr>
      <w:r>
        <w:br w:type="page"/>
      </w:r>
    </w:p>
    <w:p w:rsidR="00F35C69" w:rsidRDefault="00F35C69" w:rsidP="00F35C69">
      <w:pPr>
        <w:pStyle w:val="BodyText"/>
      </w:pPr>
      <w:r>
        <w:lastRenderedPageBreak/>
        <w:t>Division</w:t>
      </w:r>
    </w:p>
    <w:p w:rsidR="00F35C69" w:rsidRDefault="00F35C69" w:rsidP="00F35C69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52DAF75A" wp14:editId="3550149B">
            <wp:extent cx="5943600" cy="3561707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896"/>
        <w:gridCol w:w="1056"/>
        <w:gridCol w:w="439"/>
        <w:gridCol w:w="439"/>
        <w:gridCol w:w="606"/>
        <w:gridCol w:w="1162"/>
        <w:gridCol w:w="850"/>
      </w:tblGrid>
      <w:tr w:rsidR="00F35C69" w:rsidTr="0069630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</w:pPr>
            <w:r>
              <w:t>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fdrp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</w:pPr>
            <w:r>
              <w:t>sig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binary_patientfeedback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0.0021739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binary_dontunderstand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0.0043478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binary_colleaguefeedback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0.0065217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binary_cpdaccessible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0.0086957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binary_riskremoval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0.0108696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binary_intention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0.0130435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binary_lackofauditskillsbar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0.0152174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binary_pcsfeeabarrier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0.0173913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binary_topicabarrier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0.0195652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binary_pcsflexible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0.0217391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binary_cpdaddresesgaps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0.0239130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binary_confidentfulfillreq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0.0260870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binary_cpdexpbarrier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0.0282609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binary_importantforpts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0.0304348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binary_onlineplatbarrier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2.70e-06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0.0326087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binary_lackprottime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3.90e-03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0.0347826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binary_matchcpdtogaps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7.05e-03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0.0369565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binary_qivsaudit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1.51e-02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0.0391304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binary_importantforcolleagues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1.94e-02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0.0413043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binary_pcsusedagainstme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2.32e-02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0.0434783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binary_locumexpense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2.55e-02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0.0456522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binary_pcsinfosufficient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6.17e-02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0.0478261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binary_tickbox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1.07e-01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0.0500000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</w:tbl>
    <w:p w:rsidR="00F35C69" w:rsidRDefault="00F35C69" w:rsidP="00F35C69">
      <w:pPr>
        <w:pStyle w:val="BodyText"/>
      </w:pPr>
    </w:p>
    <w:p w:rsidR="00F35C69" w:rsidRDefault="00F35C69" w:rsidP="00F35C69">
      <w:pPr>
        <w:pStyle w:val="BodyText"/>
      </w:pPr>
      <w:r>
        <w:br w:type="page"/>
      </w:r>
    </w:p>
    <w:p w:rsidR="00F35C69" w:rsidRDefault="00F35C69" w:rsidP="00F35C69">
      <w:pPr>
        <w:pStyle w:val="BodyText"/>
      </w:pPr>
      <w:r>
        <w:lastRenderedPageBreak/>
        <w:t>Country groups</w:t>
      </w:r>
    </w:p>
    <w:p w:rsidR="00F35C69" w:rsidRDefault="00F35C69" w:rsidP="00F35C69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5C336123" wp14:editId="3A226BF5">
            <wp:extent cx="5943600" cy="3561707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896"/>
        <w:gridCol w:w="1056"/>
        <w:gridCol w:w="439"/>
        <w:gridCol w:w="439"/>
        <w:gridCol w:w="606"/>
        <w:gridCol w:w="1162"/>
        <w:gridCol w:w="850"/>
      </w:tblGrid>
      <w:tr w:rsidR="00F35C69" w:rsidTr="0069630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</w:pPr>
            <w:r>
              <w:t>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  <w:jc w:val="right"/>
            </w:pPr>
            <w:r>
              <w:t>fdrp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5C69" w:rsidRDefault="00F35C69" w:rsidP="0069630E">
            <w:pPr>
              <w:pStyle w:val="Compact"/>
            </w:pPr>
            <w:r>
              <w:t>sig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binary_patientfeedback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0.0021739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binary_colleaguefeedback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0.0043478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binary_riskremoval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0.0065217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binary_dontunderstand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0.0086957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binary_intention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0.0108696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binary_importantforpts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0.0130435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binary_cpdaccessible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0.0152174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binary_matchcpdtogaps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0.0173913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binary_lackofauditskillsbar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0.0195652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binary_topicabarrier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0.0217391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binary_importantforcolleagues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1.00e-07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0.0239130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binary_confidentfulfillreq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7.83e-05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0.0260870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binary_pcsinfosufficient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9.35e-05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0.0282609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binary_cpdaddresesgaps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1.39e-04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0.0304348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binary_tickbox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4.04e-04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0.0326087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binary_pcsfeeabarrier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5.25e-04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0.0347826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binary_pcsflexible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3.44e-02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0.0369565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TRUE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binary_cpdexpbarrier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9.34e-02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0.0391304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binary_locumexpense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1.08e-01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0.0413043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binary_onlineplatbarrier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1.32e-01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0.0434783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binary_qivsaudit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1.59e-01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0.0456522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binary_lackprottime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3.31e-01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0.0478261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  <w:tr w:rsidR="00F35C69" w:rsidTr="0069630E"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binary_pcsusedagainstme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3.67e-01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  <w:jc w:val="right"/>
            </w:pPr>
            <w:r>
              <w:t>0.0500000</w:t>
            </w:r>
          </w:p>
        </w:tc>
        <w:tc>
          <w:tcPr>
            <w:tcW w:w="0" w:type="auto"/>
          </w:tcPr>
          <w:p w:rsidR="00F35C69" w:rsidRDefault="00F35C69" w:rsidP="0069630E">
            <w:pPr>
              <w:pStyle w:val="Compact"/>
            </w:pPr>
            <w:r>
              <w:t>FALSE</w:t>
            </w:r>
          </w:p>
        </w:tc>
      </w:tr>
    </w:tbl>
    <w:p w:rsidR="00F35C69" w:rsidRDefault="00F35C69" w:rsidP="00F35C69">
      <w:pPr>
        <w:pStyle w:val="BodyText"/>
      </w:pPr>
    </w:p>
    <w:p w:rsidR="000F572A" w:rsidRDefault="000F572A">
      <w:pPr>
        <w:pStyle w:val="BodyText"/>
      </w:pPr>
    </w:p>
    <w:sectPr w:rsidR="000F57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CEC" w:rsidRDefault="00C52CEC">
      <w:r>
        <w:separator/>
      </w:r>
    </w:p>
  </w:endnote>
  <w:endnote w:type="continuationSeparator" w:id="0">
    <w:p w:rsidR="00C52CEC" w:rsidRDefault="00C5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CEC" w:rsidRDefault="00C52CEC">
      <w:r>
        <w:separator/>
      </w:r>
    </w:p>
  </w:footnote>
  <w:footnote w:type="continuationSeparator" w:id="0">
    <w:p w:rsidR="00C52CEC" w:rsidRDefault="00C52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728F3"/>
    <w:multiLevelType w:val="multilevel"/>
    <w:tmpl w:val="28826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6FD931E"/>
    <w:multiLevelType w:val="multilevel"/>
    <w:tmpl w:val="AD08B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7927F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DB47DE2"/>
    <w:multiLevelType w:val="multilevel"/>
    <w:tmpl w:val="EA3A6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7DD020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349835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60C4BE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390622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4A16AE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D5A48F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53AEA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9B499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A530C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63785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1AE401"/>
    <w:multiLevelType w:val="multilevel"/>
    <w:tmpl w:val="4C9E9A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C37E5B7"/>
    <w:multiLevelType w:val="multilevel"/>
    <w:tmpl w:val="B958F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C38DA07"/>
    <w:multiLevelType w:val="multilevel"/>
    <w:tmpl w:val="A1024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6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572A"/>
    <w:rsid w:val="001B4164"/>
    <w:rsid w:val="002E0408"/>
    <w:rsid w:val="004E29B3"/>
    <w:rsid w:val="00590D07"/>
    <w:rsid w:val="005C0DC9"/>
    <w:rsid w:val="00784D58"/>
    <w:rsid w:val="00815342"/>
    <w:rsid w:val="008D6863"/>
    <w:rsid w:val="00B86B75"/>
    <w:rsid w:val="00BC48D5"/>
    <w:rsid w:val="00C36279"/>
    <w:rsid w:val="00C52CEC"/>
    <w:rsid w:val="00D7604F"/>
    <w:rsid w:val="00E175FF"/>
    <w:rsid w:val="00E315A3"/>
    <w:rsid w:val="00ED1AB2"/>
    <w:rsid w:val="00F35C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977F"/>
  <w15:docId w15:val="{E7B68FB9-A93E-4898-92D8-63A31F50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EBE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BodyText"/>
    <w:next w:val="BodyText"/>
    <w:uiPriority w:val="9"/>
    <w:qFormat/>
    <w:rsid w:val="00C81083"/>
    <w:pPr>
      <w:outlineLvl w:val="0"/>
    </w:pPr>
    <w:rPr>
      <w:b/>
      <w:sz w:val="28"/>
      <w:szCs w:val="28"/>
    </w:rPr>
  </w:style>
  <w:style w:type="paragraph" w:styleId="Heading2">
    <w:name w:val="heading 2"/>
    <w:basedOn w:val="BodyText"/>
    <w:next w:val="BodyText"/>
    <w:uiPriority w:val="9"/>
    <w:unhideWhenUsed/>
    <w:qFormat/>
    <w:rsid w:val="00C81083"/>
    <w:pPr>
      <w:outlineLvl w:val="1"/>
    </w:pPr>
    <w:rPr>
      <w:i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C81083"/>
    <w:pPr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C81083"/>
    <w:pPr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81083"/>
    <w:pPr>
      <w:spacing w:before="180" w:after="180"/>
    </w:pPr>
    <w:rPr>
      <w:rFonts w:ascii="Georgia" w:hAnsi="Georgia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Spacing"/>
    <w:next w:val="NoSpacing"/>
    <w:qFormat/>
    <w:rsid w:val="009937AF"/>
  </w:style>
  <w:style w:type="paragraph" w:styleId="Title">
    <w:name w:val="Title"/>
    <w:basedOn w:val="Normal"/>
    <w:next w:val="BodyText"/>
    <w:qFormat/>
    <w:rsid w:val="00D44F97"/>
    <w:pPr>
      <w:keepNext/>
      <w:keepLines/>
      <w:spacing w:before="480" w:after="240"/>
      <w:jc w:val="center"/>
    </w:pPr>
    <w:rPr>
      <w:rFonts w:ascii="Georgia" w:eastAsiaTheme="majorEastAsia" w:hAnsi="Georgia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44F97"/>
    <w:pPr>
      <w:keepNext/>
      <w:keepLines/>
      <w:jc w:val="center"/>
    </w:pPr>
    <w:rPr>
      <w:rFonts w:ascii="Georgia" w:hAnsi="Georgia" w:cs="Arial"/>
    </w:rPr>
  </w:style>
  <w:style w:type="paragraph" w:styleId="Date">
    <w:name w:val="Date"/>
    <w:next w:val="BodyText"/>
    <w:qFormat/>
    <w:rsid w:val="00D44F97"/>
    <w:pPr>
      <w:keepNext/>
      <w:keepLines/>
      <w:jc w:val="center"/>
    </w:pPr>
    <w:rPr>
      <w:rFonts w:ascii="Georgia" w:hAnsi="Georgia" w:cs="Arial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Spacing">
    <w:name w:val="No Spacing"/>
    <w:qFormat/>
    <w:rsid w:val="0071553F"/>
    <w:pPr>
      <w:spacing w:after="0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81083"/>
    <w:rPr>
      <w:rFonts w:ascii="Georgia" w:hAnsi="Georgia" w:cs="Arial"/>
    </w:rPr>
  </w:style>
  <w:style w:type="paragraph" w:styleId="NormalWeb">
    <w:name w:val="Normal (Web)"/>
    <w:basedOn w:val="Normal"/>
    <w:unhideWhenUsed/>
    <w:rsid w:val="00D008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29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Dahly, Darren</dc:creator>
  <cp:keywords/>
  <cp:lastModifiedBy>Dahly, Darren</cp:lastModifiedBy>
  <cp:revision>10</cp:revision>
  <dcterms:created xsi:type="dcterms:W3CDTF">2019-05-29T09:08:00Z</dcterms:created>
  <dcterms:modified xsi:type="dcterms:W3CDTF">2019-05-29T10:41:00Z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