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D1A296" w14:textId="77777777" w:rsidR="00F6003A" w:rsidRDefault="00F6003A" w:rsidP="00282DD5">
      <w:pPr>
        <w:spacing w:line="360" w:lineRule="auto"/>
        <w:jc w:val="both"/>
        <w:rPr>
          <w:b/>
          <w:u w:val="single"/>
        </w:rPr>
      </w:pPr>
    </w:p>
    <w:p w14:paraId="562D9A65" w14:textId="7958696E" w:rsidR="00F6003A" w:rsidRDefault="00BE7A27" w:rsidP="00282DD5">
      <w:pPr>
        <w:spacing w:line="360" w:lineRule="auto"/>
        <w:jc w:val="both"/>
      </w:pPr>
      <w:r w:rsidRPr="00BE7A27">
        <w:rPr>
          <w:b/>
          <w:u w:val="single"/>
        </w:rPr>
        <w:t>Title</w:t>
      </w:r>
      <w:r w:rsidR="00F6003A">
        <w:rPr>
          <w:b/>
          <w:u w:val="single"/>
        </w:rPr>
        <w:t>:</w:t>
      </w:r>
      <w:r>
        <w:t xml:space="preserve"> </w:t>
      </w:r>
    </w:p>
    <w:p w14:paraId="6AC9FAE1" w14:textId="706462C2" w:rsidR="00BE7A27" w:rsidRDefault="00BE7A27" w:rsidP="00282DD5">
      <w:pPr>
        <w:spacing w:line="360" w:lineRule="auto"/>
        <w:jc w:val="both"/>
      </w:pPr>
      <w:r>
        <w:t>In-Hospital Adverse Drug Reactions in Hospitalised Old</w:t>
      </w:r>
      <w:r w:rsidR="00DF2B75">
        <w:t>er Adults</w:t>
      </w:r>
      <w:r w:rsidR="00174B2F">
        <w:t xml:space="preserve">; </w:t>
      </w:r>
      <w:r w:rsidR="00B20D9C">
        <w:t>prevalence, presentation and causative drugs</w:t>
      </w:r>
      <w:r w:rsidR="00DF2B75">
        <w:t xml:space="preserve"> – A Systematic Review</w:t>
      </w:r>
      <w:r w:rsidR="00786095">
        <w:t xml:space="preserve"> and meta-analysis</w:t>
      </w:r>
    </w:p>
    <w:p w14:paraId="18364BBD" w14:textId="77777777" w:rsidR="00F6003A" w:rsidRDefault="00F6003A" w:rsidP="00282DD5">
      <w:pPr>
        <w:spacing w:line="360" w:lineRule="auto"/>
        <w:jc w:val="both"/>
      </w:pPr>
    </w:p>
    <w:p w14:paraId="1F94A8A7" w14:textId="77777777" w:rsidR="00F6003A" w:rsidRPr="00F6003A" w:rsidRDefault="00F6003A" w:rsidP="00282DD5">
      <w:pPr>
        <w:spacing w:line="360" w:lineRule="auto"/>
        <w:jc w:val="both"/>
        <w:rPr>
          <w:b/>
          <w:u w:val="single"/>
        </w:rPr>
      </w:pPr>
      <w:commentRangeStart w:id="0"/>
      <w:r w:rsidRPr="00F6003A">
        <w:rPr>
          <w:b/>
          <w:u w:val="single"/>
        </w:rPr>
        <w:t>Authors</w:t>
      </w:r>
      <w:commentRangeEnd w:id="0"/>
      <w:r w:rsidR="00674E3B">
        <w:rPr>
          <w:rStyle w:val="CommentReference"/>
        </w:rPr>
        <w:commentReference w:id="0"/>
      </w:r>
      <w:r w:rsidRPr="00F6003A">
        <w:rPr>
          <w:b/>
          <w:u w:val="single"/>
        </w:rPr>
        <w:t>:</w:t>
      </w:r>
    </w:p>
    <w:p w14:paraId="1B940BC8" w14:textId="54FA40CC" w:rsidR="00BE7A27" w:rsidRDefault="00932CF7" w:rsidP="00282DD5">
      <w:pPr>
        <w:spacing w:line="360" w:lineRule="auto"/>
        <w:jc w:val="both"/>
      </w:pPr>
      <w:r>
        <w:t>Emma L. M. Jennings, Kevin D. Murphy, Paul</w:t>
      </w:r>
      <w:r w:rsidR="002A31B3">
        <w:t xml:space="preserve"> Gallagher, D. O’Mahony</w:t>
      </w:r>
    </w:p>
    <w:p w14:paraId="7EF23F7C" w14:textId="77777777" w:rsidR="00F6003A" w:rsidRDefault="00F6003A" w:rsidP="00282DD5">
      <w:pPr>
        <w:spacing w:line="360" w:lineRule="auto"/>
        <w:jc w:val="both"/>
        <w:rPr>
          <w:b/>
          <w:u w:val="single"/>
        </w:rPr>
      </w:pPr>
    </w:p>
    <w:p w14:paraId="1415DB8E" w14:textId="77777777" w:rsidR="00F6003A" w:rsidRDefault="00F706EB" w:rsidP="00674E3B">
      <w:pPr>
        <w:pBdr>
          <w:top w:val="single" w:sz="4" w:space="1" w:color="auto"/>
          <w:left w:val="single" w:sz="4" w:space="4" w:color="auto"/>
          <w:bottom w:val="single" w:sz="4" w:space="1" w:color="auto"/>
          <w:right w:val="single" w:sz="4" w:space="4" w:color="auto"/>
        </w:pBdr>
        <w:spacing w:line="360" w:lineRule="auto"/>
        <w:jc w:val="both"/>
      </w:pPr>
      <w:r w:rsidRPr="00F706EB">
        <w:rPr>
          <w:b/>
          <w:u w:val="single"/>
        </w:rPr>
        <w:t>Target Journal:</w:t>
      </w:r>
      <w:r>
        <w:t xml:space="preserve"> </w:t>
      </w:r>
    </w:p>
    <w:p w14:paraId="1259DEBE" w14:textId="79A00CE5" w:rsidR="00F773BE" w:rsidRDefault="00F706EB" w:rsidP="00674E3B">
      <w:pPr>
        <w:pBdr>
          <w:top w:val="single" w:sz="4" w:space="1" w:color="auto"/>
          <w:left w:val="single" w:sz="4" w:space="4" w:color="auto"/>
          <w:bottom w:val="single" w:sz="4" w:space="1" w:color="auto"/>
          <w:right w:val="single" w:sz="4" w:space="4" w:color="auto"/>
        </w:pBdr>
        <w:spacing w:line="360" w:lineRule="auto"/>
        <w:jc w:val="both"/>
      </w:pPr>
      <w:r>
        <w:t>JAMA, Meta-analysis 3500 words, 50-75 references, max 5 tables/figures</w:t>
      </w:r>
    </w:p>
    <w:p w14:paraId="0C1B9D96" w14:textId="55FEC0BF" w:rsidR="00674E3B" w:rsidRPr="00674E3B" w:rsidRDefault="00674E3B" w:rsidP="00674E3B">
      <w:pPr>
        <w:pBdr>
          <w:top w:val="single" w:sz="4" w:space="1" w:color="auto"/>
          <w:left w:val="single" w:sz="4" w:space="4" w:color="auto"/>
          <w:bottom w:val="single" w:sz="4" w:space="1" w:color="auto"/>
          <w:right w:val="single" w:sz="4" w:space="4" w:color="auto"/>
        </w:pBdr>
        <w:spacing w:line="360" w:lineRule="auto"/>
        <w:jc w:val="both"/>
        <w:rPr>
          <w:i/>
          <w:u w:val="single"/>
        </w:rPr>
      </w:pPr>
      <w:r w:rsidRPr="00674E3B">
        <w:rPr>
          <w:i/>
          <w:u w:val="single"/>
        </w:rPr>
        <w:t>Figures / tables:</w:t>
      </w:r>
    </w:p>
    <w:p w14:paraId="3D3409BE" w14:textId="13F49A6D" w:rsidR="00F6003A" w:rsidRDefault="00412BAB" w:rsidP="00674E3B">
      <w:pPr>
        <w:pStyle w:val="ListParagraph"/>
        <w:numPr>
          <w:ilvl w:val="0"/>
          <w:numId w:val="9"/>
        </w:numPr>
        <w:pBdr>
          <w:top w:val="single" w:sz="4" w:space="1" w:color="auto"/>
          <w:left w:val="single" w:sz="4" w:space="4" w:color="auto"/>
          <w:bottom w:val="single" w:sz="4" w:space="1" w:color="auto"/>
          <w:right w:val="single" w:sz="4" w:space="4" w:color="auto"/>
        </w:pBdr>
        <w:spacing w:line="360" w:lineRule="auto"/>
        <w:jc w:val="both"/>
      </w:pPr>
      <w:r>
        <w:t xml:space="preserve">Fig. </w:t>
      </w:r>
      <w:r w:rsidR="00F6003A">
        <w:t>PRISMA</w:t>
      </w:r>
      <w:r>
        <w:t xml:space="preserve"> Flow diagram </w:t>
      </w:r>
    </w:p>
    <w:p w14:paraId="09CE3F9A" w14:textId="1954BECE" w:rsidR="00F6003A" w:rsidRDefault="00F6003A" w:rsidP="00674E3B">
      <w:pPr>
        <w:pStyle w:val="ListParagraph"/>
        <w:numPr>
          <w:ilvl w:val="0"/>
          <w:numId w:val="9"/>
        </w:numPr>
        <w:pBdr>
          <w:top w:val="single" w:sz="4" w:space="1" w:color="auto"/>
          <w:left w:val="single" w:sz="4" w:space="4" w:color="auto"/>
          <w:bottom w:val="single" w:sz="4" w:space="1" w:color="auto"/>
          <w:right w:val="single" w:sz="4" w:space="4" w:color="auto"/>
        </w:pBdr>
        <w:spacing w:line="360" w:lineRule="auto"/>
        <w:jc w:val="both"/>
      </w:pPr>
      <w:r>
        <w:t xml:space="preserve">Table of </w:t>
      </w:r>
      <w:r w:rsidR="00412BAB">
        <w:t xml:space="preserve">included </w:t>
      </w:r>
      <w:r>
        <w:t xml:space="preserve">paper details / Characteristics </w:t>
      </w:r>
    </w:p>
    <w:p w14:paraId="46CAEBED" w14:textId="65F0C89F" w:rsidR="00F6003A" w:rsidRDefault="00F6003A" w:rsidP="00674E3B">
      <w:pPr>
        <w:pStyle w:val="ListParagraph"/>
        <w:numPr>
          <w:ilvl w:val="0"/>
          <w:numId w:val="9"/>
        </w:numPr>
        <w:pBdr>
          <w:top w:val="single" w:sz="4" w:space="1" w:color="auto"/>
          <w:left w:val="single" w:sz="4" w:space="4" w:color="auto"/>
          <w:bottom w:val="single" w:sz="4" w:space="1" w:color="auto"/>
          <w:right w:val="single" w:sz="4" w:space="4" w:color="auto"/>
        </w:pBdr>
        <w:spacing w:line="360" w:lineRule="auto"/>
        <w:jc w:val="both"/>
      </w:pPr>
      <w:r>
        <w:t xml:space="preserve">ADR Prev ? Forrest plot </w:t>
      </w:r>
    </w:p>
    <w:p w14:paraId="094A6453" w14:textId="736BB4FA" w:rsidR="00F6003A" w:rsidRDefault="00F6003A" w:rsidP="00674E3B">
      <w:pPr>
        <w:pStyle w:val="ListParagraph"/>
        <w:numPr>
          <w:ilvl w:val="0"/>
          <w:numId w:val="9"/>
        </w:numPr>
        <w:pBdr>
          <w:top w:val="single" w:sz="4" w:space="1" w:color="auto"/>
          <w:left w:val="single" w:sz="4" w:space="4" w:color="auto"/>
          <w:bottom w:val="single" w:sz="4" w:space="1" w:color="auto"/>
          <w:right w:val="single" w:sz="4" w:space="4" w:color="auto"/>
        </w:pBdr>
        <w:spacing w:line="360" w:lineRule="auto"/>
        <w:jc w:val="both"/>
      </w:pPr>
      <w:r>
        <w:t>ADR Drugs / P</w:t>
      </w:r>
      <w:r w:rsidR="00412BAB">
        <w:t>resentations</w:t>
      </w:r>
    </w:p>
    <w:p w14:paraId="0D0FA71B" w14:textId="77777777" w:rsidR="00F6003A" w:rsidRDefault="00F6003A" w:rsidP="00282DD5">
      <w:pPr>
        <w:spacing w:line="360" w:lineRule="auto"/>
        <w:jc w:val="both"/>
      </w:pPr>
    </w:p>
    <w:p w14:paraId="6628B1A8" w14:textId="77777777" w:rsidR="00F6003A" w:rsidRDefault="00F6003A">
      <w:pPr>
        <w:rPr>
          <w:b/>
          <w:u w:val="single"/>
        </w:rPr>
      </w:pPr>
      <w:r>
        <w:rPr>
          <w:b/>
          <w:u w:val="single"/>
        </w:rPr>
        <w:br w:type="page"/>
      </w:r>
    </w:p>
    <w:p w14:paraId="32733AA7" w14:textId="50E46CA4" w:rsidR="006402F8" w:rsidRPr="00A8771C" w:rsidRDefault="00A8771C" w:rsidP="00282DD5">
      <w:pPr>
        <w:spacing w:line="360" w:lineRule="auto"/>
        <w:jc w:val="both"/>
        <w:rPr>
          <w:b/>
          <w:u w:val="single"/>
        </w:rPr>
      </w:pPr>
      <w:r w:rsidRPr="00A8771C">
        <w:rPr>
          <w:b/>
          <w:u w:val="single"/>
        </w:rPr>
        <w:lastRenderedPageBreak/>
        <w:t>Abstract</w:t>
      </w:r>
    </w:p>
    <w:p w14:paraId="7530B591" w14:textId="095853A3" w:rsidR="00487F98" w:rsidRDefault="00487F98" w:rsidP="00487F98">
      <w:pPr>
        <w:spacing w:line="360" w:lineRule="auto"/>
        <w:jc w:val="both"/>
      </w:pPr>
      <w:r w:rsidRPr="00487F98">
        <w:rPr>
          <w:i/>
          <w:u w:val="single"/>
        </w:rPr>
        <w:t>Background:</w:t>
      </w:r>
      <w:r w:rsidR="0070169B">
        <w:t xml:space="preserve"> Adverse drug reactions (</w:t>
      </w:r>
      <w:r>
        <w:t>ADRs</w:t>
      </w:r>
      <w:r w:rsidR="0070169B">
        <w:t>)</w:t>
      </w:r>
      <w:r>
        <w:t xml:space="preserve"> are </w:t>
      </w:r>
      <w:r w:rsidR="00BA59D5">
        <w:t>frequently reported as</w:t>
      </w:r>
      <w:r w:rsidR="000A7639">
        <w:t xml:space="preserve"> </w:t>
      </w:r>
      <w:r>
        <w:t>common</w:t>
      </w:r>
      <w:r w:rsidR="00BA59D5">
        <w:t>ly occurring</w:t>
      </w:r>
      <w:r>
        <w:t xml:space="preserve">, </w:t>
      </w:r>
      <w:r w:rsidR="00BA59D5">
        <w:t xml:space="preserve">increasingly </w:t>
      </w:r>
      <w:r>
        <w:t xml:space="preserve">costly and potentially preventable. </w:t>
      </w:r>
      <w:r w:rsidR="0070169B">
        <w:t>Studies have linked m</w:t>
      </w:r>
      <w:r>
        <w:t xml:space="preserve">ulti-morbidity and polypharmacy </w:t>
      </w:r>
      <w:r w:rsidR="0070169B">
        <w:t>to ADR risk</w:t>
      </w:r>
      <w:r>
        <w:t xml:space="preserve">. Older age </w:t>
      </w:r>
      <w:r w:rsidR="0070169B">
        <w:t xml:space="preserve">predisposes </w:t>
      </w:r>
      <w:r>
        <w:t xml:space="preserve">to multi-morbidity and </w:t>
      </w:r>
      <w:r w:rsidR="0070169B">
        <w:t xml:space="preserve">as a consequence </w:t>
      </w:r>
      <w:r>
        <w:t>polypharmacy</w:t>
      </w:r>
      <w:r w:rsidR="0070169B">
        <w:t xml:space="preserve">. Thus, </w:t>
      </w:r>
      <w:r>
        <w:t xml:space="preserve">older age </w:t>
      </w:r>
      <w:r w:rsidR="00EC02D4">
        <w:t xml:space="preserve">influences </w:t>
      </w:r>
      <w:r w:rsidR="002B7D8A">
        <w:t xml:space="preserve">and compounds the </w:t>
      </w:r>
      <w:r>
        <w:t xml:space="preserve">potential for </w:t>
      </w:r>
      <w:r w:rsidR="00EC02D4">
        <w:t>experiencing an ADR.</w:t>
      </w:r>
      <w:r>
        <w:t xml:space="preserve"> </w:t>
      </w:r>
      <w:r w:rsidR="002B7D8A">
        <w:t>In studies looking at all ages</w:t>
      </w:r>
      <w:r w:rsidR="00EC02D4">
        <w:t>,</w:t>
      </w:r>
      <w:r w:rsidR="002B7D8A">
        <w:t xml:space="preserve"> the prevalence of </w:t>
      </w:r>
      <w:r>
        <w:t>ADRs</w:t>
      </w:r>
      <w:r w:rsidR="00BA4F8B">
        <w:t xml:space="preserve"> </w:t>
      </w:r>
      <w:r w:rsidR="005C4A21">
        <w:t>causing hospitalisation</w:t>
      </w:r>
      <w:r w:rsidR="00BA4F8B">
        <w:t xml:space="preserve"> has</w:t>
      </w:r>
      <w:r w:rsidR="002B7D8A">
        <w:t xml:space="preserve"> been found to be lower than those occurring in </w:t>
      </w:r>
      <w:commentRangeStart w:id="1"/>
      <w:r w:rsidR="002B7D8A">
        <w:t>hospital</w:t>
      </w:r>
      <w:commentRangeEnd w:id="1"/>
      <w:r w:rsidR="005C4A21">
        <w:rPr>
          <w:rStyle w:val="CommentReference"/>
        </w:rPr>
        <w:commentReference w:id="1"/>
      </w:r>
      <w:r w:rsidR="002B7D8A">
        <w:t xml:space="preserve">. Therefore, it </w:t>
      </w:r>
      <w:r w:rsidR="00EC02D4">
        <w:t xml:space="preserve">would be </w:t>
      </w:r>
      <w:r w:rsidR="005C4A21">
        <w:t xml:space="preserve">expected </w:t>
      </w:r>
      <w:r w:rsidR="002B7D8A">
        <w:t xml:space="preserve">that in-hospital ADRs would be highest in older adults with polypharmacy and multi-morbidity. However, to date no systematic review has solely looked at this. </w:t>
      </w:r>
    </w:p>
    <w:p w14:paraId="2F5FF347" w14:textId="137E74B6" w:rsidR="00487F98" w:rsidRPr="002B7D8A" w:rsidRDefault="00487F98" w:rsidP="00487F98">
      <w:pPr>
        <w:spacing w:line="360" w:lineRule="auto"/>
        <w:jc w:val="both"/>
      </w:pPr>
      <w:r w:rsidRPr="00487F98">
        <w:rPr>
          <w:i/>
          <w:u w:val="single"/>
        </w:rPr>
        <w:t>Aim:</w:t>
      </w:r>
      <w:r w:rsidR="002B7D8A">
        <w:t xml:space="preserve"> This systematic review aims to identify the prevalence of in-hospital occurring ADR</w:t>
      </w:r>
      <w:r w:rsidR="005C4A21">
        <w:t xml:space="preserve">s in </w:t>
      </w:r>
      <w:r w:rsidR="00ED4779">
        <w:t>in-</w:t>
      </w:r>
      <w:r w:rsidR="002B7D8A">
        <w:t xml:space="preserve">patients </w:t>
      </w:r>
      <w:r w:rsidR="002B7D8A">
        <w:rPr>
          <w:rFonts w:cstheme="minorHAnsi"/>
        </w:rPr>
        <w:t>≥</w:t>
      </w:r>
      <w:r w:rsidR="002B7D8A">
        <w:t xml:space="preserve"> </w:t>
      </w:r>
      <w:r w:rsidR="0014005C">
        <w:t>65 years of age. In addition, it</w:t>
      </w:r>
      <w:r w:rsidR="002B7D8A">
        <w:t xml:space="preserve"> explore</w:t>
      </w:r>
      <w:r w:rsidR="0014005C">
        <w:t>s</w:t>
      </w:r>
      <w:r w:rsidR="002B7D8A">
        <w:t xml:space="preserve"> the reported severity, preventability, clinical presentation, causative agents and measurable outcomes of in-hospital ADRs in this cohort. We also explore </w:t>
      </w:r>
      <w:r w:rsidR="00EC02D4">
        <w:t xml:space="preserve">the effect of </w:t>
      </w:r>
      <w:r w:rsidR="00AE54D6">
        <w:t xml:space="preserve">the presence of </w:t>
      </w:r>
      <w:r w:rsidR="00EC02D4">
        <w:t>multi-morbidity and polypharmacy</w:t>
      </w:r>
      <w:r w:rsidR="002B7D8A">
        <w:t xml:space="preserve"> </w:t>
      </w:r>
      <w:r w:rsidR="00EC02D4">
        <w:t xml:space="preserve">on these variables. </w:t>
      </w:r>
    </w:p>
    <w:p w14:paraId="4DD8CE43" w14:textId="6166EECC" w:rsidR="00487F98" w:rsidRPr="00334450" w:rsidRDefault="00487F98" w:rsidP="00334450">
      <w:pPr>
        <w:spacing w:line="360" w:lineRule="auto"/>
        <w:jc w:val="both"/>
      </w:pPr>
      <w:r w:rsidRPr="00487F98">
        <w:rPr>
          <w:i/>
          <w:u w:val="single"/>
        </w:rPr>
        <w:t>Methods:</w:t>
      </w:r>
      <w:r w:rsidR="00334450">
        <w:t xml:space="preserve"> Using PRISMA methodology [PROSPERO r</w:t>
      </w:r>
      <w:r w:rsidR="005C4A21">
        <w:t xml:space="preserve">egistration CRD42018079095], a </w:t>
      </w:r>
      <w:r w:rsidR="00334450">
        <w:t>systematic</w:t>
      </w:r>
      <w:r w:rsidR="005C4A21">
        <w:t xml:space="preserve"> search of</w:t>
      </w:r>
      <w:r w:rsidR="00334450">
        <w:t xml:space="preserve"> PubMed, Embase and Eb</w:t>
      </w:r>
      <w:r w:rsidR="006E6C1F">
        <w:t>sco-CINAHL, Cochrane Library, library-</w:t>
      </w:r>
      <w:r w:rsidR="00334450">
        <w:t>hosted academic sources, Google® scholar, and ‘grey’ literature</w:t>
      </w:r>
      <w:r w:rsidR="005C4A21">
        <w:t xml:space="preserve"> was conducted</w:t>
      </w:r>
      <w:r w:rsidR="00334450">
        <w:t>. Search terms included aged, ADRs, hospitalized, multi-morbid, polypharmacy and hospital-acquired. A hand search of bibliography lists from relevant editorials and systematic revi</w:t>
      </w:r>
      <w:r w:rsidR="006E6C1F">
        <w:t>ews was conducted. S</w:t>
      </w:r>
      <w:r w:rsidR="00334450">
        <w:t>tudies of all languages and all dates up to and including the date of the final search [15/01/2018]</w:t>
      </w:r>
      <w:r w:rsidR="006E6C1F">
        <w:t xml:space="preserve"> were included</w:t>
      </w:r>
      <w:r w:rsidR="00334450">
        <w:t xml:space="preserve">. </w:t>
      </w:r>
      <w:r w:rsidR="006E6C1F">
        <w:t>S</w:t>
      </w:r>
      <w:r w:rsidR="00334450">
        <w:t xml:space="preserve">tudies that reported ADRs either as a primary or secondary outcome in patients aged ≥ 65 years who were hospitalised at time of ADR occurrence. Two researchers screened all papers for inclusion, </w:t>
      </w:r>
      <w:r w:rsidR="006E6C1F">
        <w:t xml:space="preserve">and </w:t>
      </w:r>
      <w:r w:rsidR="00334450">
        <w:t>risk of bias</w:t>
      </w:r>
      <w:r w:rsidR="006E6C1F">
        <w:t>,</w:t>
      </w:r>
      <w:r w:rsidR="00334450">
        <w:t xml:space="preserve"> and </w:t>
      </w:r>
      <w:r w:rsidR="006E6C1F">
        <w:t xml:space="preserve">performed </w:t>
      </w:r>
      <w:r w:rsidR="00334450">
        <w:t>data extraction.</w:t>
      </w:r>
    </w:p>
    <w:p w14:paraId="6378ACC2" w14:textId="11141391" w:rsidR="00487F98" w:rsidRPr="003E1E25" w:rsidRDefault="00487F98" w:rsidP="00487F98">
      <w:pPr>
        <w:spacing w:line="360" w:lineRule="auto"/>
        <w:jc w:val="both"/>
      </w:pPr>
      <w:r w:rsidRPr="00487F98">
        <w:rPr>
          <w:i/>
          <w:u w:val="single"/>
        </w:rPr>
        <w:t>Results:</w:t>
      </w:r>
      <w:r w:rsidR="003E1E25">
        <w:t xml:space="preserve"> A total of 1</w:t>
      </w:r>
      <w:r w:rsidR="00631943">
        <w:t>,</w:t>
      </w:r>
      <w:r w:rsidR="003E1E25">
        <w:t>930 abstracts were identified, following removal of duplicates 1</w:t>
      </w:r>
      <w:r w:rsidR="00631943">
        <w:t>,</w:t>
      </w:r>
      <w:r w:rsidR="003E1E25">
        <w:t>779 were screened, 228 underwent full text screening. 23 papers reporting 22 studies</w:t>
      </w:r>
      <w:r w:rsidR="009F1169">
        <w:t xml:space="preserve">, combined participants 21,306 (74% </w:t>
      </w:r>
      <w:r w:rsidR="009F1169">
        <w:rPr>
          <w:rFonts w:cstheme="minorHAnsi"/>
        </w:rPr>
        <w:t>≥</w:t>
      </w:r>
      <w:r w:rsidR="009F1169">
        <w:t xml:space="preserve"> 65 years, n=15,769) were included in the</w:t>
      </w:r>
      <w:r w:rsidR="003E1E25">
        <w:t xml:space="preserve"> final analysis.</w:t>
      </w:r>
      <w:r w:rsidR="00531C5D">
        <w:t xml:space="preserve"> 50% (11/22) reported solely in a cohort </w:t>
      </w:r>
      <w:r w:rsidR="00531C5D">
        <w:rPr>
          <w:rFonts w:cstheme="minorHAnsi"/>
        </w:rPr>
        <w:t>≥</w:t>
      </w:r>
      <w:r w:rsidR="00531C5D">
        <w:t xml:space="preserve"> 65 years, the remaining reported on adults – data was extractable for the </w:t>
      </w:r>
      <w:r w:rsidR="00531C5D">
        <w:rPr>
          <w:rFonts w:cstheme="minorHAnsi"/>
        </w:rPr>
        <w:t>≥</w:t>
      </w:r>
      <w:r w:rsidR="00531C5D">
        <w:t xml:space="preserve"> 65 cohort from the paper in 5/11, while additional information was provided by the author</w:t>
      </w:r>
      <w:r w:rsidR="00631943">
        <w:t>s</w:t>
      </w:r>
      <w:r w:rsidR="00531C5D">
        <w:t xml:space="preserve"> for 6/11.</w:t>
      </w:r>
      <w:r w:rsidR="009F1169">
        <w:t xml:space="preserve"> </w:t>
      </w:r>
      <w:r w:rsidR="00631943">
        <w:t xml:space="preserve">Across the studies a total of </w:t>
      </w:r>
      <w:r w:rsidR="00AE1635">
        <w:t>2</w:t>
      </w:r>
      <w:r w:rsidR="00631943">
        <w:t>,</w:t>
      </w:r>
      <w:r w:rsidR="00AE1635">
        <w:t xml:space="preserve">186 patients </w:t>
      </w:r>
      <w:r w:rsidR="00AE1635">
        <w:rPr>
          <w:rFonts w:cstheme="minorHAnsi"/>
        </w:rPr>
        <w:t>≥</w:t>
      </w:r>
      <w:r w:rsidR="00AE1635">
        <w:t xml:space="preserve"> 65 years experienced a</w:t>
      </w:r>
      <w:r w:rsidR="00631943">
        <w:t>t least o</w:t>
      </w:r>
      <w:r w:rsidR="00AE1635">
        <w:t>n</w:t>
      </w:r>
      <w:r w:rsidR="00631943">
        <w:t>e</w:t>
      </w:r>
      <w:r w:rsidR="00AE1635">
        <w:t xml:space="preserve"> ADR in-hospital. </w:t>
      </w:r>
      <w:r w:rsidR="000F6C04">
        <w:t xml:space="preserve">The mean ADR prevalence </w:t>
      </w:r>
      <w:r w:rsidR="00FE613A">
        <w:t xml:space="preserve">for all </w:t>
      </w:r>
      <w:r w:rsidR="00FE613A">
        <w:rPr>
          <w:rFonts w:cstheme="minorHAnsi"/>
        </w:rPr>
        <w:t>≥</w:t>
      </w:r>
      <w:r w:rsidR="00FE613A">
        <w:t xml:space="preserve"> 65 years </w:t>
      </w:r>
      <w:r w:rsidR="000F6C04">
        <w:t>across included studies was 18.80% (95% CI, 14.41%-23.20%).</w:t>
      </w:r>
      <w:r w:rsidR="00FE613A">
        <w:t xml:space="preserve"> The mean ADR prevalence in studies reporting polypharmacy and multi-morbidity</w:t>
      </w:r>
      <w:r w:rsidR="00481E70">
        <w:t xml:space="preserve"> (n=8/22)</w:t>
      </w:r>
      <w:r w:rsidR="00FE613A">
        <w:t xml:space="preserve"> was 14.87%. </w:t>
      </w:r>
    </w:p>
    <w:p w14:paraId="61CB9AA3" w14:textId="58FE8292" w:rsidR="00487F98" w:rsidRPr="00487F98" w:rsidRDefault="00487F98" w:rsidP="00487F98">
      <w:pPr>
        <w:spacing w:line="360" w:lineRule="auto"/>
        <w:jc w:val="both"/>
        <w:rPr>
          <w:i/>
          <w:u w:val="single"/>
        </w:rPr>
      </w:pPr>
      <w:r w:rsidRPr="00487F98">
        <w:rPr>
          <w:i/>
          <w:u w:val="single"/>
        </w:rPr>
        <w:t>Conclusion:</w:t>
      </w:r>
      <w:r w:rsidR="00745B58">
        <w:t xml:space="preserve"> </w:t>
      </w:r>
      <w:r w:rsidR="00302A2E">
        <w:t>This is the first systematic review detailing in-hospital occurring ADRs in older-adults. C</w:t>
      </w:r>
      <w:r>
        <w:t>linically significant ADR</w:t>
      </w:r>
      <w:r w:rsidR="00302A2E">
        <w:t>s</w:t>
      </w:r>
      <w:r>
        <w:t xml:space="preserve"> during hospitalisation</w:t>
      </w:r>
      <w:r w:rsidR="00302A2E">
        <w:t xml:space="preserve"> are common for older-adults and can be </w:t>
      </w:r>
      <w:r>
        <w:t xml:space="preserve">serious to </w:t>
      </w:r>
      <w:r>
        <w:lastRenderedPageBreak/>
        <w:t>life-threatening in severity</w:t>
      </w:r>
      <w:r w:rsidR="00302A2E">
        <w:t xml:space="preserve"> and mostly</w:t>
      </w:r>
      <w:r>
        <w:t xml:space="preserve"> preventable. </w:t>
      </w:r>
      <w:r w:rsidR="00302A2E">
        <w:t>Commonly prescribed drug classes accounted for the majority of ADRs</w:t>
      </w:r>
      <w:r w:rsidR="00FF4DCB">
        <w:t xml:space="preserve">. </w:t>
      </w:r>
    </w:p>
    <w:p w14:paraId="4E3BD34B" w14:textId="5A07474B" w:rsidR="00F773BE" w:rsidRDefault="00F773BE">
      <w:r>
        <w:br w:type="page"/>
      </w:r>
    </w:p>
    <w:p w14:paraId="56507A01" w14:textId="4089268C" w:rsidR="00BE7A27" w:rsidRPr="00BE7A27" w:rsidRDefault="00BD3E77" w:rsidP="00282DD5">
      <w:pPr>
        <w:spacing w:line="360" w:lineRule="auto"/>
        <w:jc w:val="both"/>
        <w:rPr>
          <w:b/>
          <w:u w:val="single"/>
        </w:rPr>
      </w:pPr>
      <w:r>
        <w:rPr>
          <w:b/>
          <w:u w:val="single"/>
        </w:rPr>
        <w:lastRenderedPageBreak/>
        <w:t xml:space="preserve">1. </w:t>
      </w:r>
      <w:r w:rsidR="00BE7A27" w:rsidRPr="00BE7A27">
        <w:rPr>
          <w:b/>
          <w:u w:val="single"/>
        </w:rPr>
        <w:t>Introduction:</w:t>
      </w:r>
    </w:p>
    <w:p w14:paraId="57563F03" w14:textId="4943E53E" w:rsidR="00B35E42" w:rsidRPr="00AD68DB" w:rsidRDefault="00091F05" w:rsidP="00B35E42">
      <w:pPr>
        <w:spacing w:line="360" w:lineRule="auto"/>
        <w:jc w:val="both"/>
      </w:pPr>
      <w:r>
        <w:t>As per the</w:t>
      </w:r>
      <w:r w:rsidR="00F74968">
        <w:t xml:space="preserve"> World Health Organisation, </w:t>
      </w:r>
      <w:r>
        <w:t xml:space="preserve">an </w:t>
      </w:r>
      <w:r w:rsidR="001F25BD">
        <w:t>a</w:t>
      </w:r>
      <w:r w:rsidR="00B35E42">
        <w:t>dverse drug re</w:t>
      </w:r>
      <w:r w:rsidR="00F74968">
        <w:t>action [ADR</w:t>
      </w:r>
      <w:r w:rsidR="00B35E42">
        <w:t>]</w:t>
      </w:r>
      <w:r>
        <w:t xml:space="preserve"> is </w:t>
      </w:r>
      <w:r w:rsidR="001F25BD" w:rsidRPr="001F25BD">
        <w:t>“a response to a medicine which is noxious and unintended, and which occurs at doses normally used in man”.</w:t>
      </w:r>
      <w:r w:rsidR="00B35E42">
        <w:t xml:space="preserve"> </w:t>
      </w:r>
      <w:r w:rsidR="00AA6B16" w:rsidRPr="00AA6B16">
        <w:t xml:space="preserve">An adverse </w:t>
      </w:r>
      <w:r w:rsidR="00AA6B16">
        <w:t xml:space="preserve">drug </w:t>
      </w:r>
      <w:r w:rsidR="00AA6B16" w:rsidRPr="00AA6B16">
        <w:t xml:space="preserve">event or experience </w:t>
      </w:r>
      <w:r w:rsidR="00AA6B16">
        <w:t>(ADE) is defined as “</w:t>
      </w:r>
      <w:r w:rsidR="00AA6B16" w:rsidRPr="00AA6B16">
        <w:t>any untoward medical occurrence that may present during treatment with a medicine but which does not necessarily have a causal r</w:t>
      </w:r>
      <w:r w:rsidR="00AA6B16">
        <w:t>elationship with this treatment”</w:t>
      </w:r>
      <w:r w:rsidR="00654988">
        <w:t xml:space="preserve"> </w:t>
      </w:r>
      <w:r w:rsidR="00891373">
        <w:rPr>
          <w:noProof/>
        </w:rPr>
        <w:t>[1]</w:t>
      </w:r>
      <w:r w:rsidR="00AA6B16" w:rsidRPr="00AA6B16">
        <w:t xml:space="preserve">. </w:t>
      </w:r>
      <w:r w:rsidR="00AD68DB">
        <w:t xml:space="preserve">For over half a century researchers have been interested in </w:t>
      </w:r>
      <w:r w:rsidR="001F25BD">
        <w:t xml:space="preserve">ADRs </w:t>
      </w:r>
      <w:r w:rsidR="00AD68DB">
        <w:t xml:space="preserve">with early </w:t>
      </w:r>
      <w:r w:rsidR="00B35E42">
        <w:t>observational</w:t>
      </w:r>
      <w:r w:rsidR="00AD68DB">
        <w:t xml:space="preserve"> studies focusing </w:t>
      </w:r>
      <w:r w:rsidR="005A1A46">
        <w:t xml:space="preserve">on </w:t>
      </w:r>
      <w:r w:rsidR="00791204">
        <w:t>ADR</w:t>
      </w:r>
      <w:r w:rsidR="00B35E42">
        <w:t xml:space="preserve"> </w:t>
      </w:r>
      <w:r>
        <w:t>prevalence</w:t>
      </w:r>
      <w:r w:rsidR="00B35E42">
        <w:t>. Subsequently</w:t>
      </w:r>
      <w:r w:rsidR="00A8771C">
        <w:t>,</w:t>
      </w:r>
      <w:r w:rsidR="00A65FD7">
        <w:t xml:space="preserve"> studies focused on </w:t>
      </w:r>
      <w:r w:rsidR="00B35E42">
        <w:t>predictive models, associated risk factors, pre</w:t>
      </w:r>
      <w:r w:rsidR="00A8771C">
        <w:t>ventability and decreasing ADR</w:t>
      </w:r>
      <w:r w:rsidR="00B35E42">
        <w:t xml:space="preserve"> related iatrogenic harm. </w:t>
      </w:r>
      <w:r>
        <w:t xml:space="preserve">For older adults </w:t>
      </w:r>
      <w:r w:rsidR="002154FC">
        <w:t>in the acute care setting</w:t>
      </w:r>
      <w:r w:rsidR="00F74968">
        <w:rPr>
          <w:color w:val="000000"/>
        </w:rPr>
        <w:t xml:space="preserve">, </w:t>
      </w:r>
      <w:r w:rsidR="000C4C70">
        <w:t>f</w:t>
      </w:r>
      <w:r w:rsidR="000C4C70">
        <w:rPr>
          <w:color w:val="000000"/>
        </w:rPr>
        <w:t>emale sex, increased comorbid complexity, and increased number of medications</w:t>
      </w:r>
      <w:r w:rsidR="002154FC">
        <w:rPr>
          <w:color w:val="000000"/>
        </w:rPr>
        <w:t xml:space="preserve"> </w:t>
      </w:r>
      <w:r>
        <w:t xml:space="preserve">are </w:t>
      </w:r>
      <w:r>
        <w:rPr>
          <w:color w:val="000000"/>
        </w:rPr>
        <w:t>significant</w:t>
      </w:r>
      <w:r>
        <w:t xml:space="preserve"> risk factors for </w:t>
      </w:r>
      <w:r w:rsidR="00E3682B">
        <w:t xml:space="preserve">experiencing an </w:t>
      </w:r>
      <w:r>
        <w:rPr>
          <w:color w:val="000000"/>
        </w:rPr>
        <w:t>ADR</w:t>
      </w:r>
      <w:r>
        <w:t xml:space="preserve"> </w:t>
      </w:r>
      <w:r w:rsidR="00891373">
        <w:rPr>
          <w:noProof/>
          <w:color w:val="000000"/>
        </w:rPr>
        <w:t>[2]</w:t>
      </w:r>
      <w:r w:rsidR="000C4C70">
        <w:rPr>
          <w:color w:val="000000"/>
        </w:rPr>
        <w:t xml:space="preserve">. </w:t>
      </w:r>
    </w:p>
    <w:p w14:paraId="63FDB58A" w14:textId="77777777" w:rsidR="00291A41" w:rsidRDefault="00291A41" w:rsidP="00B35E42">
      <w:pPr>
        <w:spacing w:line="360" w:lineRule="auto"/>
        <w:jc w:val="both"/>
      </w:pPr>
    </w:p>
    <w:p w14:paraId="2048737F" w14:textId="6F830768" w:rsidR="007A11BE" w:rsidRDefault="00E3682B" w:rsidP="00AA04C2">
      <w:pPr>
        <w:spacing w:line="360" w:lineRule="auto"/>
        <w:jc w:val="both"/>
      </w:pPr>
      <w:r>
        <w:t xml:space="preserve">Dedicated </w:t>
      </w:r>
      <w:r w:rsidR="00B35E42">
        <w:t>systematic reviews</w:t>
      </w:r>
      <w:r w:rsidR="00D964BA">
        <w:t xml:space="preserve"> (SRs)</w:t>
      </w:r>
      <w:r w:rsidR="00B35E42">
        <w:t xml:space="preserve"> focusing on ADRs </w:t>
      </w:r>
      <w:r>
        <w:t xml:space="preserve">have </w:t>
      </w:r>
      <w:r w:rsidR="00B35E42">
        <w:t xml:space="preserve">emerged in the past </w:t>
      </w:r>
      <w:r w:rsidR="00236FD8">
        <w:t>twenty years</w:t>
      </w:r>
      <w:r w:rsidR="001571C2">
        <w:t xml:space="preserve"> </w:t>
      </w:r>
      <w:r w:rsidR="00891373">
        <w:rPr>
          <w:noProof/>
        </w:rPr>
        <w:t>[3]</w:t>
      </w:r>
      <w:r w:rsidR="00313442">
        <w:t>. Yet, to-</w:t>
      </w:r>
      <w:r w:rsidR="00236FD8">
        <w:t>date only five</w:t>
      </w:r>
      <w:r w:rsidR="00B35E42">
        <w:t xml:space="preserve"> have focused </w:t>
      </w:r>
      <w:r w:rsidR="00D964BA">
        <w:t xml:space="preserve">primarily </w:t>
      </w:r>
      <w:r w:rsidR="00B35E42">
        <w:t>on ADRs in an older cohort</w:t>
      </w:r>
      <w:r w:rsidR="00236FD8">
        <w:t xml:space="preserve"> in isolation</w:t>
      </w:r>
      <w:r w:rsidR="00DB380D">
        <w:t xml:space="preserve"> </w:t>
      </w:r>
      <w:r w:rsidR="00891373">
        <w:rPr>
          <w:noProof/>
        </w:rPr>
        <w:t>[4-8]</w:t>
      </w:r>
      <w:r w:rsidR="00D964BA">
        <w:t xml:space="preserve">. </w:t>
      </w:r>
      <w:r w:rsidR="007120BC">
        <w:t>A</w:t>
      </w:r>
      <w:r w:rsidR="001571C2">
        <w:t xml:space="preserve">n additional </w:t>
      </w:r>
      <w:r w:rsidR="007120BC">
        <w:t>three SRs have reported on ADRs in o</w:t>
      </w:r>
      <w:r w:rsidR="00A73D78">
        <w:t xml:space="preserve">lder adults </w:t>
      </w:r>
      <w:r w:rsidR="007120BC">
        <w:t xml:space="preserve">as a subset </w:t>
      </w:r>
      <w:r w:rsidR="00891373">
        <w:rPr>
          <w:noProof/>
        </w:rPr>
        <w:t>[9-11]</w:t>
      </w:r>
      <w:r w:rsidR="007120BC">
        <w:t xml:space="preserve">. </w:t>
      </w:r>
      <w:r w:rsidR="00A73D78">
        <w:t>All of t</w:t>
      </w:r>
      <w:r w:rsidR="00D964BA">
        <w:t xml:space="preserve">hese </w:t>
      </w:r>
      <w:r w:rsidR="00A73D78">
        <w:t xml:space="preserve">SRs </w:t>
      </w:r>
      <w:r w:rsidR="001571C2">
        <w:t xml:space="preserve">had </w:t>
      </w:r>
      <w:r w:rsidR="00D964BA">
        <w:t xml:space="preserve">varied settings and </w:t>
      </w:r>
      <w:r w:rsidR="00457FC7">
        <w:t xml:space="preserve">report the </w:t>
      </w:r>
      <w:r w:rsidR="00D964BA">
        <w:t xml:space="preserve">prevalence of ADRs </w:t>
      </w:r>
      <w:r w:rsidR="00457FC7">
        <w:t xml:space="preserve">at various time points. </w:t>
      </w:r>
      <w:r w:rsidR="00A73D78">
        <w:t xml:space="preserve">The </w:t>
      </w:r>
      <w:r w:rsidR="006F7ABC">
        <w:t xml:space="preserve">reported </w:t>
      </w:r>
      <w:r w:rsidR="00A73D78">
        <w:t xml:space="preserve">prevalence of </w:t>
      </w:r>
      <w:r w:rsidR="00457FC7">
        <w:t>ADRs leading to hospitalisation in older adults</w:t>
      </w:r>
      <w:r w:rsidR="006F7ABC">
        <w:t xml:space="preserve"> lies between 8.7% to 16.6% - </w:t>
      </w:r>
      <w:r w:rsidR="00457FC7">
        <w:t xml:space="preserve"> </w:t>
      </w:r>
      <w:r w:rsidR="006F7ABC">
        <w:t>(</w:t>
      </w:r>
      <w:r w:rsidR="00457FC7">
        <w:t xml:space="preserve">8.7% </w:t>
      </w:r>
      <w:r w:rsidR="00891373">
        <w:rPr>
          <w:noProof/>
        </w:rPr>
        <w:t>[7]</w:t>
      </w:r>
      <w:r w:rsidR="00457FC7">
        <w:t xml:space="preserve"> to 10% </w:t>
      </w:r>
      <w:r w:rsidR="00891373">
        <w:rPr>
          <w:noProof/>
        </w:rPr>
        <w:t>[2]</w:t>
      </w:r>
      <w:r w:rsidR="006F7ABC">
        <w:t xml:space="preserve"> for</w:t>
      </w:r>
      <w:r w:rsidR="00457FC7">
        <w:t xml:space="preserve"> studies looking at older adults in isolation</w:t>
      </w:r>
      <w:r w:rsidR="006F7ABC">
        <w:t xml:space="preserve">; 10.7% </w:t>
      </w:r>
      <w:r w:rsidR="00891373">
        <w:rPr>
          <w:noProof/>
        </w:rPr>
        <w:t>[10]</w:t>
      </w:r>
      <w:r w:rsidR="006F7ABC">
        <w:t xml:space="preserve"> to 16.6% </w:t>
      </w:r>
      <w:r w:rsidR="00891373">
        <w:rPr>
          <w:noProof/>
        </w:rPr>
        <w:t>[9]</w:t>
      </w:r>
      <w:r w:rsidR="006F7ABC">
        <w:t xml:space="preserve"> in </w:t>
      </w:r>
      <w:r w:rsidR="00457FC7">
        <w:t>SRs reporting subgroups of older adults</w:t>
      </w:r>
      <w:r w:rsidR="006F7ABC">
        <w:t>)</w:t>
      </w:r>
      <w:r w:rsidR="007120BC">
        <w:t>.</w:t>
      </w:r>
      <w:r w:rsidR="00AA04C2" w:rsidRPr="00AA04C2">
        <w:t xml:space="preserve"> </w:t>
      </w:r>
      <w:r w:rsidR="00090E70">
        <w:t xml:space="preserve">Steveneson </w:t>
      </w:r>
      <w:r w:rsidR="00090E70" w:rsidRPr="00AA04C2">
        <w:rPr>
          <w:i/>
        </w:rPr>
        <w:t>et al.</w:t>
      </w:r>
      <w:r w:rsidR="00090E70">
        <w:t xml:space="preserve"> reported ADR prevalence </w:t>
      </w:r>
      <w:r w:rsidR="00313442">
        <w:t xml:space="preserve">ranging </w:t>
      </w:r>
      <w:r w:rsidR="00090E70">
        <w:t xml:space="preserve">from 6.5%-39% across acute, rehabilitation and community hospital settings </w:t>
      </w:r>
      <w:r w:rsidR="00891373">
        <w:rPr>
          <w:noProof/>
        </w:rPr>
        <w:t>[8]</w:t>
      </w:r>
      <w:r w:rsidR="00A9481C">
        <w:t>, while Kanagaratnam</w:t>
      </w:r>
      <w:r w:rsidR="001571C2">
        <w:t xml:space="preserve"> </w:t>
      </w:r>
      <w:r w:rsidR="001571C2" w:rsidRPr="001571C2">
        <w:rPr>
          <w:i/>
        </w:rPr>
        <w:t>et al.</w:t>
      </w:r>
      <w:r w:rsidR="001571C2">
        <w:t xml:space="preserve"> </w:t>
      </w:r>
      <w:r w:rsidR="00A9481C">
        <w:t>report</w:t>
      </w:r>
      <w:r w:rsidR="001571C2">
        <w:t>ed</w:t>
      </w:r>
      <w:r w:rsidR="00BD0434">
        <w:t xml:space="preserve"> </w:t>
      </w:r>
      <w:r w:rsidR="00A9481C">
        <w:t xml:space="preserve">prevalence </w:t>
      </w:r>
      <w:r w:rsidR="00BD0434">
        <w:t xml:space="preserve">ranging </w:t>
      </w:r>
      <w:r w:rsidR="00A9481C">
        <w:t xml:space="preserve">from 4.8%-37% for older adults with cognitive disorders in a similar setting </w:t>
      </w:r>
      <w:r w:rsidR="00891373">
        <w:rPr>
          <w:noProof/>
        </w:rPr>
        <w:t>[12]</w:t>
      </w:r>
      <w:r w:rsidR="00A9481C">
        <w:t xml:space="preserve">. </w:t>
      </w:r>
    </w:p>
    <w:p w14:paraId="514E71ED" w14:textId="423F4B81" w:rsidR="00291A41" w:rsidRDefault="00291A41" w:rsidP="00AA04C2">
      <w:pPr>
        <w:spacing w:line="360" w:lineRule="auto"/>
        <w:jc w:val="both"/>
      </w:pPr>
    </w:p>
    <w:p w14:paraId="1140775F" w14:textId="3DCBAF79" w:rsidR="0070169B" w:rsidRDefault="0070169B" w:rsidP="00AA04C2">
      <w:pPr>
        <w:spacing w:line="360" w:lineRule="auto"/>
        <w:jc w:val="both"/>
      </w:pPr>
      <w:r>
        <w:t>Rates of ADRs in community vs in-hospital (higher in-hospital Miguel et al. 16.8% in-hosp vs. 6.3% leading to hospitalisation all ages Kongkaew et al.). older adults 10.7% requiring admissions.</w:t>
      </w:r>
    </w:p>
    <w:p w14:paraId="5C295053" w14:textId="77777777" w:rsidR="0070169B" w:rsidRDefault="0070169B" w:rsidP="00AA04C2">
      <w:pPr>
        <w:spacing w:line="360" w:lineRule="auto"/>
        <w:jc w:val="both"/>
      </w:pPr>
    </w:p>
    <w:p w14:paraId="5B8F9D80" w14:textId="53F90189" w:rsidR="007A11BE" w:rsidRDefault="001571C2" w:rsidP="007A11BE">
      <w:pPr>
        <w:spacing w:line="360" w:lineRule="auto"/>
        <w:jc w:val="both"/>
      </w:pPr>
      <w:r>
        <w:t xml:space="preserve">When it comes to ADRs occurring during hospitalisation, </w:t>
      </w:r>
      <w:r w:rsidR="009445DF">
        <w:t xml:space="preserve">Laatikainen </w:t>
      </w:r>
      <w:r w:rsidR="009445DF" w:rsidRPr="009454C3">
        <w:rPr>
          <w:i/>
        </w:rPr>
        <w:t>et al.</w:t>
      </w:r>
      <w:r w:rsidR="009445DF">
        <w:t xml:space="preserve"> found a mean prevalence of in-patient ADRs of 23.4%</w:t>
      </w:r>
      <w:r w:rsidR="000F4F7A">
        <w:t xml:space="preserve"> </w:t>
      </w:r>
      <w:r w:rsidR="008F3AAB">
        <w:t>when exploring adverse drug events</w:t>
      </w:r>
      <w:r w:rsidR="00BD0434">
        <w:t xml:space="preserve"> (ADEs)</w:t>
      </w:r>
      <w:r w:rsidR="008F3AAB">
        <w:t xml:space="preserve"> in in</w:t>
      </w:r>
      <w:r w:rsidR="00F524FF">
        <w:t>-</w:t>
      </w:r>
      <w:r w:rsidR="008F3AAB">
        <w:t xml:space="preserve">patients </w:t>
      </w:r>
      <w:r w:rsidR="00891373">
        <w:rPr>
          <w:noProof/>
        </w:rPr>
        <w:t>[13]</w:t>
      </w:r>
      <w:r w:rsidR="009445DF">
        <w:t>. However,</w:t>
      </w:r>
      <w:r w:rsidR="000F5F2F">
        <w:t xml:space="preserve"> </w:t>
      </w:r>
      <w:r w:rsidR="009445DF">
        <w:t>the 14 included studies were adults of all ages and did not look at an older population in isolation</w:t>
      </w:r>
      <w:r w:rsidR="000F5F2F">
        <w:t xml:space="preserve">. </w:t>
      </w:r>
      <w:r>
        <w:t xml:space="preserve">While Lazaou </w:t>
      </w:r>
      <w:r w:rsidRPr="0050068F">
        <w:rPr>
          <w:i/>
        </w:rPr>
        <w:t>et al.</w:t>
      </w:r>
      <w:r>
        <w:t xml:space="preserve"> reported 10.9% experiencing an ADR during hospitalisation across all ages </w:t>
      </w:r>
      <w:r w:rsidR="00891373">
        <w:rPr>
          <w:noProof/>
        </w:rPr>
        <w:t>[3]</w:t>
      </w:r>
      <w:r w:rsidR="00303476">
        <w:t>, o</w:t>
      </w:r>
      <w:r w:rsidR="00090E70">
        <w:t>nly</w:t>
      </w:r>
      <w:r w:rsidR="00AA04C2">
        <w:t xml:space="preserve"> Alhawassi </w:t>
      </w:r>
      <w:r w:rsidR="00AA04C2" w:rsidRPr="00090E70">
        <w:rPr>
          <w:i/>
        </w:rPr>
        <w:t>et al.</w:t>
      </w:r>
      <w:r w:rsidR="00AA04C2">
        <w:t xml:space="preserve"> </w:t>
      </w:r>
      <w:r>
        <w:t xml:space="preserve">has </w:t>
      </w:r>
      <w:r w:rsidR="00AA04C2">
        <w:t xml:space="preserve">reported on </w:t>
      </w:r>
      <w:r w:rsidR="007A11BE">
        <w:t xml:space="preserve">prevalence of </w:t>
      </w:r>
      <w:r w:rsidR="00AA04C2">
        <w:t>ADRs occurring in-hospital in an older adult cohort</w:t>
      </w:r>
      <w:r w:rsidR="00303476">
        <w:t xml:space="preserve">, </w:t>
      </w:r>
      <w:r w:rsidR="009B72D2">
        <w:t>11.5% (95% CI, 0 – 27%)</w:t>
      </w:r>
      <w:r w:rsidR="00EB0EE4">
        <w:t xml:space="preserve"> </w:t>
      </w:r>
      <w:r w:rsidR="00891373">
        <w:rPr>
          <w:noProof/>
        </w:rPr>
        <w:t>[2]</w:t>
      </w:r>
      <w:r w:rsidR="00EB0EE4">
        <w:t xml:space="preserve">. </w:t>
      </w:r>
      <w:r w:rsidR="007A11BE">
        <w:t>However, it is unclear as to the number of studies and size of populations represented by this value.</w:t>
      </w:r>
      <w:r w:rsidR="002F1ADE">
        <w:t xml:space="preserve"> </w:t>
      </w:r>
      <w:r w:rsidR="007A11BE">
        <w:t xml:space="preserve"> </w:t>
      </w:r>
      <w:r w:rsidR="002F1ADE">
        <w:t xml:space="preserve">Lazarou </w:t>
      </w:r>
      <w:r w:rsidR="002F1ADE" w:rsidRPr="002F1ADE">
        <w:rPr>
          <w:i/>
        </w:rPr>
        <w:t>et al.</w:t>
      </w:r>
      <w:r w:rsidR="00A047C2">
        <w:t xml:space="preserve"> found</w:t>
      </w:r>
      <w:r w:rsidR="00E5445E">
        <w:t xml:space="preserve"> overall</w:t>
      </w:r>
      <w:r w:rsidR="007A11BE">
        <w:t xml:space="preserve"> serious ADR</w:t>
      </w:r>
      <w:r w:rsidR="002F1ADE">
        <w:t>s</w:t>
      </w:r>
      <w:r w:rsidR="007A11BE">
        <w:t xml:space="preserve"> </w:t>
      </w:r>
      <w:r w:rsidR="002F1ADE">
        <w:t xml:space="preserve">to be </w:t>
      </w:r>
      <w:r w:rsidR="007A11BE">
        <w:t>6.7% (95%CI 5.2-8.2%)</w:t>
      </w:r>
      <w:r w:rsidR="00E5445E">
        <w:t>,</w:t>
      </w:r>
      <w:r w:rsidR="00A047C2">
        <w:t xml:space="preserve"> with </w:t>
      </w:r>
      <w:r w:rsidR="00A047C2">
        <w:lastRenderedPageBreak/>
        <w:t>those</w:t>
      </w:r>
      <w:r w:rsidR="00E5445E">
        <w:t xml:space="preserve"> in-hospital occurring ADRs</w:t>
      </w:r>
      <w:r w:rsidR="00A047C2">
        <w:t xml:space="preserve"> being serous in</w:t>
      </w:r>
      <w:r w:rsidR="00E5445E">
        <w:t xml:space="preserve"> 2.1% (95% CI, 1.9-2.3%)</w:t>
      </w:r>
      <w:r w:rsidR="002F1ADE">
        <w:t xml:space="preserve"> </w:t>
      </w:r>
      <w:r w:rsidR="00891373">
        <w:rPr>
          <w:noProof/>
        </w:rPr>
        <w:t>[3]</w:t>
      </w:r>
      <w:r w:rsidR="00E5445E">
        <w:t xml:space="preserve">. Kanagaratnam </w:t>
      </w:r>
      <w:r w:rsidR="00E5445E" w:rsidRPr="00E5445E">
        <w:rPr>
          <w:i/>
        </w:rPr>
        <w:t>et al.</w:t>
      </w:r>
      <w:r w:rsidR="00E5445E">
        <w:t xml:space="preserve"> found </w:t>
      </w:r>
      <w:r w:rsidR="002F1ADE">
        <w:t xml:space="preserve">for older adults with cognitive disorders </w:t>
      </w:r>
      <w:r w:rsidR="00E5445E">
        <w:t xml:space="preserve">serious ADRs </w:t>
      </w:r>
      <w:r w:rsidR="002F1ADE">
        <w:t xml:space="preserve">range from 1.7-12% </w:t>
      </w:r>
      <w:r w:rsidR="00891373">
        <w:rPr>
          <w:noProof/>
        </w:rPr>
        <w:t>[12]</w:t>
      </w:r>
      <w:r w:rsidR="002F1ADE">
        <w:t xml:space="preserve">. </w:t>
      </w:r>
    </w:p>
    <w:p w14:paraId="2E5C9B53" w14:textId="77777777" w:rsidR="003B23F8" w:rsidRDefault="003B23F8" w:rsidP="007A11BE">
      <w:pPr>
        <w:spacing w:line="360" w:lineRule="auto"/>
        <w:jc w:val="both"/>
      </w:pPr>
    </w:p>
    <w:p w14:paraId="78D17148" w14:textId="10D5AED3" w:rsidR="00891373" w:rsidRDefault="00891373" w:rsidP="00891373">
      <w:pPr>
        <w:spacing w:line="360" w:lineRule="auto"/>
        <w:jc w:val="both"/>
      </w:pPr>
      <w:r>
        <w:t>For older adults</w:t>
      </w:r>
      <w:r w:rsidR="009A5279">
        <w:t>, an in-hospital ADE</w:t>
      </w:r>
      <w:r>
        <w:t xml:space="preserve"> results in a prolonged in</w:t>
      </w:r>
      <w:r w:rsidR="009A5279">
        <w:t>-</w:t>
      </w:r>
      <w:r>
        <w:t xml:space="preserve">patient length of stay </w:t>
      </w:r>
      <w:r>
        <w:rPr>
          <w:noProof/>
        </w:rPr>
        <w:t>[14]</w:t>
      </w:r>
      <w:r w:rsidR="00CC3575">
        <w:t xml:space="preserve">; </w:t>
      </w:r>
      <w:r>
        <w:t xml:space="preserve"> </w:t>
      </w:r>
      <w:r w:rsidR="00CC3575">
        <w:t xml:space="preserve">a mean increase </w:t>
      </w:r>
      <w:r>
        <w:t xml:space="preserve">of 6.1 days </w:t>
      </w:r>
      <w:r>
        <w:rPr>
          <w:noProof/>
        </w:rPr>
        <w:t>[15]</w:t>
      </w:r>
      <w:r>
        <w:t xml:space="preserve">. Leendertse </w:t>
      </w:r>
      <w:r w:rsidR="00CC3575" w:rsidRPr="00CC3575">
        <w:rPr>
          <w:i/>
        </w:rPr>
        <w:t>et al.</w:t>
      </w:r>
      <w:r w:rsidR="00CC3575">
        <w:t xml:space="preserve"> reports the </w:t>
      </w:r>
      <w:r>
        <w:t xml:space="preserve">geriatric population cost of ADE leading to hospitalisation </w:t>
      </w:r>
      <w:r w:rsidR="00CC3575">
        <w:t xml:space="preserve">as </w:t>
      </w:r>
      <w:r>
        <w:t xml:space="preserve">€6,527.37 per patient </w:t>
      </w:r>
      <w:r>
        <w:rPr>
          <w:noProof/>
        </w:rPr>
        <w:t>[16]</w:t>
      </w:r>
      <w:r>
        <w:t xml:space="preserve">. </w:t>
      </w:r>
      <w:r w:rsidR="00CC3575">
        <w:t>The a</w:t>
      </w:r>
      <w:r>
        <w:t>verage cost of ADE-related hospital admission was €4</w:t>
      </w:r>
      <w:r w:rsidR="00CC3575">
        <w:t>,</w:t>
      </w:r>
      <w:r>
        <w:t xml:space="preserve">844 with no difference comparing &lt;65 years to </w:t>
      </w:r>
      <w:r w:rsidR="00CC3575">
        <w:rPr>
          <w:rFonts w:cstheme="minorHAnsi"/>
        </w:rPr>
        <w:t>≥</w:t>
      </w:r>
      <w:r>
        <w:t xml:space="preserve">65 years </w:t>
      </w:r>
      <w:r>
        <w:rPr>
          <w:noProof/>
        </w:rPr>
        <w:t>[17]</w:t>
      </w:r>
      <w:r>
        <w:t xml:space="preserve">. Hug </w:t>
      </w:r>
      <w:r w:rsidRPr="00404BE1">
        <w:rPr>
          <w:i/>
        </w:rPr>
        <w:t>et al.</w:t>
      </w:r>
      <w:r>
        <w:t xml:space="preserve"> cost increases with severity of ADR </w:t>
      </w:r>
      <w:r>
        <w:rPr>
          <w:noProof/>
        </w:rPr>
        <w:t>[18]</w:t>
      </w:r>
      <w:r>
        <w:t xml:space="preserve">. Khan </w:t>
      </w:r>
      <w:r w:rsidRPr="00404BE1">
        <w:rPr>
          <w:i/>
        </w:rPr>
        <w:t>et al.</w:t>
      </w:r>
      <w:r w:rsidR="00C513AB">
        <w:t xml:space="preserve"> a hospital-</w:t>
      </w:r>
      <w:r>
        <w:t xml:space="preserve">acquired ADR associated with </w:t>
      </w:r>
      <w:r w:rsidR="00C513AB">
        <w:t xml:space="preserve">approximately 20% </w:t>
      </w:r>
      <w:r>
        <w:t xml:space="preserve">increase in cost of care (19.86% $2,401 per patient) and associated increase of 8.25% in hospital stay </w:t>
      </w:r>
      <w:r>
        <w:rPr>
          <w:noProof/>
        </w:rPr>
        <w:t>[19]</w:t>
      </w:r>
      <w:r>
        <w:t xml:space="preserve">. Field </w:t>
      </w:r>
      <w:r w:rsidRPr="00404BE1">
        <w:rPr>
          <w:i/>
        </w:rPr>
        <w:t>et al.</w:t>
      </w:r>
      <w:r>
        <w:t xml:space="preserve"> statistically significant increase in all direct costs between 6 weeks before and after an ADE -  additional $1310 for all ADEs and preventable ADEs being more $1983 </w:t>
      </w:r>
      <w:r>
        <w:rPr>
          <w:noProof/>
        </w:rPr>
        <w:t>[20]</w:t>
      </w:r>
      <w:r>
        <w:t xml:space="preserve">. In-hospital adverse drug events (ADEs) in older adults are associated with on average increased healthcare cost of €2580 </w:t>
      </w:r>
      <w:r>
        <w:rPr>
          <w:noProof/>
        </w:rPr>
        <w:t>[15]</w:t>
      </w:r>
      <w:r>
        <w:t>.</w:t>
      </w:r>
      <w:r w:rsidRPr="001F25BD">
        <w:t xml:space="preserve"> </w:t>
      </w:r>
      <w:r>
        <w:t xml:space="preserve">Broyles et al. occurrence of ADE positively associated with length of hospital stay, daily hospital costs and total hospital costs, in addition &gt; 70 years olds with ADE had longer LOS than those &lt; 70 years </w:t>
      </w:r>
      <w:r>
        <w:rPr>
          <w:noProof/>
        </w:rPr>
        <w:t>[14]</w:t>
      </w:r>
    </w:p>
    <w:p w14:paraId="2A375192" w14:textId="79432752" w:rsidR="00AA04C2" w:rsidRDefault="00AA04C2" w:rsidP="00AA04C2">
      <w:pPr>
        <w:spacing w:line="360" w:lineRule="auto"/>
        <w:jc w:val="both"/>
      </w:pPr>
    </w:p>
    <w:p w14:paraId="2D6CEB27" w14:textId="08ABD8A7" w:rsidR="008E51EA" w:rsidRDefault="00D964BA" w:rsidP="00B35E42">
      <w:pPr>
        <w:spacing w:line="360" w:lineRule="auto"/>
        <w:jc w:val="both"/>
      </w:pPr>
      <w:r>
        <w:t xml:space="preserve">SRs looking at interventions to reduce polypharmacy </w:t>
      </w:r>
      <w:r w:rsidR="00654988">
        <w:rPr>
          <w:noProof/>
        </w:rPr>
        <w:t>[21]</w:t>
      </w:r>
      <w:r>
        <w:t xml:space="preserve"> and economics of adverse drug events (ADEs) </w:t>
      </w:r>
      <w:r w:rsidR="00891373">
        <w:rPr>
          <w:noProof/>
        </w:rPr>
        <w:t>[17]</w:t>
      </w:r>
      <w:r>
        <w:t xml:space="preserve"> have been also been explored in older adults.  </w:t>
      </w:r>
    </w:p>
    <w:p w14:paraId="7F706889" w14:textId="3703A056" w:rsidR="00BE7A27" w:rsidRDefault="00331FC8" w:rsidP="00B35E42">
      <w:pPr>
        <w:spacing w:line="360" w:lineRule="auto"/>
        <w:jc w:val="both"/>
      </w:pPr>
      <w:r>
        <w:t>Despite evidence suggesting that older adults with concurrent polypharmacy and multi-morbidity are the highest risk cohort patient group for ADR occurrence, t</w:t>
      </w:r>
      <w:r w:rsidR="0050068F">
        <w:t>o our knowledge there isn’t a single systematic review that looks</w:t>
      </w:r>
      <w:r w:rsidR="00B35E42">
        <w:t xml:space="preserve"> in isolation at </w:t>
      </w:r>
      <w:r w:rsidR="0050068F">
        <w:t xml:space="preserve">ADRs </w:t>
      </w:r>
      <w:r w:rsidR="00B35E42">
        <w:t xml:space="preserve">occurring </w:t>
      </w:r>
      <w:r w:rsidR="0050068F">
        <w:t xml:space="preserve">during hospitalisation in </w:t>
      </w:r>
      <w:r w:rsidR="00B35E42">
        <w:t xml:space="preserve">hospitalised older </w:t>
      </w:r>
      <w:r>
        <w:t>adults</w:t>
      </w:r>
      <w:r w:rsidR="00BF5B12">
        <w:t xml:space="preserve">. Nor has a SR </w:t>
      </w:r>
      <w:r w:rsidR="0050068F">
        <w:t>reported on</w:t>
      </w:r>
      <w:r w:rsidR="00BF5B12">
        <w:t xml:space="preserve"> ADRs in</w:t>
      </w:r>
      <w:r w:rsidR="0050068F">
        <w:t xml:space="preserve"> </w:t>
      </w:r>
      <w:r w:rsidR="00BF5B12">
        <w:t xml:space="preserve">older adults </w:t>
      </w:r>
      <w:r w:rsidR="0050068F">
        <w:t xml:space="preserve">with multi-morbid medical disease </w:t>
      </w:r>
      <w:r w:rsidR="00B35E42">
        <w:t xml:space="preserve">receiving polypharmacy. This </w:t>
      </w:r>
      <w:r w:rsidR="00310736">
        <w:t>systematic review</w:t>
      </w:r>
      <w:r w:rsidR="00B35E42">
        <w:t xml:space="preserve"> aims to address this gap in the evidence by identifying the incidence of in-hospital occurring ADRs in hospitalised older adults. It will also aim to identify the common clinical presentations of these ADRs, the associated responsible medications, severity of ADRs and preventability. It will also identify the methods/tools utilised for the assessment of in-hospit</w:t>
      </w:r>
      <w:r w:rsidR="00BF5B12">
        <w:t>al ADRs as well as exploring</w:t>
      </w:r>
      <w:r w:rsidR="00B35E42">
        <w:t xml:space="preserve"> associated outcomes with in-hospital ADR occurrence</w:t>
      </w:r>
      <w:r w:rsidR="007D45C2">
        <w:t>. In addition it will also report on ADRs in older adults with confirmed multi-morbidity and polypharmacy.</w:t>
      </w:r>
    </w:p>
    <w:p w14:paraId="0A71CFD3" w14:textId="1F141CC1" w:rsidR="006402F8" w:rsidRDefault="006402F8" w:rsidP="00282DD5">
      <w:pPr>
        <w:spacing w:line="360" w:lineRule="auto"/>
        <w:jc w:val="both"/>
      </w:pPr>
    </w:p>
    <w:p w14:paraId="134BC274" w14:textId="17E52691" w:rsidR="00BE7A27" w:rsidRPr="00BE7A27" w:rsidRDefault="00BD3E77" w:rsidP="00282DD5">
      <w:pPr>
        <w:spacing w:line="360" w:lineRule="auto"/>
        <w:jc w:val="both"/>
        <w:rPr>
          <w:b/>
          <w:u w:val="single"/>
        </w:rPr>
      </w:pPr>
      <w:r>
        <w:rPr>
          <w:b/>
          <w:u w:val="single"/>
        </w:rPr>
        <w:t xml:space="preserve">2. </w:t>
      </w:r>
      <w:r w:rsidR="00BE7A27" w:rsidRPr="00BE7A27">
        <w:rPr>
          <w:b/>
          <w:u w:val="single"/>
        </w:rPr>
        <w:t>Methods:</w:t>
      </w:r>
    </w:p>
    <w:p w14:paraId="7AFDC179" w14:textId="229FB9B6" w:rsidR="00C54DC6" w:rsidRDefault="006B1C94" w:rsidP="00BC5373">
      <w:pPr>
        <w:spacing w:line="360" w:lineRule="auto"/>
        <w:jc w:val="both"/>
      </w:pPr>
      <w:r>
        <w:lastRenderedPageBreak/>
        <w:t xml:space="preserve">The </w:t>
      </w:r>
      <w:r w:rsidR="00E85848">
        <w:t>systematic review was</w:t>
      </w:r>
      <w:r w:rsidR="00057D49">
        <w:t xml:space="preserve"> prospectively</w:t>
      </w:r>
      <w:r w:rsidR="00E85848">
        <w:t xml:space="preserve"> registered </w:t>
      </w:r>
      <w:r w:rsidR="008F7ACB">
        <w:t>(</w:t>
      </w:r>
      <w:r w:rsidR="00E85848">
        <w:t>PROSPERO 2018 CRD42018079095</w:t>
      </w:r>
      <w:r w:rsidR="008F7ACB">
        <w:t>) and conducted following</w:t>
      </w:r>
      <w:r w:rsidR="00BC5373">
        <w:t xml:space="preserve"> PRISMA methodology.</w:t>
      </w:r>
      <w:r w:rsidR="008F7ACB">
        <w:t xml:space="preserve"> Two researchers (EJ and KM) were involved in the search, screening, data extraction and quality assessment process.</w:t>
      </w:r>
    </w:p>
    <w:p w14:paraId="64A43E2D" w14:textId="77777777" w:rsidR="00912400" w:rsidRPr="000427A6" w:rsidRDefault="00912400" w:rsidP="00BC5373">
      <w:pPr>
        <w:spacing w:line="360" w:lineRule="auto"/>
        <w:jc w:val="both"/>
      </w:pPr>
    </w:p>
    <w:p w14:paraId="0541A196" w14:textId="6D5D5E9A" w:rsidR="000D1000" w:rsidRDefault="00BD3E77" w:rsidP="00BC5373">
      <w:pPr>
        <w:spacing w:line="360" w:lineRule="auto"/>
        <w:jc w:val="both"/>
        <w:rPr>
          <w:b/>
        </w:rPr>
      </w:pPr>
      <w:r>
        <w:rPr>
          <w:b/>
        </w:rPr>
        <w:t xml:space="preserve">2.1 </w:t>
      </w:r>
      <w:r w:rsidR="000D1000" w:rsidRPr="00316C14">
        <w:rPr>
          <w:b/>
        </w:rPr>
        <w:t>Data Sources</w:t>
      </w:r>
      <w:r w:rsidR="000D1000">
        <w:rPr>
          <w:b/>
        </w:rPr>
        <w:t xml:space="preserve"> &amp; Search Strategy</w:t>
      </w:r>
    </w:p>
    <w:p w14:paraId="62D2405A" w14:textId="1BB6853E" w:rsidR="000D1000" w:rsidRDefault="00C54DC6" w:rsidP="008F7ACB">
      <w:pPr>
        <w:spacing w:line="360" w:lineRule="auto"/>
        <w:jc w:val="both"/>
      </w:pPr>
      <w:r>
        <w:t>This review focuses</w:t>
      </w:r>
      <w:r w:rsidR="000D1000">
        <w:t xml:space="preserve"> on in hospital-occurring ADRs</w:t>
      </w:r>
      <w:r w:rsidR="008F7ACB">
        <w:t xml:space="preserve"> </w:t>
      </w:r>
      <w:r w:rsidR="000D1000">
        <w:t xml:space="preserve">or </w:t>
      </w:r>
      <w:r w:rsidR="008F7ACB">
        <w:t>ADEs</w:t>
      </w:r>
      <w:r w:rsidR="000D1000">
        <w:t xml:space="preserve"> </w:t>
      </w:r>
      <w:r w:rsidR="008F7ACB">
        <w:t xml:space="preserve">in </w:t>
      </w:r>
      <w:r w:rsidR="000D1000">
        <w:t>hospitalised older adults. Search terms</w:t>
      </w:r>
      <w:r w:rsidR="00057D49">
        <w:t xml:space="preserve"> related to the stems elderly, adverse drug r</w:t>
      </w:r>
      <w:r w:rsidR="000D1000">
        <w:t xml:space="preserve">eactions, </w:t>
      </w:r>
      <w:r w:rsidR="00057D49">
        <w:t>h</w:t>
      </w:r>
      <w:r w:rsidR="000D1000">
        <w:t>ospitalized, multi</w:t>
      </w:r>
      <w:r w:rsidR="008F7ACB">
        <w:t>-</w:t>
      </w:r>
      <w:r w:rsidR="000D1000">
        <w:t>morbid, polypharmacy and hospital acquired were utilised. Details regarding the specific search terms are available on direct request from the author</w:t>
      </w:r>
      <w:r w:rsidR="00057D49">
        <w:t xml:space="preserve"> / online supplementary files</w:t>
      </w:r>
      <w:r w:rsidR="000D1000">
        <w:t xml:space="preserve">. </w:t>
      </w:r>
      <w:r w:rsidR="00057D49">
        <w:t xml:space="preserve">A </w:t>
      </w:r>
      <w:r w:rsidRPr="0004283D">
        <w:t xml:space="preserve">systematic </w:t>
      </w:r>
      <w:r w:rsidR="00057D49">
        <w:t xml:space="preserve">electronic </w:t>
      </w:r>
      <w:r w:rsidRPr="0004283D">
        <w:t xml:space="preserve">search for literature </w:t>
      </w:r>
      <w:r w:rsidR="00057D49">
        <w:t xml:space="preserve">was conducted using </w:t>
      </w:r>
      <w:r w:rsidRPr="0004283D">
        <w:t>the following databases – PubMed, Embase and Ebsco-CINAHL, the Cochrane Library, as well as library hosted academic sources [i.e. thesis, poster abstracts], google scholar, and grey literature.</w:t>
      </w:r>
      <w:r>
        <w:t xml:space="preserve"> </w:t>
      </w:r>
      <w:r w:rsidR="000D1000">
        <w:t>In addition to the</w:t>
      </w:r>
      <w:r w:rsidR="008F7ACB">
        <w:t xml:space="preserve"> systematic search, bibliographic reference</w:t>
      </w:r>
      <w:r w:rsidR="000D1000">
        <w:t xml:space="preserve"> lists from topic relevant studies and systematic reviews were hand searched for inclusion of any relevant papers. The search included all dates from the databases' inception up to and including the date of the final se</w:t>
      </w:r>
      <w:r w:rsidR="008F7ACB">
        <w:t>arch [</w:t>
      </w:r>
      <w:r w:rsidR="00057D49">
        <w:t>April 4</w:t>
      </w:r>
      <w:r w:rsidR="00057D49" w:rsidRPr="00057D49">
        <w:rPr>
          <w:vertAlign w:val="superscript"/>
        </w:rPr>
        <w:t>th</w:t>
      </w:r>
      <w:r w:rsidR="00057D49">
        <w:t xml:space="preserve"> 2019</w:t>
      </w:r>
      <w:r w:rsidR="008F7ACB">
        <w:t>]. We did not</w:t>
      </w:r>
      <w:r w:rsidR="000D1000">
        <w:t xml:space="preserve"> limit the sea</w:t>
      </w:r>
      <w:r w:rsidR="008F7ACB">
        <w:t xml:space="preserve">rch by language or study design. The review was limited </w:t>
      </w:r>
      <w:r w:rsidR="000D1000">
        <w:t xml:space="preserve">to studies reporting on human </w:t>
      </w:r>
      <w:r w:rsidR="00057D49">
        <w:t>participants.</w:t>
      </w:r>
    </w:p>
    <w:p w14:paraId="44226015" w14:textId="77777777" w:rsidR="00057D49" w:rsidRPr="000427A6" w:rsidRDefault="00057D49" w:rsidP="008F7ACB">
      <w:pPr>
        <w:spacing w:line="360" w:lineRule="auto"/>
        <w:jc w:val="both"/>
      </w:pPr>
    </w:p>
    <w:p w14:paraId="36FB9BC8" w14:textId="6FC23F47" w:rsidR="000D1000" w:rsidRDefault="00BD3E77" w:rsidP="008F7ACB">
      <w:pPr>
        <w:spacing w:line="360" w:lineRule="auto"/>
        <w:jc w:val="both"/>
        <w:rPr>
          <w:b/>
        </w:rPr>
      </w:pPr>
      <w:r>
        <w:rPr>
          <w:b/>
        </w:rPr>
        <w:t xml:space="preserve">2.2 </w:t>
      </w:r>
      <w:r w:rsidR="000D1000">
        <w:rPr>
          <w:b/>
        </w:rPr>
        <w:t>Study Selection</w:t>
      </w:r>
    </w:p>
    <w:p w14:paraId="63F8D7C9" w14:textId="11CA80F1" w:rsidR="000D1000" w:rsidRPr="00AA255D" w:rsidRDefault="008F7ACB" w:rsidP="000427A6">
      <w:pPr>
        <w:spacing w:line="360" w:lineRule="auto"/>
        <w:jc w:val="both"/>
      </w:pPr>
      <w:r>
        <w:t>Studies of all design type were included</w:t>
      </w:r>
      <w:r w:rsidR="000D1000">
        <w:t>. We included any study that specifically looked at, or as a subset reported on adverse drug events occurring during hospital admission / inpatient stay in our described population. After full text screening we excluded case reports, based on hierarchy of data quality. However a search of the author’s publications was conducted to ensure no subsequent relevant publications were missed.</w:t>
      </w:r>
      <w:r w:rsidR="00C54DC6">
        <w:t xml:space="preserve"> In cases where full set data was not extractable from the paper the author was contacted.</w:t>
      </w:r>
      <w:r w:rsidR="000D1000">
        <w:t xml:space="preserve"> </w:t>
      </w:r>
    </w:p>
    <w:p w14:paraId="5C7B228B" w14:textId="0F2BD0FB" w:rsidR="000D1000" w:rsidRDefault="00BD3E77" w:rsidP="008F7ACB">
      <w:pPr>
        <w:spacing w:line="360" w:lineRule="auto"/>
        <w:jc w:val="both"/>
        <w:rPr>
          <w:b/>
        </w:rPr>
      </w:pPr>
      <w:r>
        <w:rPr>
          <w:b/>
        </w:rPr>
        <w:t xml:space="preserve">2.3 </w:t>
      </w:r>
      <w:r w:rsidR="000D1000">
        <w:rPr>
          <w:b/>
        </w:rPr>
        <w:t>Inclusion Criteria</w:t>
      </w:r>
    </w:p>
    <w:p w14:paraId="7AE9173E" w14:textId="77777777" w:rsidR="000D1000" w:rsidRDefault="000D1000" w:rsidP="008F7ACB">
      <w:pPr>
        <w:spacing w:line="360" w:lineRule="auto"/>
        <w:jc w:val="both"/>
      </w:pPr>
      <w:r>
        <w:t>In order to be included a study had to have meet the following criteria;</w:t>
      </w:r>
    </w:p>
    <w:p w14:paraId="2A40A50C" w14:textId="331F523D" w:rsidR="00C54DC6" w:rsidRDefault="00C54DC6" w:rsidP="00C54DC6">
      <w:pPr>
        <w:pStyle w:val="ListParagraph"/>
        <w:numPr>
          <w:ilvl w:val="0"/>
          <w:numId w:val="1"/>
        </w:numPr>
        <w:spacing w:line="360" w:lineRule="auto"/>
        <w:jc w:val="both"/>
      </w:pPr>
      <w:r>
        <w:t>Human participants</w:t>
      </w:r>
    </w:p>
    <w:p w14:paraId="2CBD4105" w14:textId="16B54C3F" w:rsidR="00C54DC6" w:rsidRDefault="00C54DC6" w:rsidP="00C54DC6">
      <w:pPr>
        <w:pStyle w:val="ListParagraph"/>
        <w:numPr>
          <w:ilvl w:val="0"/>
          <w:numId w:val="1"/>
        </w:numPr>
        <w:spacing w:line="360" w:lineRule="auto"/>
        <w:jc w:val="both"/>
      </w:pPr>
      <w:r>
        <w:rPr>
          <w:rFonts w:cstheme="minorHAnsi"/>
        </w:rPr>
        <w:t>≥</w:t>
      </w:r>
      <w:r>
        <w:t xml:space="preserve"> 65 years of age</w:t>
      </w:r>
    </w:p>
    <w:p w14:paraId="443AD079" w14:textId="312208F1" w:rsidR="00C54DC6" w:rsidRDefault="00C54DC6" w:rsidP="00C54DC6">
      <w:pPr>
        <w:pStyle w:val="ListParagraph"/>
        <w:numPr>
          <w:ilvl w:val="0"/>
          <w:numId w:val="1"/>
        </w:numPr>
        <w:spacing w:line="360" w:lineRule="auto"/>
        <w:jc w:val="both"/>
      </w:pPr>
      <w:r>
        <w:t xml:space="preserve">ADR occurrence had to be during hospitalisation </w:t>
      </w:r>
      <w:r w:rsidR="007E264C">
        <w:t>(defined as</w:t>
      </w:r>
      <w:r w:rsidR="00057D49">
        <w:t xml:space="preserve"> admission to an acute hospital;</w:t>
      </w:r>
      <w:r w:rsidR="007E264C">
        <w:t xml:space="preserve"> convalescent, long term care and community hospitals were excluded)</w:t>
      </w:r>
    </w:p>
    <w:p w14:paraId="5B2DA32D" w14:textId="2798C169" w:rsidR="000D1000" w:rsidRDefault="000D1000" w:rsidP="00C54DC6">
      <w:pPr>
        <w:pStyle w:val="ListParagraph"/>
        <w:numPr>
          <w:ilvl w:val="0"/>
          <w:numId w:val="1"/>
        </w:numPr>
        <w:spacing w:line="360" w:lineRule="auto"/>
        <w:jc w:val="both"/>
      </w:pPr>
      <w:r>
        <w:t xml:space="preserve">The study had to outline a definition for what was deemed to be an ADR. </w:t>
      </w:r>
    </w:p>
    <w:p w14:paraId="00D9E6B8" w14:textId="43B01A51" w:rsidR="000D1000" w:rsidRDefault="000D1000" w:rsidP="00C54DC6">
      <w:pPr>
        <w:pStyle w:val="ListParagraph"/>
        <w:numPr>
          <w:ilvl w:val="0"/>
          <w:numId w:val="1"/>
        </w:numPr>
        <w:spacing w:line="360" w:lineRule="auto"/>
        <w:jc w:val="both"/>
      </w:pPr>
      <w:r>
        <w:lastRenderedPageBreak/>
        <w:t xml:space="preserve">There needed to be description of a method applied to identify the occurrence of an ADR. </w:t>
      </w:r>
    </w:p>
    <w:p w14:paraId="4274CD80" w14:textId="18313FDD" w:rsidR="000D1000" w:rsidRDefault="007E264C" w:rsidP="00C54DC6">
      <w:pPr>
        <w:pStyle w:val="ListParagraph"/>
        <w:numPr>
          <w:ilvl w:val="0"/>
          <w:numId w:val="1"/>
        </w:numPr>
        <w:spacing w:line="360" w:lineRule="auto"/>
        <w:jc w:val="both"/>
      </w:pPr>
      <w:r>
        <w:t xml:space="preserve">Causality had to be assessed </w:t>
      </w:r>
    </w:p>
    <w:p w14:paraId="147632AC" w14:textId="08C11444" w:rsidR="000D1000" w:rsidRDefault="000D1000" w:rsidP="008F7ACB">
      <w:pPr>
        <w:spacing w:line="360" w:lineRule="auto"/>
        <w:jc w:val="both"/>
      </w:pPr>
      <w:r>
        <w:t>We aimed to include only papers that reported on those with multi</w:t>
      </w:r>
      <w:r w:rsidR="00057D49">
        <w:t>-</w:t>
      </w:r>
      <w:r>
        <w:t>morbidity and polypharmacy</w:t>
      </w:r>
      <w:r w:rsidR="00057D49">
        <w:t xml:space="preserve"> in isolation</w:t>
      </w:r>
      <w:r>
        <w:t xml:space="preserve">. However these studies were scarce, </w:t>
      </w:r>
      <w:r w:rsidR="007E264C">
        <w:t>therefore we</w:t>
      </w:r>
      <w:r>
        <w:t xml:space="preserve"> explore</w:t>
      </w:r>
      <w:r w:rsidR="007E264C">
        <w:t>d</w:t>
      </w:r>
      <w:r>
        <w:t xml:space="preserve"> these as a subset of the overall systematic review.</w:t>
      </w:r>
    </w:p>
    <w:p w14:paraId="4FC99C0C" w14:textId="1A413C32" w:rsidR="00391C9C" w:rsidRDefault="000D1000" w:rsidP="008F7ACB">
      <w:pPr>
        <w:spacing w:line="360" w:lineRule="auto"/>
        <w:jc w:val="both"/>
      </w:pPr>
      <w:r>
        <w:t>In cases where ADRs were reported but all age data was reported and could not be separated the lead author was contacted for further clarification. Authors were also contacted for clarification when there was ambiguity regarding definitions and methods used for ADR assessment / definition.</w:t>
      </w:r>
    </w:p>
    <w:p w14:paraId="53AF0EF3" w14:textId="77777777" w:rsidR="007E264C" w:rsidRDefault="007E264C" w:rsidP="008F7ACB">
      <w:pPr>
        <w:spacing w:line="360" w:lineRule="auto"/>
        <w:jc w:val="both"/>
      </w:pPr>
    </w:p>
    <w:p w14:paraId="0D6EE376" w14:textId="748E61AB" w:rsidR="000D1000" w:rsidRDefault="00BD3E77" w:rsidP="008F7ACB">
      <w:pPr>
        <w:spacing w:line="360" w:lineRule="auto"/>
        <w:jc w:val="both"/>
        <w:rPr>
          <w:b/>
        </w:rPr>
      </w:pPr>
      <w:r>
        <w:rPr>
          <w:b/>
        </w:rPr>
        <w:t xml:space="preserve">2.4 </w:t>
      </w:r>
      <w:r w:rsidR="000D1000">
        <w:rPr>
          <w:b/>
        </w:rPr>
        <w:t xml:space="preserve">Exclusion Criteria </w:t>
      </w:r>
    </w:p>
    <w:p w14:paraId="7218CDA7" w14:textId="77777777" w:rsidR="000D1000" w:rsidRDefault="000D1000" w:rsidP="008F7ACB">
      <w:pPr>
        <w:spacing w:line="360" w:lineRule="auto"/>
        <w:jc w:val="both"/>
      </w:pPr>
      <w:r>
        <w:t>We excluded papers that;</w:t>
      </w:r>
    </w:p>
    <w:p w14:paraId="3C966AD1" w14:textId="77777777" w:rsidR="000D1000" w:rsidRDefault="000D1000" w:rsidP="00585F31">
      <w:pPr>
        <w:pStyle w:val="ListParagraph"/>
        <w:numPr>
          <w:ilvl w:val="0"/>
          <w:numId w:val="2"/>
        </w:numPr>
        <w:spacing w:line="360" w:lineRule="auto"/>
        <w:jc w:val="both"/>
      </w:pPr>
      <w:r>
        <w:t>Only had participants under the age of 65 years</w:t>
      </w:r>
    </w:p>
    <w:p w14:paraId="718CA42C" w14:textId="76832C5C" w:rsidR="000D1000" w:rsidRDefault="000D1000" w:rsidP="00585F31">
      <w:pPr>
        <w:pStyle w:val="ListParagraph"/>
        <w:numPr>
          <w:ilvl w:val="0"/>
          <w:numId w:val="2"/>
        </w:numPr>
        <w:spacing w:line="360" w:lineRule="auto"/>
        <w:jc w:val="both"/>
      </w:pPr>
      <w:r>
        <w:t>ADRs occurred as an outpatient, community</w:t>
      </w:r>
      <w:r w:rsidR="007E264C">
        <w:t>, long term care</w:t>
      </w:r>
      <w:r>
        <w:t xml:space="preserve"> or primary care setting</w:t>
      </w:r>
    </w:p>
    <w:p w14:paraId="77A8B039" w14:textId="77777777" w:rsidR="00585F31" w:rsidRDefault="00585F31" w:rsidP="008F7ACB">
      <w:pPr>
        <w:pStyle w:val="ListParagraph"/>
        <w:numPr>
          <w:ilvl w:val="0"/>
          <w:numId w:val="2"/>
        </w:numPr>
        <w:spacing w:line="360" w:lineRule="auto"/>
        <w:jc w:val="both"/>
      </w:pPr>
      <w:r>
        <w:t xml:space="preserve">Setting of study unclear </w:t>
      </w:r>
    </w:p>
    <w:p w14:paraId="7CF64BBD" w14:textId="77777777" w:rsidR="00585F31" w:rsidRDefault="00585F31" w:rsidP="008F7ACB">
      <w:pPr>
        <w:pStyle w:val="ListParagraph"/>
        <w:numPr>
          <w:ilvl w:val="0"/>
          <w:numId w:val="2"/>
        </w:numPr>
        <w:spacing w:line="360" w:lineRule="auto"/>
        <w:jc w:val="both"/>
      </w:pPr>
      <w:r>
        <w:t>As the aim of this study was to identify frequency of ADRs and associated culprit drugs in hospitalised older adults studies whose primary outcome was ADRs for a specific drug were excluded as these were deemed not to representative of our cohort.</w:t>
      </w:r>
    </w:p>
    <w:p w14:paraId="6E6D1F58" w14:textId="77777777" w:rsidR="00585F31" w:rsidRDefault="000D1000" w:rsidP="008F7ACB">
      <w:pPr>
        <w:pStyle w:val="ListParagraph"/>
        <w:numPr>
          <w:ilvl w:val="0"/>
          <w:numId w:val="2"/>
        </w:numPr>
        <w:spacing w:line="360" w:lineRule="auto"/>
        <w:jc w:val="both"/>
      </w:pPr>
      <w:r>
        <w:t>Non-original research papers - Editorials, commentaries, letters to the editor, review papers, systematic reviews, opinion pieces, clinical guidelines. All of such that were identified underwent bibliographic hand search as some included studies may be deemed relevant.</w:t>
      </w:r>
    </w:p>
    <w:p w14:paraId="1BBE932A" w14:textId="1EB37531" w:rsidR="00585F31" w:rsidRDefault="000D1000" w:rsidP="008F7ACB">
      <w:pPr>
        <w:pStyle w:val="ListParagraph"/>
        <w:numPr>
          <w:ilvl w:val="0"/>
          <w:numId w:val="2"/>
        </w:numPr>
        <w:spacing w:line="360" w:lineRule="auto"/>
        <w:jc w:val="both"/>
      </w:pPr>
      <w:r>
        <w:t>Studies relat</w:t>
      </w:r>
      <w:r w:rsidR="00FE15C6">
        <w:t>ing to medication errors [</w:t>
      </w:r>
      <w:r>
        <w:t xml:space="preserve">those </w:t>
      </w:r>
      <w:r w:rsidR="00FE15C6">
        <w:t>reporting</w:t>
      </w:r>
      <w:r>
        <w:t xml:space="preserve"> ADRs as a subset</w:t>
      </w:r>
      <w:r w:rsidR="00FE15C6">
        <w:t xml:space="preserve"> were included</w:t>
      </w:r>
      <w:r>
        <w:t xml:space="preserve">] </w:t>
      </w:r>
    </w:p>
    <w:p w14:paraId="358715E3" w14:textId="77777777" w:rsidR="00585F31" w:rsidRDefault="000D1000" w:rsidP="008F7ACB">
      <w:pPr>
        <w:pStyle w:val="ListParagraph"/>
        <w:numPr>
          <w:ilvl w:val="0"/>
          <w:numId w:val="2"/>
        </w:numPr>
        <w:spacing w:line="360" w:lineRule="auto"/>
        <w:jc w:val="both"/>
      </w:pPr>
      <w:r>
        <w:t>Studies relating to intentional overdoses.</w:t>
      </w:r>
    </w:p>
    <w:p w14:paraId="328B45C3" w14:textId="77777777" w:rsidR="00585F31" w:rsidRDefault="000D1000" w:rsidP="008F7ACB">
      <w:pPr>
        <w:pStyle w:val="ListParagraph"/>
        <w:numPr>
          <w:ilvl w:val="0"/>
          <w:numId w:val="2"/>
        </w:numPr>
        <w:spacing w:line="360" w:lineRule="auto"/>
        <w:jc w:val="both"/>
      </w:pPr>
      <w:r>
        <w:t>Studies that solely looked at ADRs/ADEs prior to, or leading to hospitalisation</w:t>
      </w:r>
    </w:p>
    <w:p w14:paraId="00E5ACAA" w14:textId="2CEB38C3" w:rsidR="00391C9C" w:rsidRPr="000427A6" w:rsidRDefault="00585F31" w:rsidP="00391C9C">
      <w:pPr>
        <w:pStyle w:val="ListParagraph"/>
        <w:numPr>
          <w:ilvl w:val="0"/>
          <w:numId w:val="2"/>
        </w:numPr>
        <w:spacing w:line="360" w:lineRule="auto"/>
        <w:jc w:val="both"/>
      </w:pPr>
      <w:r>
        <w:t>Following screening w</w:t>
      </w:r>
      <w:r w:rsidR="000D1000">
        <w:t>e subsequently excluded case studies on basis of hierarchical data / evidence</w:t>
      </w:r>
      <w:r w:rsidR="00FE15C6">
        <w:t xml:space="preserve"> / low quality</w:t>
      </w:r>
      <w:r w:rsidR="000D1000">
        <w:t>.</w:t>
      </w:r>
    </w:p>
    <w:p w14:paraId="630FFA36" w14:textId="6E98BB5C" w:rsidR="000D1000" w:rsidRDefault="00BD3E77" w:rsidP="008F7ACB">
      <w:pPr>
        <w:spacing w:line="360" w:lineRule="auto"/>
        <w:jc w:val="both"/>
        <w:rPr>
          <w:b/>
        </w:rPr>
      </w:pPr>
      <w:r>
        <w:rPr>
          <w:b/>
        </w:rPr>
        <w:t xml:space="preserve">2.5 </w:t>
      </w:r>
      <w:r w:rsidR="000D1000">
        <w:rPr>
          <w:b/>
        </w:rPr>
        <w:t>Outcomes</w:t>
      </w:r>
    </w:p>
    <w:p w14:paraId="65E2DFEB" w14:textId="29E57DDC" w:rsidR="00B7767E" w:rsidRPr="002C0296" w:rsidRDefault="00BD3E77" w:rsidP="00BD3E77">
      <w:pPr>
        <w:spacing w:line="360" w:lineRule="auto"/>
        <w:ind w:firstLine="360"/>
        <w:jc w:val="both"/>
        <w:rPr>
          <w:b/>
          <w:i/>
        </w:rPr>
      </w:pPr>
      <w:r w:rsidRPr="002C0296">
        <w:rPr>
          <w:b/>
          <w:i/>
        </w:rPr>
        <w:t xml:space="preserve">2.5.1 </w:t>
      </w:r>
      <w:r w:rsidR="006402F8" w:rsidRPr="002C0296">
        <w:rPr>
          <w:b/>
          <w:i/>
        </w:rPr>
        <w:t>Primary outcomes;</w:t>
      </w:r>
      <w:r w:rsidR="000D1000" w:rsidRPr="002C0296">
        <w:rPr>
          <w:b/>
          <w:i/>
        </w:rPr>
        <w:t xml:space="preserve"> </w:t>
      </w:r>
    </w:p>
    <w:p w14:paraId="215D4632" w14:textId="4F242F2F" w:rsidR="00B7767E" w:rsidRDefault="00B7767E" w:rsidP="00B7767E">
      <w:pPr>
        <w:pStyle w:val="ListParagraph"/>
        <w:numPr>
          <w:ilvl w:val="0"/>
          <w:numId w:val="3"/>
        </w:numPr>
        <w:spacing w:line="360" w:lineRule="auto"/>
        <w:jc w:val="both"/>
      </w:pPr>
      <w:r>
        <w:t>In Hospital</w:t>
      </w:r>
      <w:r w:rsidR="007E264C">
        <w:t xml:space="preserve"> ADR/ADEs prevalence</w:t>
      </w:r>
    </w:p>
    <w:p w14:paraId="72890EF7" w14:textId="77777777" w:rsidR="00FE15C6" w:rsidRDefault="00FE15C6" w:rsidP="00FE15C6">
      <w:pPr>
        <w:pStyle w:val="ListParagraph"/>
        <w:numPr>
          <w:ilvl w:val="0"/>
          <w:numId w:val="3"/>
        </w:numPr>
        <w:spacing w:line="360" w:lineRule="auto"/>
        <w:jc w:val="both"/>
      </w:pPr>
      <w:r>
        <w:t>Clinical presentation of in-hospital ADR/ADE</w:t>
      </w:r>
    </w:p>
    <w:p w14:paraId="0F100076" w14:textId="77777777" w:rsidR="00FE15C6" w:rsidRDefault="00FE15C6" w:rsidP="00FE15C6">
      <w:pPr>
        <w:pStyle w:val="ListParagraph"/>
        <w:numPr>
          <w:ilvl w:val="0"/>
          <w:numId w:val="3"/>
        </w:numPr>
        <w:spacing w:line="360" w:lineRule="auto"/>
        <w:jc w:val="both"/>
      </w:pPr>
      <w:r>
        <w:t>Drug classes accountable for in-hospital ADR/ADEs</w:t>
      </w:r>
    </w:p>
    <w:p w14:paraId="6CAEE525" w14:textId="04912C0A" w:rsidR="00380AF4" w:rsidRDefault="00380AF4" w:rsidP="00380AF4">
      <w:pPr>
        <w:pStyle w:val="ListParagraph"/>
        <w:numPr>
          <w:ilvl w:val="0"/>
          <w:numId w:val="3"/>
        </w:numPr>
        <w:spacing w:line="360" w:lineRule="auto"/>
        <w:jc w:val="both"/>
      </w:pPr>
      <w:r>
        <w:lastRenderedPageBreak/>
        <w:t>In Hospital ADR/ADEs severity</w:t>
      </w:r>
    </w:p>
    <w:p w14:paraId="0B3EE274" w14:textId="622FBF07" w:rsidR="00B7767E" w:rsidRPr="002C0296" w:rsidRDefault="00BD3E77" w:rsidP="00BD3E77">
      <w:pPr>
        <w:spacing w:line="360" w:lineRule="auto"/>
        <w:ind w:firstLine="360"/>
        <w:jc w:val="both"/>
        <w:rPr>
          <w:b/>
          <w:i/>
        </w:rPr>
      </w:pPr>
      <w:r w:rsidRPr="002C0296">
        <w:rPr>
          <w:b/>
          <w:i/>
        </w:rPr>
        <w:t xml:space="preserve">2.5.2 </w:t>
      </w:r>
      <w:r w:rsidR="006402F8" w:rsidRPr="002C0296">
        <w:rPr>
          <w:b/>
          <w:i/>
        </w:rPr>
        <w:t>Secondary outcomes;</w:t>
      </w:r>
    </w:p>
    <w:p w14:paraId="56DC0F1D" w14:textId="77777777" w:rsidR="00B7767E" w:rsidRDefault="000D1000" w:rsidP="00B7767E">
      <w:pPr>
        <w:pStyle w:val="ListParagraph"/>
        <w:numPr>
          <w:ilvl w:val="0"/>
          <w:numId w:val="4"/>
        </w:numPr>
        <w:spacing w:line="360" w:lineRule="auto"/>
        <w:jc w:val="both"/>
      </w:pPr>
      <w:r>
        <w:t>In Hospital ADR/ADEs preventability</w:t>
      </w:r>
    </w:p>
    <w:p w14:paraId="0B470331" w14:textId="7A92CF60" w:rsidR="007E264C" w:rsidRDefault="007E264C" w:rsidP="002923B8">
      <w:pPr>
        <w:pStyle w:val="ListParagraph"/>
        <w:numPr>
          <w:ilvl w:val="0"/>
          <w:numId w:val="4"/>
        </w:numPr>
        <w:spacing w:line="360" w:lineRule="auto"/>
        <w:jc w:val="both"/>
      </w:pPr>
      <w:r>
        <w:t>Clinical consequences / outcomes of ARs</w:t>
      </w:r>
    </w:p>
    <w:p w14:paraId="06F86DB0" w14:textId="0615BED7" w:rsidR="002923B8" w:rsidRDefault="002923B8" w:rsidP="007E264C">
      <w:pPr>
        <w:pStyle w:val="ListParagraph"/>
        <w:numPr>
          <w:ilvl w:val="1"/>
          <w:numId w:val="4"/>
        </w:numPr>
        <w:spacing w:line="360" w:lineRule="auto"/>
        <w:jc w:val="both"/>
      </w:pPr>
      <w:r>
        <w:t>In Hospital ADR/ADEs Impact on length of stay</w:t>
      </w:r>
    </w:p>
    <w:p w14:paraId="7489576C" w14:textId="77777777" w:rsidR="002923B8" w:rsidRDefault="002923B8" w:rsidP="007E264C">
      <w:pPr>
        <w:pStyle w:val="ListParagraph"/>
        <w:numPr>
          <w:ilvl w:val="1"/>
          <w:numId w:val="4"/>
        </w:numPr>
        <w:spacing w:line="360" w:lineRule="auto"/>
        <w:jc w:val="both"/>
      </w:pPr>
      <w:r>
        <w:t>Death due to / precipitated by ADR/ADEs</w:t>
      </w:r>
    </w:p>
    <w:p w14:paraId="4A696E6C" w14:textId="77777777" w:rsidR="00B7767E" w:rsidRDefault="000D1000" w:rsidP="007E264C">
      <w:pPr>
        <w:pStyle w:val="ListParagraph"/>
        <w:numPr>
          <w:ilvl w:val="1"/>
          <w:numId w:val="4"/>
        </w:numPr>
        <w:spacing w:line="360" w:lineRule="auto"/>
        <w:jc w:val="both"/>
      </w:pPr>
      <w:r>
        <w:t>ICU / HDU admission as a result of In Hospital ADR/ADEs</w:t>
      </w:r>
    </w:p>
    <w:p w14:paraId="51FCF6E2" w14:textId="77777777" w:rsidR="00B7767E" w:rsidRDefault="000D1000" w:rsidP="007E264C">
      <w:pPr>
        <w:pStyle w:val="ListParagraph"/>
        <w:numPr>
          <w:ilvl w:val="1"/>
          <w:numId w:val="4"/>
        </w:numPr>
        <w:spacing w:line="360" w:lineRule="auto"/>
        <w:jc w:val="both"/>
      </w:pPr>
      <w:r>
        <w:t>In hospital fall in setting of ADR/ADEs</w:t>
      </w:r>
    </w:p>
    <w:p w14:paraId="0E448814" w14:textId="77777777" w:rsidR="00B7767E" w:rsidRDefault="000D1000" w:rsidP="007E264C">
      <w:pPr>
        <w:pStyle w:val="ListParagraph"/>
        <w:numPr>
          <w:ilvl w:val="1"/>
          <w:numId w:val="4"/>
        </w:numPr>
        <w:spacing w:line="360" w:lineRule="auto"/>
        <w:jc w:val="both"/>
      </w:pPr>
      <w:r>
        <w:t>Discharge destination post ADR/ADEs</w:t>
      </w:r>
    </w:p>
    <w:p w14:paraId="1C458190" w14:textId="6369DD1F" w:rsidR="00391C9C" w:rsidRDefault="000D1000" w:rsidP="007E264C">
      <w:pPr>
        <w:pStyle w:val="ListParagraph"/>
        <w:numPr>
          <w:ilvl w:val="1"/>
          <w:numId w:val="4"/>
        </w:numPr>
        <w:spacing w:line="360" w:lineRule="auto"/>
        <w:jc w:val="both"/>
      </w:pPr>
      <w:r>
        <w:t>Quality of life measures</w:t>
      </w:r>
    </w:p>
    <w:p w14:paraId="6F54DA61" w14:textId="765A08D5" w:rsidR="007E264C" w:rsidRPr="00B7767E" w:rsidRDefault="007E264C" w:rsidP="007E264C">
      <w:pPr>
        <w:pStyle w:val="ListParagraph"/>
        <w:numPr>
          <w:ilvl w:val="0"/>
          <w:numId w:val="4"/>
        </w:numPr>
        <w:spacing w:line="360" w:lineRule="auto"/>
        <w:jc w:val="both"/>
      </w:pPr>
      <w:r>
        <w:t>Potentially inappropriate prescribing - PIMs/PPOs associated with In Hospital ADRs</w:t>
      </w:r>
    </w:p>
    <w:p w14:paraId="46FB516D" w14:textId="26959E60" w:rsidR="002923B8" w:rsidRDefault="00391C9C" w:rsidP="008F7ACB">
      <w:pPr>
        <w:spacing w:line="360" w:lineRule="auto"/>
        <w:jc w:val="both"/>
        <w:rPr>
          <w:b/>
        </w:rPr>
      </w:pPr>
      <w:r>
        <w:rPr>
          <w:b/>
        </w:rPr>
        <w:t xml:space="preserve">2.6 </w:t>
      </w:r>
      <w:r w:rsidR="000D1000">
        <w:rPr>
          <w:b/>
        </w:rPr>
        <w:t>Assessment of Study Quality</w:t>
      </w:r>
    </w:p>
    <w:p w14:paraId="27AFB528" w14:textId="7D0629E8" w:rsidR="001C67A3" w:rsidRDefault="002923B8" w:rsidP="008F7ACB">
      <w:pPr>
        <w:spacing w:line="360" w:lineRule="auto"/>
        <w:jc w:val="both"/>
      </w:pPr>
      <w:r>
        <w:t xml:space="preserve">Each included paper </w:t>
      </w:r>
      <w:r w:rsidR="005E3316">
        <w:t>was</w:t>
      </w:r>
      <w:r>
        <w:t xml:space="preserve"> subjected to a risk </w:t>
      </w:r>
      <w:r w:rsidR="005E3316">
        <w:t>of bias a</w:t>
      </w:r>
      <w:r>
        <w:t xml:space="preserve">ssessment individually by the two researchers [EJ and KM]. The results </w:t>
      </w:r>
      <w:r w:rsidR="005E3316">
        <w:t xml:space="preserve">were </w:t>
      </w:r>
      <w:r>
        <w:t>compared for agreement</w:t>
      </w:r>
      <w:r w:rsidR="005E3316">
        <w:t xml:space="preserve">, when </w:t>
      </w:r>
      <w:r>
        <w:t>non-concordance</w:t>
      </w:r>
      <w:r w:rsidR="005E3316">
        <w:t xml:space="preserve"> occurred discussion and </w:t>
      </w:r>
      <w:r>
        <w:t xml:space="preserve">a consensus </w:t>
      </w:r>
      <w:r w:rsidR="005E3316">
        <w:t xml:space="preserve">was </w:t>
      </w:r>
      <w:r>
        <w:t xml:space="preserve">reached. The tool used </w:t>
      </w:r>
      <w:r w:rsidR="00DC4B7C">
        <w:t xml:space="preserve">depended </w:t>
      </w:r>
      <w:r>
        <w:t xml:space="preserve">on the design type of </w:t>
      </w:r>
      <w:r w:rsidR="00DC4B7C">
        <w:t xml:space="preserve">the included study; </w:t>
      </w:r>
      <w:r>
        <w:t xml:space="preserve">ROBINS-I for interventional studies, </w:t>
      </w:r>
      <w:commentRangeStart w:id="2"/>
      <w:r>
        <w:t xml:space="preserve">Newcastle-Ottawa scale for retrospective studies, and STROBE for cohort studies. </w:t>
      </w:r>
      <w:commentRangeEnd w:id="2"/>
      <w:r w:rsidR="005773EA">
        <w:rPr>
          <w:rStyle w:val="CommentReference"/>
        </w:rPr>
        <w:commentReference w:id="2"/>
      </w:r>
    </w:p>
    <w:p w14:paraId="7082B4CC" w14:textId="77777777" w:rsidR="00FE15C6" w:rsidRPr="000427A6" w:rsidRDefault="00FE15C6" w:rsidP="008F7ACB">
      <w:pPr>
        <w:spacing w:line="360" w:lineRule="auto"/>
        <w:jc w:val="both"/>
      </w:pPr>
    </w:p>
    <w:p w14:paraId="64B83D75" w14:textId="43224E6F" w:rsidR="000D1000" w:rsidRDefault="00391C9C" w:rsidP="008F7ACB">
      <w:pPr>
        <w:spacing w:line="360" w:lineRule="auto"/>
        <w:jc w:val="both"/>
        <w:rPr>
          <w:b/>
        </w:rPr>
      </w:pPr>
      <w:r>
        <w:rPr>
          <w:b/>
        </w:rPr>
        <w:t xml:space="preserve">2.7 </w:t>
      </w:r>
      <w:r w:rsidR="000D1000">
        <w:rPr>
          <w:b/>
        </w:rPr>
        <w:t>Data extraction and synthesis</w:t>
      </w:r>
    </w:p>
    <w:p w14:paraId="5BCD1DA5" w14:textId="53C262AA" w:rsidR="000D1000" w:rsidRDefault="000D1000" w:rsidP="002923B8">
      <w:pPr>
        <w:spacing w:line="360" w:lineRule="auto"/>
        <w:jc w:val="both"/>
      </w:pPr>
      <w:r w:rsidRPr="001C67A3">
        <w:rPr>
          <w:i/>
          <w:u w:val="single"/>
        </w:rPr>
        <w:t>Data ex</w:t>
      </w:r>
      <w:r w:rsidR="001C67A3" w:rsidRPr="001C67A3">
        <w:rPr>
          <w:i/>
          <w:u w:val="single"/>
        </w:rPr>
        <w:t>traction (selection and coding):</w:t>
      </w:r>
      <w:r w:rsidR="001C67A3" w:rsidRPr="001C67A3">
        <w:t xml:space="preserve"> </w:t>
      </w:r>
      <w:r>
        <w:t xml:space="preserve">Studies deemed suitable for inclusion </w:t>
      </w:r>
      <w:r w:rsidR="001C67A3">
        <w:t xml:space="preserve">were </w:t>
      </w:r>
      <w:r>
        <w:t xml:space="preserve">subjected to systematic data extraction using a dedicated data extraction template that was designed specifically for the purpose of this study. Each included paper </w:t>
      </w:r>
      <w:r w:rsidR="001C67A3">
        <w:t xml:space="preserve">had </w:t>
      </w:r>
      <w:r>
        <w:t xml:space="preserve">data extracted independently by the two researchers EJ and KM. Subsequently, the extracted data </w:t>
      </w:r>
      <w:r w:rsidR="001C67A3">
        <w:t xml:space="preserve">was </w:t>
      </w:r>
      <w:r>
        <w:t>compared for concordance. In cases w</w:t>
      </w:r>
      <w:r w:rsidR="00390751">
        <w:t>here whole-set data was</w:t>
      </w:r>
      <w:r>
        <w:t xml:space="preserve"> not available from the published paper, or data was originally pooled for analysis, efforts </w:t>
      </w:r>
      <w:r w:rsidR="00390751">
        <w:t>were made to contact the lead author</w:t>
      </w:r>
      <w:r>
        <w:t xml:space="preserve"> and seek the original raw data for further review.</w:t>
      </w:r>
      <w:r w:rsidR="00390751">
        <w:t xml:space="preserve"> In such cases more than one attempt was made to the lead author and then a subsequent attempt with a co-author.</w:t>
      </w:r>
    </w:p>
    <w:p w14:paraId="1702A6D0" w14:textId="3B1633AE" w:rsidR="00391C9C" w:rsidRDefault="00DC4B7C" w:rsidP="00390751">
      <w:pPr>
        <w:spacing w:line="360" w:lineRule="auto"/>
        <w:jc w:val="both"/>
      </w:pPr>
      <w:r>
        <w:t xml:space="preserve">In the cases of multiple study designs [ie retrospective observational, prospective cohort etc.] sub-group analysis by trial type </w:t>
      </w:r>
      <w:r w:rsidR="00390751">
        <w:t xml:space="preserve">was </w:t>
      </w:r>
      <w:r>
        <w:t xml:space="preserve">explored. </w:t>
      </w:r>
      <w:r w:rsidR="00390751">
        <w:t>S</w:t>
      </w:r>
      <w:r>
        <w:t>ub group analysis of age, degree of polypharmacy and degree of com</w:t>
      </w:r>
      <w:r w:rsidR="00390751">
        <w:t>orbidity was</w:t>
      </w:r>
      <w:r>
        <w:t xml:space="preserve"> explored. </w:t>
      </w:r>
    </w:p>
    <w:p w14:paraId="5DC97A7E" w14:textId="77777777" w:rsidR="00FE15C6" w:rsidRPr="00390751" w:rsidRDefault="00FE15C6" w:rsidP="00390751">
      <w:pPr>
        <w:spacing w:line="360" w:lineRule="auto"/>
        <w:jc w:val="both"/>
      </w:pPr>
    </w:p>
    <w:p w14:paraId="7514AAF1" w14:textId="7C1C3BC2" w:rsidR="000D1000" w:rsidRPr="00BB22F4" w:rsidRDefault="00391C9C" w:rsidP="008F7ACB">
      <w:pPr>
        <w:spacing w:line="360" w:lineRule="auto"/>
        <w:jc w:val="both"/>
        <w:rPr>
          <w:b/>
        </w:rPr>
      </w:pPr>
      <w:r>
        <w:rPr>
          <w:b/>
        </w:rPr>
        <w:lastRenderedPageBreak/>
        <w:t xml:space="preserve">2.8 </w:t>
      </w:r>
      <w:r w:rsidR="000D1000">
        <w:rPr>
          <w:b/>
        </w:rPr>
        <w:t xml:space="preserve">Statistical Analysis </w:t>
      </w:r>
    </w:p>
    <w:p w14:paraId="409D736B" w14:textId="314A0570" w:rsidR="000038E4" w:rsidRPr="000038E4" w:rsidRDefault="000038E4" w:rsidP="00282DD5">
      <w:pPr>
        <w:spacing w:line="360" w:lineRule="auto"/>
        <w:jc w:val="both"/>
        <w:rPr>
          <w:b/>
          <w:i/>
        </w:rPr>
      </w:pPr>
      <w:r w:rsidRPr="000038E4">
        <w:rPr>
          <w:b/>
          <w:i/>
        </w:rPr>
        <w:tab/>
        <w:t xml:space="preserve">2.8.1 ADR Prevalence </w:t>
      </w:r>
    </w:p>
    <w:p w14:paraId="0092A5A5" w14:textId="0F3A09FA" w:rsidR="008F7ACB" w:rsidRDefault="00390751" w:rsidP="000038E4">
      <w:pPr>
        <w:spacing w:line="360" w:lineRule="auto"/>
        <w:ind w:left="720"/>
        <w:jc w:val="both"/>
      </w:pPr>
      <w:r>
        <w:t xml:space="preserve">Statistical analysis was conducted using SPSS. We defined ADR incidence as the percentage of patients </w:t>
      </w:r>
      <w:r w:rsidR="006402F8">
        <w:rPr>
          <w:rFonts w:cstheme="minorHAnsi"/>
        </w:rPr>
        <w:t>≥</w:t>
      </w:r>
      <w:r w:rsidR="006402F8">
        <w:t xml:space="preserve">65 years </w:t>
      </w:r>
      <w:r>
        <w:t xml:space="preserve">reported to have experienced at least one ADR during </w:t>
      </w:r>
      <w:r w:rsidR="006402F8">
        <w:t>hospitalisation</w:t>
      </w:r>
      <w:commentRangeStart w:id="3"/>
      <w:r>
        <w:t xml:space="preserve">. </w:t>
      </w:r>
      <w:r w:rsidR="006402F8">
        <w:t xml:space="preserve">We calculated the </w:t>
      </w:r>
      <w:r w:rsidR="003C7D65">
        <w:t xml:space="preserve">ADR </w:t>
      </w:r>
      <w:r>
        <w:t xml:space="preserve">percentage </w:t>
      </w:r>
      <w:r w:rsidR="006402F8">
        <w:t xml:space="preserve">for </w:t>
      </w:r>
      <w:r>
        <w:t>each study</w:t>
      </w:r>
      <w:r w:rsidR="006402F8">
        <w:t xml:space="preserve"> </w:t>
      </w:r>
      <w:r w:rsidR="00854AD4">
        <w:t xml:space="preserve">and </w:t>
      </w:r>
      <w:r w:rsidR="006402F8">
        <w:t>then explored the distribution by plotting</w:t>
      </w:r>
      <w:r>
        <w:t xml:space="preserve"> a hist</w:t>
      </w:r>
      <w:r w:rsidR="006402F8">
        <w:t xml:space="preserve">ogram </w:t>
      </w:r>
      <w:r>
        <w:t>to ascertain normality</w:t>
      </w:r>
      <w:r w:rsidR="00854AD4" w:rsidRPr="00B927BA">
        <w:t xml:space="preserve"> and using formal test of normality (Kolmogorov-Smirnov and Shapiro-Wilks non-significant). </w:t>
      </w:r>
      <w:r w:rsidR="006402F8">
        <w:t xml:space="preserve">From this we were able to calculate the </w:t>
      </w:r>
      <w:r w:rsidR="00F23F66">
        <w:t xml:space="preserve">overall centrality </w:t>
      </w:r>
      <w:r w:rsidR="006402F8">
        <w:t xml:space="preserve">and variability </w:t>
      </w:r>
      <w:r w:rsidR="00F23F66">
        <w:t>of the histogram</w:t>
      </w:r>
      <w:r w:rsidR="006402F8">
        <w:t xml:space="preserve">, which would most likely </w:t>
      </w:r>
      <w:r w:rsidR="00F23F66">
        <w:t xml:space="preserve">be representative of the </w:t>
      </w:r>
      <w:r w:rsidR="006402F8">
        <w:t xml:space="preserve">overall </w:t>
      </w:r>
      <w:r w:rsidR="00F23F66">
        <w:t>true measurement of</w:t>
      </w:r>
      <w:r w:rsidR="001C67A3">
        <w:t xml:space="preserve"> centrality of</w:t>
      </w:r>
      <w:r w:rsidR="00F23F66">
        <w:t xml:space="preserve"> ADRs</w:t>
      </w:r>
      <w:r w:rsidR="006402F8">
        <w:t xml:space="preserve"> in this population</w:t>
      </w:r>
      <w:commentRangeEnd w:id="3"/>
      <w:r w:rsidR="00FE15C6">
        <w:rPr>
          <w:rStyle w:val="CommentReference"/>
        </w:rPr>
        <w:commentReference w:id="3"/>
      </w:r>
      <w:r w:rsidR="00F23F66">
        <w:t xml:space="preserve">. </w:t>
      </w:r>
      <w:r>
        <w:t xml:space="preserve">We used </w:t>
      </w:r>
      <w:r w:rsidR="001C67A3">
        <w:t xml:space="preserve">parametric tests for normally distributed data, and </w:t>
      </w:r>
      <w:r>
        <w:t xml:space="preserve">non-parametric tests for non-normally distributed data. </w:t>
      </w:r>
    </w:p>
    <w:p w14:paraId="1967EE2F" w14:textId="39304775" w:rsidR="001C67A3" w:rsidRDefault="001C67A3" w:rsidP="000038E4">
      <w:pPr>
        <w:spacing w:line="360" w:lineRule="auto"/>
        <w:ind w:left="720"/>
        <w:jc w:val="both"/>
      </w:pPr>
      <w:r>
        <w:t xml:space="preserve">Forest plots were produced using Review Manger® 5.3 software. </w:t>
      </w:r>
      <w:commentRangeStart w:id="4"/>
      <w:r w:rsidRPr="001C67A3">
        <w:rPr>
          <w:i/>
        </w:rPr>
        <w:t>I</w:t>
      </w:r>
      <w:r w:rsidRPr="001C67A3">
        <w:rPr>
          <w:i/>
          <w:vertAlign w:val="superscript"/>
        </w:rPr>
        <w:t>2</w:t>
      </w:r>
      <w:r w:rsidR="00FE15C6">
        <w:t xml:space="preserve"> values were calculated</w:t>
      </w:r>
      <w:r>
        <w:t xml:space="preserve"> to test heterogeneity throughout the subgroup analysi</w:t>
      </w:r>
      <w:r w:rsidR="00FE15C6">
        <w:t xml:space="preserve">s, random/fixed </w:t>
      </w:r>
      <w:r>
        <w:t xml:space="preserve">effects model. </w:t>
      </w:r>
      <w:commentRangeEnd w:id="4"/>
      <w:r w:rsidR="00FE15C6">
        <w:rPr>
          <w:rStyle w:val="CommentReference"/>
        </w:rPr>
        <w:commentReference w:id="4"/>
      </w:r>
    </w:p>
    <w:p w14:paraId="34104624" w14:textId="71A8A74E" w:rsidR="000038E4" w:rsidRPr="000038E4" w:rsidRDefault="000038E4" w:rsidP="000038E4">
      <w:pPr>
        <w:spacing w:line="360" w:lineRule="auto"/>
        <w:ind w:left="720"/>
        <w:jc w:val="both"/>
        <w:rPr>
          <w:b/>
          <w:i/>
        </w:rPr>
      </w:pPr>
      <w:r w:rsidRPr="000038E4">
        <w:rPr>
          <w:b/>
          <w:i/>
        </w:rPr>
        <w:t>2.8.2 Culprit Drugs</w:t>
      </w:r>
    </w:p>
    <w:p w14:paraId="6E274A87" w14:textId="0E82F974" w:rsidR="000038E4" w:rsidRDefault="00FE15C6" w:rsidP="000038E4">
      <w:pPr>
        <w:spacing w:line="360" w:lineRule="auto"/>
        <w:ind w:left="720"/>
        <w:jc w:val="both"/>
      </w:pPr>
      <w:r>
        <w:t>Details regarding drugs assessed to have caused ADRs were e</w:t>
      </w:r>
      <w:r w:rsidR="00912400">
        <w:t xml:space="preserve">xtracted, and classified by the </w:t>
      </w:r>
      <w:r>
        <w:t xml:space="preserve">WHO </w:t>
      </w:r>
      <w:r w:rsidRPr="00FE15C6">
        <w:t xml:space="preserve">Anatomical Therapeutic Chemical </w:t>
      </w:r>
      <w:r>
        <w:t>[</w:t>
      </w:r>
      <w:r w:rsidR="000038E4">
        <w:t>ATC</w:t>
      </w:r>
      <w:r>
        <w:t>]</w:t>
      </w:r>
      <w:r w:rsidR="000038E4">
        <w:t xml:space="preserve"> </w:t>
      </w:r>
      <w:commentRangeStart w:id="5"/>
      <w:r w:rsidR="000038E4">
        <w:t>hierarchy</w:t>
      </w:r>
      <w:commentRangeEnd w:id="5"/>
      <w:r w:rsidR="00912400">
        <w:rPr>
          <w:rStyle w:val="CommentReference"/>
        </w:rPr>
        <w:commentReference w:id="5"/>
      </w:r>
      <w:r w:rsidR="000038E4">
        <w:t xml:space="preserve">. </w:t>
      </w:r>
      <w:r>
        <w:t>When an ADR was deemed to be due to more than one drug, each drug was counted separately. Drugs are r</w:t>
      </w:r>
      <w:r w:rsidR="000038E4">
        <w:t xml:space="preserve">eported as </w:t>
      </w:r>
      <w:r>
        <w:t xml:space="preserve">a </w:t>
      </w:r>
      <w:r w:rsidR="000038E4">
        <w:t xml:space="preserve">percentage by number reported related to ADRs over total </w:t>
      </w:r>
      <w:commentRangeStart w:id="6"/>
      <w:r w:rsidR="000038E4">
        <w:t>number</w:t>
      </w:r>
      <w:commentRangeEnd w:id="6"/>
      <w:r w:rsidR="00912400">
        <w:rPr>
          <w:rStyle w:val="CommentReference"/>
        </w:rPr>
        <w:commentReference w:id="6"/>
      </w:r>
      <w:r w:rsidR="000038E4">
        <w:t xml:space="preserve"> reported drugs. </w:t>
      </w:r>
    </w:p>
    <w:p w14:paraId="3FD7EBA0" w14:textId="081DC813" w:rsidR="00E00470" w:rsidRPr="00E00470" w:rsidRDefault="00E00470" w:rsidP="000038E4">
      <w:pPr>
        <w:spacing w:line="360" w:lineRule="auto"/>
        <w:ind w:left="720"/>
        <w:jc w:val="both"/>
        <w:rPr>
          <w:b/>
          <w:i/>
        </w:rPr>
      </w:pPr>
      <w:r w:rsidRPr="00E00470">
        <w:rPr>
          <w:b/>
          <w:i/>
        </w:rPr>
        <w:t>2.8.3 ADR Presentation</w:t>
      </w:r>
    </w:p>
    <w:p w14:paraId="390CAA59" w14:textId="68C4760E" w:rsidR="00385D95" w:rsidRDefault="00FE15C6" w:rsidP="00270778">
      <w:pPr>
        <w:spacing w:line="360" w:lineRule="auto"/>
        <w:ind w:left="720"/>
        <w:jc w:val="both"/>
      </w:pPr>
      <w:r>
        <w:t xml:space="preserve">Details regarding ADR clinical presentations were extracted and then </w:t>
      </w:r>
      <w:r w:rsidR="00E00470">
        <w:t xml:space="preserve">reclassified into </w:t>
      </w:r>
      <w:r w:rsidR="004B0CAF">
        <w:t>the WHO Adverse Reactions Terminology [</w:t>
      </w:r>
      <w:r w:rsidR="00E00470">
        <w:t>WHO-</w:t>
      </w:r>
      <w:commentRangeStart w:id="7"/>
      <w:r w:rsidR="00E00470">
        <w:t>ART</w:t>
      </w:r>
      <w:commentRangeEnd w:id="7"/>
      <w:r w:rsidR="00912400">
        <w:rPr>
          <w:rStyle w:val="CommentReference"/>
        </w:rPr>
        <w:commentReference w:id="7"/>
      </w:r>
      <w:r w:rsidR="004B0CAF">
        <w:t>]</w:t>
      </w:r>
      <w:r w:rsidR="00E00470">
        <w:t xml:space="preserve"> and then subsequently</w:t>
      </w:r>
      <w:r w:rsidR="0016609B">
        <w:t xml:space="preserve"> </w:t>
      </w:r>
      <w:r w:rsidR="0016609B" w:rsidRPr="0016609B">
        <w:t>Medical Dictionary for Regulatory Activities</w:t>
      </w:r>
      <w:r w:rsidR="00E00470">
        <w:t xml:space="preserve"> </w:t>
      </w:r>
      <w:r w:rsidR="0016609B">
        <w:t>[</w:t>
      </w:r>
      <w:r w:rsidR="00E00470">
        <w:t>MedDRA</w:t>
      </w:r>
      <w:r w:rsidR="0016609B">
        <w:t>]</w:t>
      </w:r>
      <w:r w:rsidR="00E00470">
        <w:t xml:space="preserve"> hierarchical system</w:t>
      </w:r>
      <w:r w:rsidR="0016609B">
        <w:t xml:space="preserve"> </w:t>
      </w:r>
      <w:commentRangeStart w:id="8"/>
      <w:r w:rsidR="0016609B">
        <w:t>where</w:t>
      </w:r>
      <w:commentRangeEnd w:id="8"/>
      <w:r w:rsidR="00912400">
        <w:rPr>
          <w:rStyle w:val="CommentReference"/>
        </w:rPr>
        <w:commentReference w:id="8"/>
      </w:r>
      <w:r w:rsidR="0016609B">
        <w:t xml:space="preserve"> possible</w:t>
      </w:r>
      <w:r w:rsidR="00E00470">
        <w:t>.</w:t>
      </w:r>
      <w:r w:rsidR="004B0CAF">
        <w:t xml:space="preserve"> </w:t>
      </w:r>
      <w:r w:rsidR="0016609B">
        <w:t xml:space="preserve">Frequency of ADRs are </w:t>
      </w:r>
      <w:r w:rsidR="00420C5D">
        <w:t>reported as a per</w:t>
      </w:r>
      <w:r w:rsidR="00E00470">
        <w:t xml:space="preserve">centage of overall reported ADRs. </w:t>
      </w:r>
      <w:r>
        <w:t xml:space="preserve">When possible </w:t>
      </w:r>
      <w:r w:rsidR="004B0CAF">
        <w:t>relationship between drug and specific ADR was also captured.</w:t>
      </w:r>
    </w:p>
    <w:p w14:paraId="054D4922" w14:textId="77777777" w:rsidR="008F7ACB" w:rsidRDefault="008F7ACB" w:rsidP="00282DD5">
      <w:pPr>
        <w:spacing w:line="360" w:lineRule="auto"/>
        <w:jc w:val="both"/>
      </w:pPr>
    </w:p>
    <w:p w14:paraId="7BA826A1" w14:textId="28F2BCCA" w:rsidR="00F667A1" w:rsidRDefault="00391C9C" w:rsidP="00282DD5">
      <w:pPr>
        <w:spacing w:line="360" w:lineRule="auto"/>
        <w:jc w:val="both"/>
      </w:pPr>
      <w:r>
        <w:rPr>
          <w:b/>
          <w:u w:val="single"/>
        </w:rPr>
        <w:t xml:space="preserve">3. </w:t>
      </w:r>
      <w:r w:rsidR="00F667A1" w:rsidRPr="00F667A1">
        <w:rPr>
          <w:b/>
          <w:u w:val="single"/>
        </w:rPr>
        <w:t>Results:</w:t>
      </w:r>
    </w:p>
    <w:p w14:paraId="3A7CC434" w14:textId="555DEFA7" w:rsidR="00C36689" w:rsidRPr="00391C9C" w:rsidRDefault="00391C9C" w:rsidP="00C36689">
      <w:pPr>
        <w:spacing w:line="360" w:lineRule="auto"/>
      </w:pPr>
      <w:r w:rsidRPr="00391C9C">
        <w:rPr>
          <w:b/>
          <w:bCs/>
          <w:iCs/>
        </w:rPr>
        <w:t xml:space="preserve">3.1 </w:t>
      </w:r>
      <w:r w:rsidR="00C36689" w:rsidRPr="00391C9C">
        <w:rPr>
          <w:b/>
          <w:bCs/>
          <w:iCs/>
        </w:rPr>
        <w:t>Study selection</w:t>
      </w:r>
      <w:r w:rsidR="000A11DB" w:rsidRPr="00391C9C">
        <w:rPr>
          <w:b/>
          <w:bCs/>
          <w:iCs/>
        </w:rPr>
        <w:t xml:space="preserve"> process</w:t>
      </w:r>
    </w:p>
    <w:p w14:paraId="5F7FD056" w14:textId="344EAF05" w:rsidR="00C36689" w:rsidRDefault="00C6710C" w:rsidP="00C36689">
      <w:pPr>
        <w:spacing w:line="360" w:lineRule="auto"/>
        <w:jc w:val="both"/>
      </w:pPr>
      <w:r>
        <w:t>Study Selection is outlined in</w:t>
      </w:r>
      <w:r w:rsidR="00CE0F67">
        <w:t xml:space="preserve"> the PRISMA diagram</w:t>
      </w:r>
      <w:r>
        <w:t xml:space="preserve"> Figure 1.  </w:t>
      </w:r>
      <w:r w:rsidR="00F95294">
        <w:t>27</w:t>
      </w:r>
      <w:r w:rsidR="00C36689" w:rsidRPr="00C36689">
        <w:t xml:space="preserve"> papers reporting</w:t>
      </w:r>
      <w:r w:rsidR="00F95294">
        <w:t xml:space="preserve"> 25</w:t>
      </w:r>
      <w:r w:rsidR="00C36689" w:rsidRPr="00C36689">
        <w:t xml:space="preserve"> studies were in</w:t>
      </w:r>
      <w:r w:rsidR="00FB2CB2">
        <w:t>cluded</w:t>
      </w:r>
      <w:r w:rsidR="00F217C0">
        <w:t xml:space="preserve"> in the final analysis for </w:t>
      </w:r>
      <w:r w:rsidR="00F23F66">
        <w:t>review</w:t>
      </w:r>
      <w:r w:rsidR="00A75F77">
        <w:t xml:space="preserve"> </w:t>
      </w:r>
      <w:r w:rsidR="00A75F77">
        <w:rPr>
          <w:noProof/>
        </w:rPr>
        <w:t>[22-48]</w:t>
      </w:r>
      <w:r w:rsidR="00FB2CB2">
        <w:t xml:space="preserve">. </w:t>
      </w:r>
      <w:r w:rsidR="003A651A">
        <w:t xml:space="preserve">Of these </w:t>
      </w:r>
      <w:r w:rsidR="005A414B">
        <w:t>12</w:t>
      </w:r>
      <w:r w:rsidR="00B053D6">
        <w:t xml:space="preserve"> </w:t>
      </w:r>
      <w:r w:rsidR="003A651A">
        <w:t xml:space="preserve">studies </w:t>
      </w:r>
      <w:r w:rsidR="00A75F77">
        <w:t>(</w:t>
      </w:r>
      <w:r w:rsidR="005A414B">
        <w:t xml:space="preserve">14 </w:t>
      </w:r>
      <w:r w:rsidR="00B053D6">
        <w:t>papers)</w:t>
      </w:r>
      <w:r w:rsidR="00C36689" w:rsidRPr="00C36689">
        <w:t xml:space="preserve"> </w:t>
      </w:r>
      <w:r w:rsidR="005A414B">
        <w:rPr>
          <w:noProof/>
        </w:rPr>
        <w:t>[25-28, 30, 38, 39, 42-48]</w:t>
      </w:r>
      <w:r w:rsidR="005A414B">
        <w:t xml:space="preserve"> </w:t>
      </w:r>
      <w:r w:rsidR="003A651A">
        <w:t xml:space="preserve">reported </w:t>
      </w:r>
      <w:r w:rsidR="00C36689" w:rsidRPr="00C36689">
        <w:t>ADRs in participants ≥ 65 yea</w:t>
      </w:r>
      <w:r w:rsidR="003A651A">
        <w:t xml:space="preserve">rs and </w:t>
      </w:r>
      <w:r w:rsidR="005A414B">
        <w:t xml:space="preserve">13 </w:t>
      </w:r>
      <w:r w:rsidR="005A414B">
        <w:rPr>
          <w:noProof/>
        </w:rPr>
        <w:t>[22-24, 29, 31-37, 40, 41]</w:t>
      </w:r>
      <w:r w:rsidR="005A414B">
        <w:t xml:space="preserve"> </w:t>
      </w:r>
      <w:r w:rsidR="003A651A">
        <w:t>reported</w:t>
      </w:r>
      <w:r w:rsidR="0077746F">
        <w:t xml:space="preserve"> ADRs </w:t>
      </w:r>
      <w:r w:rsidR="005A414B">
        <w:t xml:space="preserve">in adults </w:t>
      </w:r>
      <w:r w:rsidR="005A414B">
        <w:lastRenderedPageBreak/>
        <w:t>of all ages</w:t>
      </w:r>
      <w:r w:rsidR="0077746F">
        <w:t xml:space="preserve">; </w:t>
      </w:r>
      <w:r w:rsidR="00C36689" w:rsidRPr="00C36689">
        <w:t>extractable data for ≥</w:t>
      </w:r>
      <w:r w:rsidR="005A414B">
        <w:t xml:space="preserve"> </w:t>
      </w:r>
      <w:r w:rsidR="00C36689" w:rsidRPr="00C36689">
        <w:t>65</w:t>
      </w:r>
      <w:r w:rsidR="005A414B">
        <w:t xml:space="preserve"> years</w:t>
      </w:r>
      <w:r w:rsidR="00C36689" w:rsidRPr="00C36689">
        <w:t xml:space="preserve"> available in</w:t>
      </w:r>
      <w:r w:rsidR="002E38CF">
        <w:t xml:space="preserve"> 6 </w:t>
      </w:r>
      <w:r w:rsidR="00C36689" w:rsidRPr="00C36689">
        <w:t>studies</w:t>
      </w:r>
      <w:r w:rsidR="002E38CF">
        <w:t xml:space="preserve"> </w:t>
      </w:r>
      <w:r w:rsidR="002E38CF">
        <w:rPr>
          <w:noProof/>
        </w:rPr>
        <w:t>[23, 34-36, 40, 41]</w:t>
      </w:r>
      <w:r w:rsidR="00C36689" w:rsidRPr="00C36689">
        <w:t xml:space="preserve"> </w:t>
      </w:r>
      <w:r w:rsidR="002E38CF">
        <w:t xml:space="preserve">authors provided additional </w:t>
      </w:r>
      <w:r w:rsidR="00C36689" w:rsidRPr="00C36689">
        <w:t xml:space="preserve">data </w:t>
      </w:r>
      <w:r w:rsidR="00D96931">
        <w:t xml:space="preserve">for the </w:t>
      </w:r>
      <w:r w:rsidR="00D96931">
        <w:rPr>
          <w:rFonts w:cstheme="minorHAnsi"/>
        </w:rPr>
        <w:t>≥</w:t>
      </w:r>
      <w:r w:rsidR="00D96931">
        <w:t xml:space="preserve">65 years cohort </w:t>
      </w:r>
      <w:r w:rsidR="002E38CF">
        <w:t>in 7</w:t>
      </w:r>
      <w:r w:rsidR="00C36689" w:rsidRPr="00C36689">
        <w:t xml:space="preserve"> studies</w:t>
      </w:r>
      <w:r w:rsidR="00BC6FDE">
        <w:t xml:space="preserve"> </w:t>
      </w:r>
      <w:r w:rsidR="00BC6FDE">
        <w:rPr>
          <w:noProof/>
        </w:rPr>
        <w:t>[22, 24, 29, 31-33, 37]</w:t>
      </w:r>
      <w:r w:rsidR="00837CCD">
        <w:t>.</w:t>
      </w:r>
    </w:p>
    <w:p w14:paraId="305B9717" w14:textId="2D254D2C" w:rsidR="00837CCD" w:rsidRDefault="00D85E15" w:rsidP="00C36689">
      <w:pPr>
        <w:spacing w:line="360" w:lineRule="auto"/>
        <w:jc w:val="both"/>
      </w:pPr>
      <w:r w:rsidRPr="00D85E15">
        <w:rPr>
          <w:noProof/>
          <w:lang w:eastAsia="en-GB"/>
        </w:rPr>
        <w:drawing>
          <wp:inline distT="0" distB="0" distL="0" distR="0" wp14:anchorId="6C4FFAA8" wp14:editId="3C71A25E">
            <wp:extent cx="5731510" cy="5083180"/>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5083180"/>
                    </a:xfrm>
                    <a:prstGeom prst="rect">
                      <a:avLst/>
                    </a:prstGeom>
                    <a:noFill/>
                    <a:ln>
                      <a:noFill/>
                    </a:ln>
                  </pic:spPr>
                </pic:pic>
              </a:graphicData>
            </a:graphic>
          </wp:inline>
        </w:drawing>
      </w:r>
    </w:p>
    <w:p w14:paraId="2C54EB91" w14:textId="1C9104E3" w:rsidR="00B97D64" w:rsidRPr="00B97D64" w:rsidRDefault="00B97D64" w:rsidP="00C36689">
      <w:pPr>
        <w:spacing w:line="360" w:lineRule="auto"/>
        <w:jc w:val="both"/>
        <w:rPr>
          <w:b/>
          <w:u w:val="single"/>
        </w:rPr>
      </w:pPr>
      <w:r w:rsidRPr="00B97D64">
        <w:rPr>
          <w:b/>
          <w:u w:val="single"/>
        </w:rPr>
        <w:t xml:space="preserve">Figure 1. </w:t>
      </w:r>
      <w:r w:rsidR="00F95294">
        <w:rPr>
          <w:u w:val="single"/>
        </w:rPr>
        <w:t>PRISMA flow d</w:t>
      </w:r>
      <w:r w:rsidRPr="00B97D64">
        <w:rPr>
          <w:u w:val="single"/>
        </w:rPr>
        <w:t>iagram of systematic search outputs and study selection process</w:t>
      </w:r>
    </w:p>
    <w:p w14:paraId="610A43EF" w14:textId="77777777" w:rsidR="00F95294" w:rsidRDefault="00F95294" w:rsidP="00C36689">
      <w:pPr>
        <w:spacing w:line="360" w:lineRule="auto"/>
        <w:jc w:val="both"/>
        <w:rPr>
          <w:b/>
          <w:bCs/>
          <w:iCs/>
        </w:rPr>
      </w:pPr>
    </w:p>
    <w:p w14:paraId="45685E17" w14:textId="1B171EEE" w:rsidR="00C36689" w:rsidRPr="00391C9C" w:rsidRDefault="00391C9C" w:rsidP="00C36689">
      <w:pPr>
        <w:spacing w:line="360" w:lineRule="auto"/>
        <w:jc w:val="both"/>
      </w:pPr>
      <w:r w:rsidRPr="00391C9C">
        <w:rPr>
          <w:b/>
          <w:bCs/>
          <w:iCs/>
        </w:rPr>
        <w:t xml:space="preserve">3.2 </w:t>
      </w:r>
      <w:r w:rsidR="00C36689" w:rsidRPr="00391C9C">
        <w:rPr>
          <w:b/>
          <w:bCs/>
          <w:iCs/>
        </w:rPr>
        <w:t>Characteristics of Included Studies</w:t>
      </w:r>
    </w:p>
    <w:p w14:paraId="06B6C0D5" w14:textId="6F3456B1" w:rsidR="002B0140" w:rsidRPr="00AC44A9" w:rsidRDefault="000A11DB" w:rsidP="00AC44A9">
      <w:pPr>
        <w:jc w:val="both"/>
        <w:rPr>
          <w:rFonts w:ascii="Calibri" w:eastAsia="Times New Roman" w:hAnsi="Calibri" w:cs="Calibri"/>
          <w:color w:val="000000"/>
          <w:lang w:eastAsia="en-GB"/>
        </w:rPr>
        <w:sectPr w:rsidR="002B0140" w:rsidRPr="00AC44A9">
          <w:headerReference w:type="default" r:id="rId11"/>
          <w:footerReference w:type="default" r:id="rId12"/>
          <w:pgSz w:w="11906" w:h="16838"/>
          <w:pgMar w:top="1440" w:right="1440" w:bottom="1440" w:left="1440" w:header="708" w:footer="708" w:gutter="0"/>
          <w:cols w:space="708"/>
          <w:docGrid w:linePitch="360"/>
        </w:sectPr>
      </w:pPr>
      <w:r>
        <w:t xml:space="preserve">Table 1. outlines the </w:t>
      </w:r>
      <w:r w:rsidR="002B0140">
        <w:t xml:space="preserve">characteristics of the included studies. </w:t>
      </w:r>
      <w:r w:rsidR="0098108C">
        <w:t xml:space="preserve">A total of </w:t>
      </w:r>
      <w:r w:rsidR="00BC6FDE" w:rsidRPr="00BC6FDE">
        <w:rPr>
          <w:rFonts w:ascii="Calibri" w:eastAsia="Times New Roman" w:hAnsi="Calibri" w:cs="Calibri"/>
          <w:color w:val="000000"/>
          <w:lang w:eastAsia="en-GB"/>
        </w:rPr>
        <w:t>26</w:t>
      </w:r>
      <w:r w:rsidR="00BC6FDE">
        <w:rPr>
          <w:rFonts w:ascii="Calibri" w:eastAsia="Times New Roman" w:hAnsi="Calibri" w:cs="Calibri"/>
          <w:color w:val="000000"/>
          <w:lang w:eastAsia="en-GB"/>
        </w:rPr>
        <w:t>,</w:t>
      </w:r>
      <w:r w:rsidR="00BC6FDE" w:rsidRPr="00BC6FDE">
        <w:rPr>
          <w:rFonts w:ascii="Calibri" w:eastAsia="Times New Roman" w:hAnsi="Calibri" w:cs="Calibri"/>
          <w:color w:val="000000"/>
          <w:lang w:eastAsia="en-GB"/>
        </w:rPr>
        <w:t>933</w:t>
      </w:r>
      <w:r w:rsidR="00BC6FDE">
        <w:rPr>
          <w:rFonts w:ascii="Calibri" w:eastAsia="Times New Roman" w:hAnsi="Calibri" w:cs="Calibri"/>
          <w:color w:val="000000"/>
          <w:lang w:eastAsia="en-GB"/>
        </w:rPr>
        <w:t xml:space="preserve"> adult</w:t>
      </w:r>
      <w:r w:rsidR="00C36689" w:rsidRPr="00C36689">
        <w:t xml:space="preserve"> patients </w:t>
      </w:r>
      <w:r w:rsidR="00BC6FDE">
        <w:t>were included in the 25 studies,</w:t>
      </w:r>
      <w:r w:rsidR="0098108C">
        <w:t xml:space="preserve"> </w:t>
      </w:r>
      <w:r w:rsidR="00BC6FDE" w:rsidRPr="00BC6FDE">
        <w:rPr>
          <w:rFonts w:ascii="Calibri" w:eastAsia="Times New Roman" w:hAnsi="Calibri" w:cs="Calibri"/>
          <w:color w:val="000000"/>
          <w:lang w:eastAsia="en-GB"/>
        </w:rPr>
        <w:t>20</w:t>
      </w:r>
      <w:r w:rsidR="00BC6FDE">
        <w:rPr>
          <w:rFonts w:ascii="Calibri" w:eastAsia="Times New Roman" w:hAnsi="Calibri" w:cs="Calibri"/>
          <w:color w:val="000000"/>
          <w:lang w:eastAsia="en-GB"/>
        </w:rPr>
        <w:t>,</w:t>
      </w:r>
      <w:r w:rsidR="00BC6FDE" w:rsidRPr="00BC6FDE">
        <w:rPr>
          <w:rFonts w:ascii="Calibri" w:eastAsia="Times New Roman" w:hAnsi="Calibri" w:cs="Calibri"/>
          <w:color w:val="000000"/>
          <w:lang w:eastAsia="en-GB"/>
        </w:rPr>
        <w:t>032</w:t>
      </w:r>
      <w:r w:rsidR="00C36689" w:rsidRPr="00C36689">
        <w:t xml:space="preserve"> (74%) were aged ≥65 years. </w:t>
      </w:r>
      <w:r w:rsidR="005D0E8C">
        <w:t>Gender was reported in 20</w:t>
      </w:r>
      <w:r w:rsidR="0098108C">
        <w:t xml:space="preserve"> studies </w:t>
      </w:r>
      <w:r w:rsidR="005D0E8C">
        <w:rPr>
          <w:noProof/>
        </w:rPr>
        <w:t>[22, 24, 30, 33-43, 45-51]</w:t>
      </w:r>
      <w:r w:rsidR="0098108C">
        <w:t xml:space="preserve"> – </w:t>
      </w:r>
      <w:r w:rsidR="00C36689" w:rsidRPr="00C36689">
        <w:t xml:space="preserve">50% male, 50% female. </w:t>
      </w:r>
      <w:r w:rsidR="007B3B8D">
        <w:t xml:space="preserve"> 2 studies re</w:t>
      </w:r>
      <w:r w:rsidR="00647164">
        <w:t xml:space="preserve">ported in Spanish </w:t>
      </w:r>
      <w:r w:rsidR="00647164">
        <w:rPr>
          <w:noProof/>
        </w:rPr>
        <w:t>[30, 35]</w:t>
      </w:r>
      <w:r w:rsidR="00647164">
        <w:t>, 25 papers (23</w:t>
      </w:r>
      <w:r w:rsidR="007B3B8D">
        <w:t xml:space="preserve"> studies) reported in English. </w:t>
      </w:r>
      <w:commentRangeStart w:id="9"/>
      <w:r w:rsidR="005B53DC">
        <w:t xml:space="preserve">Geographic distribution of publications </w:t>
      </w:r>
      <w:commentRangeEnd w:id="9"/>
      <w:r w:rsidR="00732B46">
        <w:rPr>
          <w:rStyle w:val="CommentReference"/>
        </w:rPr>
        <w:commentReference w:id="9"/>
      </w:r>
      <w:r w:rsidR="00F3590C">
        <w:t>UK</w:t>
      </w:r>
      <w:r w:rsidR="00AC44A9">
        <w:t xml:space="preserve"> 4 , Ireland 4, U.S.A 2, Italy 4</w:t>
      </w:r>
      <w:r w:rsidR="00F3590C">
        <w:t>, Bulgaria 3</w:t>
      </w:r>
      <w:r>
        <w:t>, Brazil 1, Colom</w:t>
      </w:r>
      <w:r w:rsidR="00AC44A9">
        <w:t>bia 1, Spain 1, Chile 1, India 2</w:t>
      </w:r>
      <w:r>
        <w:t>, Iran 1, Montenegro 1</w:t>
      </w:r>
      <w:r w:rsidR="00AC44A9">
        <w:t>, Singapore 1</w:t>
      </w:r>
      <w:r w:rsidR="007B3B8D">
        <w:t>.</w:t>
      </w:r>
      <w:r w:rsidR="00AC44A9">
        <w:rPr>
          <w:rFonts w:ascii="Calibri" w:eastAsia="Times New Roman" w:hAnsi="Calibri" w:cs="Calibri"/>
          <w:color w:val="000000"/>
          <w:lang w:eastAsia="en-GB"/>
        </w:rPr>
        <w:t xml:space="preserve"> </w:t>
      </w:r>
      <w:r w:rsidR="00647164">
        <w:t xml:space="preserve">Study size </w:t>
      </w:r>
      <w:r w:rsidR="00732B46">
        <w:t>r</w:t>
      </w:r>
      <w:r w:rsidR="00F95717" w:rsidRPr="00F95717">
        <w:t xml:space="preserve">anged from </w:t>
      </w:r>
      <w:r w:rsidR="000728D5">
        <w:t>97 to 6419</w:t>
      </w:r>
      <w:r w:rsidR="00732B46">
        <w:t xml:space="preserve"> participants</w:t>
      </w:r>
      <w:r w:rsidR="000728D5">
        <w:t xml:space="preserve">, </w:t>
      </w:r>
      <w:r w:rsidR="00732B46">
        <w:t xml:space="preserve">and spanned a publication period </w:t>
      </w:r>
      <w:r w:rsidR="000728D5">
        <w:t>from</w:t>
      </w:r>
      <w:r w:rsidR="00FC603E">
        <w:t xml:space="preserve"> </w:t>
      </w:r>
      <w:r w:rsidR="00647164">
        <w:t>1965 to 2018</w:t>
      </w:r>
      <w:r w:rsidR="00F95717">
        <w:t>.</w:t>
      </w:r>
      <w:r w:rsidR="00FC603E">
        <w:t xml:space="preserve"> Included study design was predominantly observational; </w:t>
      </w:r>
      <w:r w:rsidR="00647164">
        <w:t>22</w:t>
      </w:r>
      <w:r w:rsidR="00F95717">
        <w:t xml:space="preserve"> prospective observational studies</w:t>
      </w:r>
      <w:r w:rsidR="00647164">
        <w:t>, 1 retrospective observational study</w:t>
      </w:r>
      <w:r w:rsidR="00F95717">
        <w:t>, 2 randomised control trials and one post-hoc analysis</w:t>
      </w:r>
      <w:r w:rsidR="00DF3480">
        <w:t xml:space="preserve"> (of previous prospective observational study)</w:t>
      </w:r>
      <w:r w:rsidR="00F95717">
        <w:t>.</w:t>
      </w:r>
    </w:p>
    <w:tbl>
      <w:tblPr>
        <w:tblStyle w:val="TableGrid"/>
        <w:tblW w:w="15784" w:type="dxa"/>
        <w:tblInd w:w="-5" w:type="dxa"/>
        <w:tblLook w:val="04A0" w:firstRow="1" w:lastRow="0" w:firstColumn="1" w:lastColumn="0" w:noHBand="0" w:noVBand="1"/>
      </w:tblPr>
      <w:tblGrid>
        <w:gridCol w:w="1985"/>
        <w:gridCol w:w="541"/>
        <w:gridCol w:w="1034"/>
        <w:gridCol w:w="846"/>
        <w:gridCol w:w="885"/>
        <w:gridCol w:w="2410"/>
        <w:gridCol w:w="2817"/>
        <w:gridCol w:w="2113"/>
        <w:gridCol w:w="698"/>
        <w:gridCol w:w="700"/>
        <w:gridCol w:w="930"/>
        <w:gridCol w:w="825"/>
      </w:tblGrid>
      <w:tr w:rsidR="00CE0F67" w:rsidRPr="00A63466" w14:paraId="10A18D1A" w14:textId="77777777" w:rsidTr="006A36B7">
        <w:trPr>
          <w:trHeight w:val="207"/>
        </w:trPr>
        <w:tc>
          <w:tcPr>
            <w:tcW w:w="15780" w:type="dxa"/>
            <w:gridSpan w:val="12"/>
            <w:tcBorders>
              <w:top w:val="single" w:sz="4" w:space="0" w:color="auto"/>
              <w:left w:val="single" w:sz="4" w:space="0" w:color="auto"/>
              <w:bottom w:val="single" w:sz="4" w:space="0" w:color="auto"/>
              <w:right w:val="single" w:sz="4" w:space="0" w:color="auto"/>
            </w:tcBorders>
            <w:vAlign w:val="center"/>
          </w:tcPr>
          <w:p w14:paraId="658A95CC" w14:textId="11F903CB" w:rsidR="00CE0F67" w:rsidRPr="00A63466" w:rsidRDefault="00CE0F67" w:rsidP="00D912B0">
            <w:pPr>
              <w:spacing w:line="360" w:lineRule="auto"/>
              <w:rPr>
                <w:rFonts w:cstheme="minorHAnsi"/>
                <w:b/>
                <w:sz w:val="16"/>
                <w:szCs w:val="16"/>
              </w:rPr>
            </w:pPr>
            <w:r w:rsidRPr="002B0140">
              <w:rPr>
                <w:b/>
                <w:sz w:val="16"/>
                <w:u w:val="single"/>
              </w:rPr>
              <w:lastRenderedPageBreak/>
              <w:t>Table 1.</w:t>
            </w:r>
            <w:r w:rsidRPr="002B0140">
              <w:rPr>
                <w:sz w:val="16"/>
                <w:u w:val="single"/>
              </w:rPr>
              <w:t xml:space="preserve"> Characteristics of the 23 papers (22 studies) included in systematic review</w:t>
            </w:r>
          </w:p>
        </w:tc>
      </w:tr>
      <w:tr w:rsidR="002B0140" w:rsidRPr="00A63466" w14:paraId="4FD86B3B" w14:textId="77777777" w:rsidTr="006A36B7">
        <w:tc>
          <w:tcPr>
            <w:tcW w:w="1985" w:type="dxa"/>
            <w:tcBorders>
              <w:top w:val="single" w:sz="4" w:space="0" w:color="auto"/>
              <w:left w:val="single" w:sz="4" w:space="0" w:color="auto"/>
              <w:bottom w:val="single" w:sz="4" w:space="0" w:color="auto"/>
              <w:right w:val="nil"/>
            </w:tcBorders>
            <w:vAlign w:val="center"/>
          </w:tcPr>
          <w:p w14:paraId="2C9628AB" w14:textId="77777777" w:rsidR="002B0140" w:rsidRPr="00A63466" w:rsidRDefault="002B0140" w:rsidP="00D912B0">
            <w:pPr>
              <w:spacing w:line="360" w:lineRule="auto"/>
              <w:rPr>
                <w:rFonts w:cstheme="minorHAnsi"/>
                <w:b/>
                <w:sz w:val="16"/>
                <w:szCs w:val="16"/>
              </w:rPr>
            </w:pPr>
            <w:r w:rsidRPr="00A63466">
              <w:rPr>
                <w:rFonts w:cstheme="minorHAnsi"/>
                <w:b/>
                <w:sz w:val="16"/>
                <w:szCs w:val="16"/>
              </w:rPr>
              <w:t>Author</w:t>
            </w:r>
          </w:p>
        </w:tc>
        <w:tc>
          <w:tcPr>
            <w:tcW w:w="541" w:type="dxa"/>
            <w:tcBorders>
              <w:top w:val="single" w:sz="4" w:space="0" w:color="auto"/>
              <w:left w:val="nil"/>
              <w:bottom w:val="single" w:sz="4" w:space="0" w:color="auto"/>
              <w:right w:val="nil"/>
            </w:tcBorders>
            <w:vAlign w:val="center"/>
          </w:tcPr>
          <w:p w14:paraId="17A302B6" w14:textId="77777777" w:rsidR="002B0140" w:rsidRPr="00A63466" w:rsidRDefault="002B0140" w:rsidP="00D912B0">
            <w:pPr>
              <w:spacing w:line="360" w:lineRule="auto"/>
              <w:rPr>
                <w:rFonts w:cstheme="minorHAnsi"/>
                <w:b/>
                <w:sz w:val="16"/>
                <w:szCs w:val="16"/>
              </w:rPr>
            </w:pPr>
            <w:r w:rsidRPr="00A63466">
              <w:rPr>
                <w:rFonts w:cstheme="minorHAnsi"/>
                <w:b/>
                <w:sz w:val="16"/>
                <w:szCs w:val="16"/>
              </w:rPr>
              <w:t>Year</w:t>
            </w:r>
          </w:p>
        </w:tc>
        <w:tc>
          <w:tcPr>
            <w:tcW w:w="1034" w:type="dxa"/>
            <w:tcBorders>
              <w:top w:val="single" w:sz="4" w:space="0" w:color="auto"/>
              <w:left w:val="nil"/>
              <w:bottom w:val="single" w:sz="4" w:space="0" w:color="auto"/>
              <w:right w:val="nil"/>
            </w:tcBorders>
            <w:vAlign w:val="center"/>
          </w:tcPr>
          <w:p w14:paraId="63ABCABE" w14:textId="77777777" w:rsidR="002B0140" w:rsidRPr="00A63466" w:rsidRDefault="002B0140" w:rsidP="00D912B0">
            <w:pPr>
              <w:spacing w:line="360" w:lineRule="auto"/>
              <w:rPr>
                <w:rFonts w:cstheme="minorHAnsi"/>
                <w:b/>
                <w:sz w:val="16"/>
                <w:szCs w:val="16"/>
              </w:rPr>
            </w:pPr>
            <w:r w:rsidRPr="00A63466">
              <w:rPr>
                <w:rFonts w:cstheme="minorHAnsi"/>
                <w:b/>
                <w:sz w:val="16"/>
                <w:szCs w:val="16"/>
              </w:rPr>
              <w:t>Country</w:t>
            </w:r>
          </w:p>
        </w:tc>
        <w:tc>
          <w:tcPr>
            <w:tcW w:w="846" w:type="dxa"/>
            <w:tcBorders>
              <w:top w:val="single" w:sz="4" w:space="0" w:color="auto"/>
              <w:left w:val="nil"/>
              <w:bottom w:val="single" w:sz="4" w:space="0" w:color="auto"/>
              <w:right w:val="nil"/>
            </w:tcBorders>
            <w:vAlign w:val="center"/>
          </w:tcPr>
          <w:p w14:paraId="508DD7EE" w14:textId="77777777" w:rsidR="002B0140" w:rsidRPr="00A63466" w:rsidRDefault="002B0140" w:rsidP="00D912B0">
            <w:pPr>
              <w:spacing w:line="360" w:lineRule="auto"/>
              <w:rPr>
                <w:rFonts w:cstheme="minorHAnsi"/>
                <w:b/>
                <w:sz w:val="16"/>
                <w:szCs w:val="16"/>
              </w:rPr>
            </w:pPr>
            <w:r w:rsidRPr="00A63466">
              <w:rPr>
                <w:rFonts w:cstheme="minorHAnsi"/>
                <w:b/>
                <w:sz w:val="16"/>
                <w:szCs w:val="16"/>
              </w:rPr>
              <w:t>Language</w:t>
            </w:r>
          </w:p>
        </w:tc>
        <w:tc>
          <w:tcPr>
            <w:tcW w:w="885" w:type="dxa"/>
            <w:tcBorders>
              <w:top w:val="single" w:sz="4" w:space="0" w:color="auto"/>
              <w:left w:val="nil"/>
              <w:bottom w:val="single" w:sz="4" w:space="0" w:color="auto"/>
              <w:right w:val="nil"/>
            </w:tcBorders>
            <w:vAlign w:val="center"/>
          </w:tcPr>
          <w:p w14:paraId="6CA1976E" w14:textId="51818F6A" w:rsidR="002B0140" w:rsidRPr="00A63466" w:rsidRDefault="006620E0" w:rsidP="00D912B0">
            <w:pPr>
              <w:spacing w:line="360" w:lineRule="auto"/>
              <w:rPr>
                <w:rFonts w:cstheme="minorHAnsi"/>
                <w:b/>
                <w:sz w:val="16"/>
                <w:szCs w:val="16"/>
              </w:rPr>
            </w:pPr>
            <w:r>
              <w:rPr>
                <w:rFonts w:cstheme="minorHAnsi"/>
                <w:b/>
                <w:sz w:val="16"/>
                <w:szCs w:val="16"/>
              </w:rPr>
              <w:t>Duration*</w:t>
            </w:r>
          </w:p>
        </w:tc>
        <w:tc>
          <w:tcPr>
            <w:tcW w:w="2410" w:type="dxa"/>
            <w:tcBorders>
              <w:top w:val="single" w:sz="4" w:space="0" w:color="auto"/>
              <w:left w:val="nil"/>
              <w:bottom w:val="single" w:sz="4" w:space="0" w:color="auto"/>
              <w:right w:val="nil"/>
            </w:tcBorders>
            <w:vAlign w:val="center"/>
          </w:tcPr>
          <w:p w14:paraId="0E3B4C3A" w14:textId="77777777" w:rsidR="002B0140" w:rsidRPr="00A63466" w:rsidRDefault="002B0140" w:rsidP="00D912B0">
            <w:pPr>
              <w:spacing w:line="360" w:lineRule="auto"/>
              <w:rPr>
                <w:rFonts w:cstheme="minorHAnsi"/>
                <w:b/>
                <w:sz w:val="16"/>
                <w:szCs w:val="16"/>
              </w:rPr>
            </w:pPr>
            <w:r w:rsidRPr="00A63466">
              <w:rPr>
                <w:rFonts w:cstheme="minorHAnsi"/>
                <w:b/>
                <w:sz w:val="16"/>
                <w:szCs w:val="16"/>
              </w:rPr>
              <w:t>Setting</w:t>
            </w:r>
          </w:p>
        </w:tc>
        <w:tc>
          <w:tcPr>
            <w:tcW w:w="2817" w:type="dxa"/>
            <w:tcBorders>
              <w:top w:val="single" w:sz="4" w:space="0" w:color="auto"/>
              <w:left w:val="nil"/>
              <w:bottom w:val="single" w:sz="4" w:space="0" w:color="auto"/>
              <w:right w:val="nil"/>
            </w:tcBorders>
            <w:vAlign w:val="center"/>
          </w:tcPr>
          <w:p w14:paraId="13E80AE4" w14:textId="77777777" w:rsidR="002B0140" w:rsidRPr="00A63466" w:rsidRDefault="002B0140" w:rsidP="00D912B0">
            <w:pPr>
              <w:spacing w:line="360" w:lineRule="auto"/>
              <w:rPr>
                <w:rFonts w:cstheme="minorHAnsi"/>
                <w:b/>
                <w:sz w:val="16"/>
                <w:szCs w:val="16"/>
              </w:rPr>
            </w:pPr>
            <w:r w:rsidRPr="00A63466">
              <w:rPr>
                <w:rFonts w:cstheme="minorHAnsi"/>
                <w:b/>
                <w:sz w:val="16"/>
                <w:szCs w:val="16"/>
              </w:rPr>
              <w:t>Population</w:t>
            </w:r>
          </w:p>
        </w:tc>
        <w:tc>
          <w:tcPr>
            <w:tcW w:w="2113" w:type="dxa"/>
            <w:tcBorders>
              <w:top w:val="single" w:sz="4" w:space="0" w:color="auto"/>
              <w:left w:val="nil"/>
              <w:bottom w:val="single" w:sz="4" w:space="0" w:color="auto"/>
              <w:right w:val="nil"/>
            </w:tcBorders>
            <w:vAlign w:val="center"/>
          </w:tcPr>
          <w:p w14:paraId="47F67AAF" w14:textId="77777777" w:rsidR="002B0140" w:rsidRPr="00A63466" w:rsidRDefault="002B0140" w:rsidP="00D912B0">
            <w:pPr>
              <w:spacing w:line="360" w:lineRule="auto"/>
              <w:rPr>
                <w:rFonts w:cstheme="minorHAnsi"/>
                <w:b/>
                <w:sz w:val="16"/>
                <w:szCs w:val="16"/>
              </w:rPr>
            </w:pPr>
            <w:r w:rsidRPr="00A63466">
              <w:rPr>
                <w:rFonts w:cstheme="minorHAnsi"/>
                <w:b/>
                <w:sz w:val="16"/>
                <w:szCs w:val="16"/>
              </w:rPr>
              <w:t>Design</w:t>
            </w:r>
          </w:p>
        </w:tc>
        <w:tc>
          <w:tcPr>
            <w:tcW w:w="698" w:type="dxa"/>
            <w:tcBorders>
              <w:top w:val="single" w:sz="4" w:space="0" w:color="auto"/>
              <w:left w:val="nil"/>
              <w:bottom w:val="single" w:sz="4" w:space="0" w:color="auto"/>
              <w:right w:val="nil"/>
            </w:tcBorders>
            <w:vAlign w:val="center"/>
          </w:tcPr>
          <w:p w14:paraId="55CD6BB5" w14:textId="77777777" w:rsidR="002B0140" w:rsidRPr="00A63466" w:rsidRDefault="002B0140" w:rsidP="00D912B0">
            <w:pPr>
              <w:spacing w:line="360" w:lineRule="auto"/>
              <w:rPr>
                <w:rFonts w:cstheme="minorHAnsi"/>
                <w:b/>
                <w:sz w:val="16"/>
                <w:szCs w:val="16"/>
              </w:rPr>
            </w:pPr>
            <w:r w:rsidRPr="00A63466">
              <w:rPr>
                <w:rFonts w:cstheme="minorHAnsi"/>
                <w:b/>
                <w:sz w:val="16"/>
                <w:szCs w:val="16"/>
              </w:rPr>
              <w:t>Total N</w:t>
            </w:r>
          </w:p>
        </w:tc>
        <w:tc>
          <w:tcPr>
            <w:tcW w:w="700" w:type="dxa"/>
            <w:tcBorders>
              <w:top w:val="single" w:sz="4" w:space="0" w:color="auto"/>
              <w:left w:val="nil"/>
              <w:bottom w:val="single" w:sz="4" w:space="0" w:color="auto"/>
              <w:right w:val="nil"/>
            </w:tcBorders>
            <w:vAlign w:val="center"/>
          </w:tcPr>
          <w:p w14:paraId="44A9DA51" w14:textId="77777777" w:rsidR="002B0140" w:rsidRPr="00A63466" w:rsidRDefault="002B0140" w:rsidP="00D912B0">
            <w:pPr>
              <w:spacing w:line="360" w:lineRule="auto"/>
              <w:rPr>
                <w:rFonts w:cstheme="minorHAnsi"/>
                <w:b/>
                <w:sz w:val="16"/>
                <w:szCs w:val="16"/>
              </w:rPr>
            </w:pPr>
            <w:r w:rsidRPr="00A63466">
              <w:rPr>
                <w:rFonts w:cstheme="minorHAnsi"/>
                <w:b/>
                <w:sz w:val="16"/>
                <w:szCs w:val="16"/>
              </w:rPr>
              <w:t>N ≥ 65</w:t>
            </w:r>
          </w:p>
        </w:tc>
        <w:tc>
          <w:tcPr>
            <w:tcW w:w="930" w:type="dxa"/>
            <w:tcBorders>
              <w:top w:val="single" w:sz="4" w:space="0" w:color="auto"/>
              <w:left w:val="nil"/>
              <w:bottom w:val="single" w:sz="4" w:space="0" w:color="auto"/>
              <w:right w:val="nil"/>
            </w:tcBorders>
            <w:vAlign w:val="center"/>
          </w:tcPr>
          <w:p w14:paraId="43292DEB" w14:textId="178AC33B" w:rsidR="002B0140" w:rsidRPr="00A63466" w:rsidRDefault="007262FF" w:rsidP="00D912B0">
            <w:pPr>
              <w:spacing w:line="360" w:lineRule="auto"/>
              <w:rPr>
                <w:rFonts w:cstheme="minorHAnsi"/>
                <w:b/>
                <w:sz w:val="16"/>
                <w:szCs w:val="16"/>
              </w:rPr>
            </w:pPr>
            <w:r>
              <w:rPr>
                <w:rFonts w:cstheme="minorHAnsi"/>
                <w:b/>
                <w:sz w:val="16"/>
                <w:szCs w:val="16"/>
              </w:rPr>
              <w:t>Age</w:t>
            </w:r>
          </w:p>
        </w:tc>
        <w:tc>
          <w:tcPr>
            <w:tcW w:w="825" w:type="dxa"/>
            <w:tcBorders>
              <w:top w:val="single" w:sz="4" w:space="0" w:color="auto"/>
              <w:left w:val="nil"/>
              <w:bottom w:val="single" w:sz="4" w:space="0" w:color="auto"/>
              <w:right w:val="single" w:sz="4" w:space="0" w:color="auto"/>
            </w:tcBorders>
            <w:vAlign w:val="center"/>
          </w:tcPr>
          <w:p w14:paraId="1DD357B5" w14:textId="77777777" w:rsidR="002B0140" w:rsidRPr="00A63466" w:rsidRDefault="002B0140" w:rsidP="00D912B0">
            <w:pPr>
              <w:spacing w:line="360" w:lineRule="auto"/>
              <w:rPr>
                <w:rFonts w:cstheme="minorHAnsi"/>
                <w:b/>
                <w:sz w:val="16"/>
                <w:szCs w:val="16"/>
              </w:rPr>
            </w:pPr>
            <w:r w:rsidRPr="00A63466">
              <w:rPr>
                <w:rFonts w:cstheme="minorHAnsi"/>
                <w:b/>
                <w:sz w:val="16"/>
                <w:szCs w:val="16"/>
              </w:rPr>
              <w:t>Gender</w:t>
            </w:r>
          </w:p>
        </w:tc>
      </w:tr>
      <w:tr w:rsidR="008A06DF" w:rsidRPr="00A63466" w14:paraId="01078294" w14:textId="4E7FA748" w:rsidTr="006A36B7">
        <w:tc>
          <w:tcPr>
            <w:tcW w:w="1985" w:type="dxa"/>
            <w:tcBorders>
              <w:top w:val="single" w:sz="4" w:space="0" w:color="auto"/>
              <w:left w:val="single" w:sz="4" w:space="0" w:color="auto"/>
              <w:bottom w:val="nil"/>
              <w:right w:val="nil"/>
            </w:tcBorders>
          </w:tcPr>
          <w:p w14:paraId="21592F96" w14:textId="70FDB143" w:rsidR="00244BA6" w:rsidRPr="002B0140" w:rsidRDefault="00244BA6" w:rsidP="00A75F77">
            <w:pPr>
              <w:spacing w:line="360" w:lineRule="auto"/>
              <w:jc w:val="both"/>
              <w:rPr>
                <w:rFonts w:cstheme="minorHAnsi"/>
                <w:b/>
                <w:sz w:val="16"/>
                <w:szCs w:val="16"/>
              </w:rPr>
            </w:pPr>
            <w:r w:rsidRPr="002B0140">
              <w:rPr>
                <w:rFonts w:cstheme="minorHAnsi"/>
                <w:b/>
                <w:sz w:val="16"/>
                <w:szCs w:val="16"/>
              </w:rPr>
              <w:t>Ayub</w:t>
            </w:r>
            <w:r w:rsidR="00E3009B" w:rsidRPr="002B0140">
              <w:rPr>
                <w:rFonts w:cstheme="minorHAnsi"/>
                <w:b/>
                <w:sz w:val="16"/>
                <w:szCs w:val="16"/>
              </w:rPr>
              <w:t xml:space="preserve"> </w:t>
            </w:r>
            <w:r w:rsidR="00A75F77">
              <w:rPr>
                <w:rFonts w:cstheme="minorHAnsi"/>
                <w:b/>
                <w:noProof/>
                <w:sz w:val="16"/>
                <w:szCs w:val="16"/>
              </w:rPr>
              <w:t>[22]</w:t>
            </w:r>
          </w:p>
        </w:tc>
        <w:tc>
          <w:tcPr>
            <w:tcW w:w="541" w:type="dxa"/>
            <w:tcBorders>
              <w:top w:val="single" w:sz="4" w:space="0" w:color="auto"/>
              <w:left w:val="nil"/>
              <w:bottom w:val="nil"/>
              <w:right w:val="nil"/>
            </w:tcBorders>
          </w:tcPr>
          <w:p w14:paraId="75835D70" w14:textId="4B6EEE72" w:rsidR="00244BA6" w:rsidRPr="00A63466" w:rsidRDefault="00E3009B" w:rsidP="00C36689">
            <w:pPr>
              <w:spacing w:line="360" w:lineRule="auto"/>
              <w:jc w:val="both"/>
              <w:rPr>
                <w:rFonts w:cstheme="minorHAnsi"/>
                <w:sz w:val="16"/>
                <w:szCs w:val="16"/>
              </w:rPr>
            </w:pPr>
            <w:r w:rsidRPr="00A63466">
              <w:rPr>
                <w:rFonts w:cstheme="minorHAnsi"/>
                <w:sz w:val="16"/>
                <w:szCs w:val="16"/>
              </w:rPr>
              <w:t>2009</w:t>
            </w:r>
          </w:p>
        </w:tc>
        <w:tc>
          <w:tcPr>
            <w:tcW w:w="1034" w:type="dxa"/>
            <w:tcBorders>
              <w:top w:val="single" w:sz="4" w:space="0" w:color="auto"/>
              <w:left w:val="nil"/>
              <w:bottom w:val="nil"/>
              <w:right w:val="nil"/>
            </w:tcBorders>
          </w:tcPr>
          <w:p w14:paraId="4BA48A9F" w14:textId="44FA5B0D" w:rsidR="00244BA6" w:rsidRPr="00A63466" w:rsidRDefault="0097370C" w:rsidP="00C36689">
            <w:pPr>
              <w:spacing w:line="360" w:lineRule="auto"/>
              <w:jc w:val="both"/>
              <w:rPr>
                <w:rFonts w:cstheme="minorHAnsi"/>
                <w:sz w:val="16"/>
                <w:szCs w:val="16"/>
              </w:rPr>
            </w:pPr>
            <w:r w:rsidRPr="00A63466">
              <w:rPr>
                <w:rFonts w:cstheme="minorHAnsi"/>
                <w:sz w:val="16"/>
                <w:szCs w:val="16"/>
              </w:rPr>
              <w:t>Brazil</w:t>
            </w:r>
          </w:p>
        </w:tc>
        <w:tc>
          <w:tcPr>
            <w:tcW w:w="846" w:type="dxa"/>
            <w:tcBorders>
              <w:top w:val="single" w:sz="4" w:space="0" w:color="auto"/>
              <w:left w:val="nil"/>
              <w:bottom w:val="nil"/>
              <w:right w:val="nil"/>
            </w:tcBorders>
          </w:tcPr>
          <w:p w14:paraId="0266D633" w14:textId="709D6031" w:rsidR="00244BA6" w:rsidRPr="00A63466" w:rsidRDefault="006A37F9" w:rsidP="00C36689">
            <w:pPr>
              <w:spacing w:line="360" w:lineRule="auto"/>
              <w:jc w:val="both"/>
              <w:rPr>
                <w:rFonts w:cstheme="minorHAnsi"/>
                <w:sz w:val="16"/>
                <w:szCs w:val="16"/>
              </w:rPr>
            </w:pPr>
            <w:r w:rsidRPr="00A63466">
              <w:rPr>
                <w:rFonts w:cstheme="minorHAnsi"/>
                <w:sz w:val="16"/>
                <w:szCs w:val="16"/>
              </w:rPr>
              <w:t>English</w:t>
            </w:r>
          </w:p>
        </w:tc>
        <w:tc>
          <w:tcPr>
            <w:tcW w:w="885" w:type="dxa"/>
            <w:tcBorders>
              <w:top w:val="single" w:sz="4" w:space="0" w:color="auto"/>
              <w:left w:val="nil"/>
              <w:bottom w:val="nil"/>
              <w:right w:val="nil"/>
            </w:tcBorders>
          </w:tcPr>
          <w:p w14:paraId="3E340D3D" w14:textId="251CCC79" w:rsidR="00244BA6" w:rsidRPr="00A63466" w:rsidRDefault="00424D9F" w:rsidP="00844B25">
            <w:pPr>
              <w:spacing w:line="360" w:lineRule="auto"/>
              <w:jc w:val="center"/>
              <w:rPr>
                <w:rFonts w:cstheme="minorHAnsi"/>
                <w:sz w:val="16"/>
                <w:szCs w:val="16"/>
              </w:rPr>
            </w:pPr>
            <w:r w:rsidRPr="00A63466">
              <w:rPr>
                <w:rFonts w:cstheme="minorHAnsi"/>
                <w:sz w:val="16"/>
                <w:szCs w:val="16"/>
              </w:rPr>
              <w:t>6</w:t>
            </w:r>
          </w:p>
        </w:tc>
        <w:tc>
          <w:tcPr>
            <w:tcW w:w="2410" w:type="dxa"/>
            <w:tcBorders>
              <w:top w:val="single" w:sz="4" w:space="0" w:color="auto"/>
              <w:left w:val="nil"/>
              <w:bottom w:val="nil"/>
              <w:right w:val="nil"/>
            </w:tcBorders>
          </w:tcPr>
          <w:p w14:paraId="6DECA52B" w14:textId="1ED5972F" w:rsidR="00244BA6" w:rsidRPr="00A63466" w:rsidRDefault="00A3567D" w:rsidP="00C36689">
            <w:pPr>
              <w:spacing w:line="360" w:lineRule="auto"/>
              <w:jc w:val="both"/>
              <w:rPr>
                <w:rFonts w:cstheme="minorHAnsi"/>
                <w:sz w:val="16"/>
                <w:szCs w:val="16"/>
              </w:rPr>
            </w:pPr>
            <w:r>
              <w:rPr>
                <w:rFonts w:cstheme="minorHAnsi"/>
                <w:sz w:val="16"/>
                <w:szCs w:val="16"/>
              </w:rPr>
              <w:t>Acute ICU</w:t>
            </w:r>
          </w:p>
        </w:tc>
        <w:tc>
          <w:tcPr>
            <w:tcW w:w="2817" w:type="dxa"/>
            <w:tcBorders>
              <w:top w:val="single" w:sz="4" w:space="0" w:color="auto"/>
              <w:left w:val="nil"/>
              <w:bottom w:val="nil"/>
              <w:right w:val="nil"/>
            </w:tcBorders>
          </w:tcPr>
          <w:p w14:paraId="2A894275" w14:textId="67DA58C0" w:rsidR="00244BA6" w:rsidRPr="00A63466" w:rsidRDefault="00A3567D" w:rsidP="00C36689">
            <w:pPr>
              <w:spacing w:line="360" w:lineRule="auto"/>
              <w:jc w:val="both"/>
              <w:rPr>
                <w:rFonts w:cstheme="minorHAnsi"/>
                <w:sz w:val="16"/>
                <w:szCs w:val="16"/>
              </w:rPr>
            </w:pPr>
            <w:r>
              <w:rPr>
                <w:rFonts w:cstheme="minorHAnsi"/>
                <w:sz w:val="16"/>
                <w:szCs w:val="16"/>
              </w:rPr>
              <w:t xml:space="preserve">Adults, ICU </w:t>
            </w:r>
          </w:p>
        </w:tc>
        <w:tc>
          <w:tcPr>
            <w:tcW w:w="2113" w:type="dxa"/>
            <w:tcBorders>
              <w:top w:val="single" w:sz="4" w:space="0" w:color="auto"/>
              <w:left w:val="nil"/>
              <w:bottom w:val="nil"/>
              <w:right w:val="nil"/>
            </w:tcBorders>
          </w:tcPr>
          <w:p w14:paraId="6EC74244" w14:textId="736BE925" w:rsidR="00244BA6" w:rsidRPr="00A63466" w:rsidRDefault="002226CB" w:rsidP="00C36689">
            <w:pPr>
              <w:spacing w:line="360" w:lineRule="auto"/>
              <w:jc w:val="both"/>
              <w:rPr>
                <w:rFonts w:cstheme="minorHAnsi"/>
                <w:sz w:val="16"/>
                <w:szCs w:val="16"/>
              </w:rPr>
            </w:pPr>
            <w:r w:rsidRPr="00A63466">
              <w:rPr>
                <w:rFonts w:cstheme="minorHAnsi"/>
                <w:sz w:val="16"/>
                <w:szCs w:val="16"/>
              </w:rPr>
              <w:t>Prospective observational</w:t>
            </w:r>
          </w:p>
        </w:tc>
        <w:tc>
          <w:tcPr>
            <w:tcW w:w="698" w:type="dxa"/>
            <w:tcBorders>
              <w:top w:val="single" w:sz="4" w:space="0" w:color="auto"/>
              <w:left w:val="nil"/>
              <w:bottom w:val="nil"/>
              <w:right w:val="nil"/>
            </w:tcBorders>
          </w:tcPr>
          <w:p w14:paraId="6D461AA5" w14:textId="1191DBBE" w:rsidR="00244BA6" w:rsidRPr="00A63466" w:rsidRDefault="007C3926" w:rsidP="00C36689">
            <w:pPr>
              <w:spacing w:line="360" w:lineRule="auto"/>
              <w:jc w:val="both"/>
              <w:rPr>
                <w:rFonts w:cstheme="minorHAnsi"/>
                <w:sz w:val="16"/>
                <w:szCs w:val="16"/>
              </w:rPr>
            </w:pPr>
            <w:r w:rsidRPr="00A63466">
              <w:rPr>
                <w:rFonts w:cstheme="minorHAnsi"/>
                <w:sz w:val="16"/>
                <w:szCs w:val="16"/>
              </w:rPr>
              <w:t>270</w:t>
            </w:r>
          </w:p>
        </w:tc>
        <w:tc>
          <w:tcPr>
            <w:tcW w:w="700" w:type="dxa"/>
            <w:tcBorders>
              <w:top w:val="single" w:sz="4" w:space="0" w:color="auto"/>
              <w:left w:val="nil"/>
              <w:bottom w:val="nil"/>
              <w:right w:val="nil"/>
            </w:tcBorders>
          </w:tcPr>
          <w:p w14:paraId="3579142B" w14:textId="7058B97C" w:rsidR="00244BA6" w:rsidRPr="00A63466" w:rsidRDefault="007C3926" w:rsidP="00C36689">
            <w:pPr>
              <w:spacing w:line="360" w:lineRule="auto"/>
              <w:jc w:val="both"/>
              <w:rPr>
                <w:rFonts w:cstheme="minorHAnsi"/>
                <w:sz w:val="16"/>
                <w:szCs w:val="16"/>
              </w:rPr>
            </w:pPr>
            <w:r w:rsidRPr="00A63466">
              <w:rPr>
                <w:rFonts w:cstheme="minorHAnsi"/>
                <w:sz w:val="16"/>
                <w:szCs w:val="16"/>
              </w:rPr>
              <w:t>97</w:t>
            </w:r>
          </w:p>
        </w:tc>
        <w:tc>
          <w:tcPr>
            <w:tcW w:w="930" w:type="dxa"/>
            <w:tcBorders>
              <w:top w:val="single" w:sz="4" w:space="0" w:color="auto"/>
              <w:left w:val="nil"/>
              <w:bottom w:val="nil"/>
              <w:right w:val="nil"/>
            </w:tcBorders>
          </w:tcPr>
          <w:p w14:paraId="208D51E6" w14:textId="6B101961" w:rsidR="00244BA6" w:rsidRPr="00A63466" w:rsidRDefault="00B81528" w:rsidP="00C36689">
            <w:pPr>
              <w:spacing w:line="360" w:lineRule="auto"/>
              <w:jc w:val="both"/>
              <w:rPr>
                <w:rFonts w:cstheme="minorHAnsi"/>
                <w:sz w:val="16"/>
                <w:szCs w:val="16"/>
              </w:rPr>
            </w:pPr>
            <w:r w:rsidRPr="00A63466">
              <w:rPr>
                <w:rFonts w:cstheme="minorHAnsi"/>
                <w:sz w:val="16"/>
                <w:szCs w:val="16"/>
              </w:rPr>
              <w:t>57.3 ± 16.3</w:t>
            </w:r>
          </w:p>
        </w:tc>
        <w:tc>
          <w:tcPr>
            <w:tcW w:w="825" w:type="dxa"/>
            <w:tcBorders>
              <w:top w:val="single" w:sz="4" w:space="0" w:color="auto"/>
              <w:left w:val="nil"/>
              <w:bottom w:val="nil"/>
              <w:right w:val="single" w:sz="4" w:space="0" w:color="auto"/>
            </w:tcBorders>
          </w:tcPr>
          <w:p w14:paraId="12416135" w14:textId="3AD7AFCD" w:rsidR="00244BA6" w:rsidRPr="00A63466" w:rsidRDefault="00EB297D" w:rsidP="00C36689">
            <w:pPr>
              <w:spacing w:line="360" w:lineRule="auto"/>
              <w:jc w:val="both"/>
              <w:rPr>
                <w:rFonts w:cstheme="minorHAnsi"/>
                <w:sz w:val="16"/>
                <w:szCs w:val="16"/>
              </w:rPr>
            </w:pPr>
            <w:r w:rsidRPr="00A63466">
              <w:rPr>
                <w:rFonts w:cstheme="minorHAnsi"/>
                <w:sz w:val="16"/>
                <w:szCs w:val="16"/>
              </w:rPr>
              <w:t>57% M</w:t>
            </w:r>
          </w:p>
        </w:tc>
      </w:tr>
      <w:tr w:rsidR="008A06DF" w:rsidRPr="00A63466" w14:paraId="1CAAEF44" w14:textId="68C81FDA" w:rsidTr="006A36B7">
        <w:tc>
          <w:tcPr>
            <w:tcW w:w="1985" w:type="dxa"/>
            <w:tcBorders>
              <w:top w:val="nil"/>
              <w:left w:val="single" w:sz="4" w:space="0" w:color="auto"/>
              <w:bottom w:val="nil"/>
              <w:right w:val="nil"/>
            </w:tcBorders>
          </w:tcPr>
          <w:p w14:paraId="182909C9" w14:textId="76DD0EBE" w:rsidR="00244BA6" w:rsidRPr="002B0140" w:rsidRDefault="00244BA6" w:rsidP="00A75F77">
            <w:pPr>
              <w:spacing w:line="360" w:lineRule="auto"/>
              <w:jc w:val="both"/>
              <w:rPr>
                <w:rFonts w:cstheme="minorHAnsi"/>
                <w:b/>
                <w:sz w:val="16"/>
                <w:szCs w:val="16"/>
              </w:rPr>
            </w:pPr>
            <w:r w:rsidRPr="002B0140">
              <w:rPr>
                <w:rFonts w:cstheme="minorHAnsi"/>
                <w:b/>
                <w:sz w:val="16"/>
                <w:szCs w:val="16"/>
              </w:rPr>
              <w:t>Bowman</w:t>
            </w:r>
            <w:r w:rsidR="00E3009B" w:rsidRPr="002B0140">
              <w:rPr>
                <w:rFonts w:cstheme="minorHAnsi"/>
                <w:b/>
                <w:sz w:val="16"/>
                <w:szCs w:val="16"/>
              </w:rPr>
              <w:t xml:space="preserve"> </w:t>
            </w:r>
            <w:r w:rsidR="00A75F77">
              <w:rPr>
                <w:rFonts w:cstheme="minorHAnsi"/>
                <w:b/>
                <w:noProof/>
                <w:sz w:val="16"/>
                <w:szCs w:val="16"/>
              </w:rPr>
              <w:t>[23]</w:t>
            </w:r>
          </w:p>
        </w:tc>
        <w:tc>
          <w:tcPr>
            <w:tcW w:w="541" w:type="dxa"/>
            <w:tcBorders>
              <w:top w:val="nil"/>
              <w:left w:val="nil"/>
              <w:bottom w:val="nil"/>
              <w:right w:val="nil"/>
            </w:tcBorders>
          </w:tcPr>
          <w:p w14:paraId="79692954" w14:textId="4DEAD042" w:rsidR="00244BA6" w:rsidRPr="00A63466" w:rsidRDefault="009107CD" w:rsidP="00C36689">
            <w:pPr>
              <w:spacing w:line="360" w:lineRule="auto"/>
              <w:jc w:val="both"/>
              <w:rPr>
                <w:rFonts w:cstheme="minorHAnsi"/>
                <w:sz w:val="16"/>
                <w:szCs w:val="16"/>
              </w:rPr>
            </w:pPr>
            <w:r w:rsidRPr="00A63466">
              <w:rPr>
                <w:rFonts w:cstheme="minorHAnsi"/>
                <w:sz w:val="16"/>
                <w:szCs w:val="16"/>
              </w:rPr>
              <w:t>1996</w:t>
            </w:r>
          </w:p>
        </w:tc>
        <w:tc>
          <w:tcPr>
            <w:tcW w:w="1034" w:type="dxa"/>
            <w:tcBorders>
              <w:top w:val="nil"/>
              <w:left w:val="nil"/>
              <w:bottom w:val="nil"/>
              <w:right w:val="nil"/>
            </w:tcBorders>
          </w:tcPr>
          <w:p w14:paraId="52636188" w14:textId="50CA9618" w:rsidR="00244BA6" w:rsidRPr="00A63466" w:rsidRDefault="0097370C" w:rsidP="00C36689">
            <w:pPr>
              <w:spacing w:line="360" w:lineRule="auto"/>
              <w:jc w:val="both"/>
              <w:rPr>
                <w:rFonts w:cstheme="minorHAnsi"/>
                <w:sz w:val="16"/>
                <w:szCs w:val="16"/>
              </w:rPr>
            </w:pPr>
            <w:r w:rsidRPr="00A63466">
              <w:rPr>
                <w:rFonts w:cstheme="minorHAnsi"/>
                <w:sz w:val="16"/>
                <w:szCs w:val="16"/>
              </w:rPr>
              <w:t>U.S.A.</w:t>
            </w:r>
          </w:p>
        </w:tc>
        <w:tc>
          <w:tcPr>
            <w:tcW w:w="846" w:type="dxa"/>
            <w:tcBorders>
              <w:top w:val="nil"/>
              <w:left w:val="nil"/>
              <w:bottom w:val="nil"/>
              <w:right w:val="nil"/>
            </w:tcBorders>
          </w:tcPr>
          <w:p w14:paraId="49A170C1" w14:textId="5A8A5C02" w:rsidR="00244BA6" w:rsidRPr="00A63466" w:rsidRDefault="006A37F9" w:rsidP="00C36689">
            <w:pPr>
              <w:spacing w:line="360" w:lineRule="auto"/>
              <w:jc w:val="both"/>
              <w:rPr>
                <w:rFonts w:cstheme="minorHAnsi"/>
                <w:sz w:val="16"/>
                <w:szCs w:val="16"/>
              </w:rPr>
            </w:pPr>
            <w:r w:rsidRPr="00A63466">
              <w:rPr>
                <w:rFonts w:cstheme="minorHAnsi"/>
                <w:sz w:val="16"/>
                <w:szCs w:val="16"/>
              </w:rPr>
              <w:t>English</w:t>
            </w:r>
          </w:p>
        </w:tc>
        <w:tc>
          <w:tcPr>
            <w:tcW w:w="885" w:type="dxa"/>
            <w:tcBorders>
              <w:top w:val="nil"/>
              <w:left w:val="nil"/>
              <w:bottom w:val="nil"/>
              <w:right w:val="nil"/>
            </w:tcBorders>
          </w:tcPr>
          <w:p w14:paraId="516F677E" w14:textId="5CDD049D" w:rsidR="00244BA6" w:rsidRPr="00A63466" w:rsidRDefault="00424D9F" w:rsidP="00844B25">
            <w:pPr>
              <w:spacing w:line="360" w:lineRule="auto"/>
              <w:jc w:val="center"/>
              <w:rPr>
                <w:rFonts w:cstheme="minorHAnsi"/>
                <w:sz w:val="16"/>
                <w:szCs w:val="16"/>
              </w:rPr>
            </w:pPr>
            <w:r w:rsidRPr="00A63466">
              <w:rPr>
                <w:rFonts w:cstheme="minorHAnsi"/>
                <w:sz w:val="16"/>
                <w:szCs w:val="16"/>
              </w:rPr>
              <w:t>4</w:t>
            </w:r>
          </w:p>
        </w:tc>
        <w:tc>
          <w:tcPr>
            <w:tcW w:w="2410" w:type="dxa"/>
            <w:tcBorders>
              <w:top w:val="nil"/>
              <w:left w:val="nil"/>
              <w:bottom w:val="nil"/>
              <w:right w:val="nil"/>
            </w:tcBorders>
          </w:tcPr>
          <w:p w14:paraId="39E21C46" w14:textId="0B49C785" w:rsidR="00244BA6" w:rsidRPr="00A63466" w:rsidRDefault="00A3567D" w:rsidP="00C36689">
            <w:pPr>
              <w:spacing w:line="360" w:lineRule="auto"/>
              <w:jc w:val="both"/>
              <w:rPr>
                <w:rFonts w:cstheme="minorHAnsi"/>
                <w:sz w:val="16"/>
                <w:szCs w:val="16"/>
              </w:rPr>
            </w:pPr>
            <w:r>
              <w:rPr>
                <w:rFonts w:cstheme="minorHAnsi"/>
                <w:sz w:val="16"/>
                <w:szCs w:val="16"/>
              </w:rPr>
              <w:t>GIM wards &amp; ICU</w:t>
            </w:r>
          </w:p>
        </w:tc>
        <w:tc>
          <w:tcPr>
            <w:tcW w:w="2817" w:type="dxa"/>
            <w:tcBorders>
              <w:top w:val="nil"/>
              <w:left w:val="nil"/>
              <w:bottom w:val="nil"/>
              <w:right w:val="nil"/>
            </w:tcBorders>
          </w:tcPr>
          <w:p w14:paraId="3263788E" w14:textId="40003D5A" w:rsidR="00244BA6" w:rsidRPr="00A63466" w:rsidRDefault="002C66D0" w:rsidP="00C36689">
            <w:pPr>
              <w:spacing w:line="360" w:lineRule="auto"/>
              <w:jc w:val="both"/>
              <w:rPr>
                <w:rFonts w:cstheme="minorHAnsi"/>
                <w:sz w:val="16"/>
                <w:szCs w:val="16"/>
              </w:rPr>
            </w:pPr>
            <w:r>
              <w:rPr>
                <w:rFonts w:cstheme="minorHAnsi"/>
                <w:sz w:val="16"/>
                <w:szCs w:val="16"/>
              </w:rPr>
              <w:t xml:space="preserve">Adults </w:t>
            </w:r>
          </w:p>
        </w:tc>
        <w:tc>
          <w:tcPr>
            <w:tcW w:w="2113" w:type="dxa"/>
            <w:tcBorders>
              <w:top w:val="nil"/>
              <w:left w:val="nil"/>
              <w:bottom w:val="nil"/>
              <w:right w:val="nil"/>
            </w:tcBorders>
          </w:tcPr>
          <w:p w14:paraId="2D14B23C" w14:textId="4A0BD36D" w:rsidR="00244BA6" w:rsidRPr="00A63466" w:rsidRDefault="002226CB" w:rsidP="00C36689">
            <w:pPr>
              <w:spacing w:line="360" w:lineRule="auto"/>
              <w:jc w:val="both"/>
              <w:rPr>
                <w:rFonts w:cstheme="minorHAnsi"/>
                <w:sz w:val="16"/>
                <w:szCs w:val="16"/>
              </w:rPr>
            </w:pPr>
            <w:r w:rsidRPr="00A63466">
              <w:rPr>
                <w:rFonts w:cstheme="minorHAnsi"/>
                <w:sz w:val="16"/>
                <w:szCs w:val="16"/>
              </w:rPr>
              <w:t>Post-hoc analysis</w:t>
            </w:r>
          </w:p>
        </w:tc>
        <w:tc>
          <w:tcPr>
            <w:tcW w:w="698" w:type="dxa"/>
            <w:tcBorders>
              <w:top w:val="nil"/>
              <w:left w:val="nil"/>
              <w:bottom w:val="nil"/>
              <w:right w:val="nil"/>
            </w:tcBorders>
          </w:tcPr>
          <w:p w14:paraId="0E0668B0" w14:textId="08B363BA" w:rsidR="00244BA6" w:rsidRPr="00A63466" w:rsidRDefault="007C3926" w:rsidP="00C36689">
            <w:pPr>
              <w:spacing w:line="360" w:lineRule="auto"/>
              <w:jc w:val="both"/>
              <w:rPr>
                <w:rFonts w:cstheme="minorHAnsi"/>
                <w:sz w:val="16"/>
                <w:szCs w:val="16"/>
              </w:rPr>
            </w:pPr>
            <w:r w:rsidRPr="00A63466">
              <w:rPr>
                <w:rFonts w:cstheme="minorHAnsi"/>
                <w:sz w:val="16"/>
                <w:szCs w:val="16"/>
              </w:rPr>
              <w:t>1024</w:t>
            </w:r>
          </w:p>
        </w:tc>
        <w:tc>
          <w:tcPr>
            <w:tcW w:w="700" w:type="dxa"/>
            <w:tcBorders>
              <w:top w:val="nil"/>
              <w:left w:val="nil"/>
              <w:bottom w:val="nil"/>
              <w:right w:val="nil"/>
            </w:tcBorders>
          </w:tcPr>
          <w:p w14:paraId="26EAE6F4" w14:textId="762444FB" w:rsidR="00244BA6" w:rsidRPr="00A63466" w:rsidRDefault="007C3926" w:rsidP="00C36689">
            <w:pPr>
              <w:spacing w:line="360" w:lineRule="auto"/>
              <w:jc w:val="both"/>
              <w:rPr>
                <w:rFonts w:cstheme="minorHAnsi"/>
                <w:sz w:val="16"/>
                <w:szCs w:val="16"/>
              </w:rPr>
            </w:pPr>
            <w:r w:rsidRPr="00A63466">
              <w:rPr>
                <w:rFonts w:cstheme="minorHAnsi"/>
                <w:sz w:val="16"/>
                <w:szCs w:val="16"/>
              </w:rPr>
              <w:t>301</w:t>
            </w:r>
          </w:p>
        </w:tc>
        <w:tc>
          <w:tcPr>
            <w:tcW w:w="930" w:type="dxa"/>
            <w:tcBorders>
              <w:top w:val="nil"/>
              <w:left w:val="nil"/>
              <w:bottom w:val="nil"/>
              <w:right w:val="nil"/>
            </w:tcBorders>
          </w:tcPr>
          <w:p w14:paraId="580C3643" w14:textId="2817347D" w:rsidR="00244BA6" w:rsidRPr="00A63466" w:rsidRDefault="00B81528" w:rsidP="00C36689">
            <w:pPr>
              <w:spacing w:line="360" w:lineRule="auto"/>
              <w:jc w:val="both"/>
              <w:rPr>
                <w:rFonts w:cstheme="minorHAnsi"/>
                <w:sz w:val="16"/>
                <w:szCs w:val="16"/>
              </w:rPr>
            </w:pPr>
            <w:r w:rsidRPr="00A63466">
              <w:rPr>
                <w:rFonts w:cstheme="minorHAnsi"/>
                <w:sz w:val="16"/>
                <w:szCs w:val="16"/>
              </w:rPr>
              <w:t>54 ± 18</w:t>
            </w:r>
          </w:p>
        </w:tc>
        <w:tc>
          <w:tcPr>
            <w:tcW w:w="825" w:type="dxa"/>
            <w:tcBorders>
              <w:top w:val="nil"/>
              <w:left w:val="nil"/>
              <w:bottom w:val="nil"/>
              <w:right w:val="single" w:sz="4" w:space="0" w:color="auto"/>
            </w:tcBorders>
          </w:tcPr>
          <w:p w14:paraId="607AD49F" w14:textId="44C01BA2" w:rsidR="00244BA6" w:rsidRPr="00A63466" w:rsidRDefault="00070346" w:rsidP="00C36689">
            <w:pPr>
              <w:spacing w:line="360" w:lineRule="auto"/>
              <w:jc w:val="both"/>
              <w:rPr>
                <w:rFonts w:cstheme="minorHAnsi"/>
                <w:sz w:val="16"/>
                <w:szCs w:val="16"/>
              </w:rPr>
            </w:pPr>
            <w:r>
              <w:rPr>
                <w:rFonts w:cstheme="minorHAnsi"/>
                <w:sz w:val="16"/>
                <w:szCs w:val="16"/>
              </w:rPr>
              <w:t>-</w:t>
            </w:r>
          </w:p>
        </w:tc>
      </w:tr>
      <w:tr w:rsidR="008A06DF" w:rsidRPr="00A63466" w14:paraId="16919F03" w14:textId="1A59CDD8" w:rsidTr="006A36B7">
        <w:tc>
          <w:tcPr>
            <w:tcW w:w="1985" w:type="dxa"/>
            <w:tcBorders>
              <w:top w:val="nil"/>
              <w:left w:val="single" w:sz="4" w:space="0" w:color="auto"/>
              <w:bottom w:val="nil"/>
              <w:right w:val="nil"/>
            </w:tcBorders>
          </w:tcPr>
          <w:p w14:paraId="64A9C843" w14:textId="7E785315" w:rsidR="00244BA6" w:rsidRPr="002B0140" w:rsidRDefault="00244BA6" w:rsidP="00080710">
            <w:pPr>
              <w:spacing w:line="360" w:lineRule="auto"/>
              <w:jc w:val="both"/>
              <w:rPr>
                <w:rFonts w:cstheme="minorHAnsi"/>
                <w:b/>
                <w:sz w:val="16"/>
                <w:szCs w:val="16"/>
              </w:rPr>
            </w:pPr>
            <w:r w:rsidRPr="002B0140">
              <w:rPr>
                <w:rFonts w:cstheme="minorHAnsi"/>
                <w:b/>
                <w:sz w:val="16"/>
                <w:szCs w:val="16"/>
              </w:rPr>
              <w:t>Caldron-Ospina</w:t>
            </w:r>
            <w:r w:rsidR="00E3009B" w:rsidRPr="002B0140">
              <w:rPr>
                <w:rFonts w:cstheme="minorHAnsi"/>
                <w:b/>
                <w:sz w:val="16"/>
                <w:szCs w:val="16"/>
              </w:rPr>
              <w:t xml:space="preserve"> </w:t>
            </w:r>
            <w:r w:rsidR="00A75F77">
              <w:rPr>
                <w:rFonts w:cstheme="minorHAnsi"/>
                <w:b/>
                <w:noProof/>
                <w:sz w:val="16"/>
                <w:szCs w:val="16"/>
              </w:rPr>
              <w:t>[24]</w:t>
            </w:r>
          </w:p>
        </w:tc>
        <w:tc>
          <w:tcPr>
            <w:tcW w:w="541" w:type="dxa"/>
            <w:tcBorders>
              <w:top w:val="nil"/>
              <w:left w:val="nil"/>
              <w:bottom w:val="nil"/>
              <w:right w:val="nil"/>
            </w:tcBorders>
          </w:tcPr>
          <w:p w14:paraId="607493E5" w14:textId="5DA10463" w:rsidR="00244BA6" w:rsidRPr="00A63466" w:rsidRDefault="009107CD" w:rsidP="00C36689">
            <w:pPr>
              <w:spacing w:line="360" w:lineRule="auto"/>
              <w:jc w:val="both"/>
              <w:rPr>
                <w:rFonts w:cstheme="minorHAnsi"/>
                <w:sz w:val="16"/>
                <w:szCs w:val="16"/>
              </w:rPr>
            </w:pPr>
            <w:r w:rsidRPr="00A63466">
              <w:rPr>
                <w:rFonts w:cstheme="minorHAnsi"/>
                <w:sz w:val="16"/>
                <w:szCs w:val="16"/>
              </w:rPr>
              <w:t>2010</w:t>
            </w:r>
          </w:p>
        </w:tc>
        <w:tc>
          <w:tcPr>
            <w:tcW w:w="1034" w:type="dxa"/>
            <w:tcBorders>
              <w:top w:val="nil"/>
              <w:left w:val="nil"/>
              <w:bottom w:val="nil"/>
              <w:right w:val="nil"/>
            </w:tcBorders>
          </w:tcPr>
          <w:p w14:paraId="735AA50F" w14:textId="7F98AA5F" w:rsidR="00244BA6" w:rsidRPr="00A63466" w:rsidRDefault="0097370C" w:rsidP="00C36689">
            <w:pPr>
              <w:spacing w:line="360" w:lineRule="auto"/>
              <w:jc w:val="both"/>
              <w:rPr>
                <w:rFonts w:cstheme="minorHAnsi"/>
                <w:sz w:val="16"/>
                <w:szCs w:val="16"/>
              </w:rPr>
            </w:pPr>
            <w:r w:rsidRPr="00A63466">
              <w:rPr>
                <w:rFonts w:cstheme="minorHAnsi"/>
                <w:sz w:val="16"/>
                <w:szCs w:val="16"/>
              </w:rPr>
              <w:t>Colombia</w:t>
            </w:r>
          </w:p>
        </w:tc>
        <w:tc>
          <w:tcPr>
            <w:tcW w:w="846" w:type="dxa"/>
            <w:tcBorders>
              <w:top w:val="nil"/>
              <w:left w:val="nil"/>
              <w:bottom w:val="nil"/>
              <w:right w:val="nil"/>
            </w:tcBorders>
          </w:tcPr>
          <w:p w14:paraId="777B2DBA" w14:textId="66F198C1" w:rsidR="00244BA6" w:rsidRPr="00A63466" w:rsidRDefault="006A37F9" w:rsidP="00C36689">
            <w:pPr>
              <w:spacing w:line="360" w:lineRule="auto"/>
              <w:jc w:val="both"/>
              <w:rPr>
                <w:rFonts w:cstheme="minorHAnsi"/>
                <w:sz w:val="16"/>
                <w:szCs w:val="16"/>
              </w:rPr>
            </w:pPr>
            <w:r w:rsidRPr="00A63466">
              <w:rPr>
                <w:rFonts w:cstheme="minorHAnsi"/>
                <w:sz w:val="16"/>
                <w:szCs w:val="16"/>
              </w:rPr>
              <w:t>English</w:t>
            </w:r>
          </w:p>
        </w:tc>
        <w:tc>
          <w:tcPr>
            <w:tcW w:w="885" w:type="dxa"/>
            <w:tcBorders>
              <w:top w:val="nil"/>
              <w:left w:val="nil"/>
              <w:bottom w:val="nil"/>
              <w:right w:val="nil"/>
            </w:tcBorders>
          </w:tcPr>
          <w:p w14:paraId="4B962D62" w14:textId="2606DFE4" w:rsidR="00244BA6" w:rsidRPr="00A63466" w:rsidRDefault="00D03ECE" w:rsidP="00844B25">
            <w:pPr>
              <w:spacing w:line="360" w:lineRule="auto"/>
              <w:jc w:val="center"/>
              <w:rPr>
                <w:rFonts w:cstheme="minorHAnsi"/>
                <w:sz w:val="16"/>
                <w:szCs w:val="16"/>
              </w:rPr>
            </w:pPr>
            <w:r w:rsidRPr="00A63466">
              <w:rPr>
                <w:rFonts w:cstheme="minorHAnsi"/>
                <w:sz w:val="16"/>
                <w:szCs w:val="16"/>
              </w:rPr>
              <w:t>1</w:t>
            </w:r>
          </w:p>
        </w:tc>
        <w:tc>
          <w:tcPr>
            <w:tcW w:w="2410" w:type="dxa"/>
            <w:tcBorders>
              <w:top w:val="nil"/>
              <w:left w:val="nil"/>
              <w:bottom w:val="nil"/>
              <w:right w:val="nil"/>
            </w:tcBorders>
          </w:tcPr>
          <w:p w14:paraId="5B57E955" w14:textId="7A9084CB" w:rsidR="00244BA6" w:rsidRPr="00A63466" w:rsidRDefault="00845750" w:rsidP="00A3567D">
            <w:pPr>
              <w:spacing w:line="360" w:lineRule="auto"/>
              <w:ind w:right="-672"/>
              <w:jc w:val="both"/>
              <w:rPr>
                <w:rFonts w:cstheme="minorHAnsi"/>
                <w:sz w:val="16"/>
                <w:szCs w:val="16"/>
              </w:rPr>
            </w:pPr>
            <w:r>
              <w:rPr>
                <w:rFonts w:cstheme="minorHAnsi"/>
                <w:sz w:val="16"/>
                <w:szCs w:val="16"/>
              </w:rPr>
              <w:t>UH</w:t>
            </w:r>
          </w:p>
        </w:tc>
        <w:tc>
          <w:tcPr>
            <w:tcW w:w="2817" w:type="dxa"/>
            <w:tcBorders>
              <w:top w:val="nil"/>
              <w:left w:val="nil"/>
              <w:bottom w:val="nil"/>
              <w:right w:val="nil"/>
            </w:tcBorders>
          </w:tcPr>
          <w:p w14:paraId="569F4ED3" w14:textId="66BFE6C4" w:rsidR="00244BA6" w:rsidRPr="00A63466" w:rsidRDefault="00A3567D" w:rsidP="00C36689">
            <w:pPr>
              <w:spacing w:line="360" w:lineRule="auto"/>
              <w:jc w:val="both"/>
              <w:rPr>
                <w:rFonts w:cstheme="minorHAnsi"/>
                <w:sz w:val="16"/>
                <w:szCs w:val="16"/>
              </w:rPr>
            </w:pPr>
            <w:r>
              <w:rPr>
                <w:rFonts w:cstheme="minorHAnsi"/>
                <w:sz w:val="16"/>
                <w:szCs w:val="16"/>
              </w:rPr>
              <w:t xml:space="preserve">Adults </w:t>
            </w:r>
          </w:p>
        </w:tc>
        <w:tc>
          <w:tcPr>
            <w:tcW w:w="2113" w:type="dxa"/>
            <w:tcBorders>
              <w:top w:val="nil"/>
              <w:left w:val="nil"/>
              <w:bottom w:val="nil"/>
              <w:right w:val="nil"/>
            </w:tcBorders>
          </w:tcPr>
          <w:p w14:paraId="389FD28A" w14:textId="42BADEE7" w:rsidR="00244BA6" w:rsidRPr="00A63466" w:rsidRDefault="002226CB" w:rsidP="00C36689">
            <w:pPr>
              <w:spacing w:line="360" w:lineRule="auto"/>
              <w:jc w:val="both"/>
              <w:rPr>
                <w:rFonts w:cstheme="minorHAnsi"/>
                <w:sz w:val="16"/>
                <w:szCs w:val="16"/>
              </w:rPr>
            </w:pPr>
            <w:r w:rsidRPr="00A63466">
              <w:rPr>
                <w:rFonts w:cstheme="minorHAnsi"/>
                <w:sz w:val="16"/>
                <w:szCs w:val="16"/>
              </w:rPr>
              <w:t>Prospective observational</w:t>
            </w:r>
          </w:p>
        </w:tc>
        <w:tc>
          <w:tcPr>
            <w:tcW w:w="698" w:type="dxa"/>
            <w:tcBorders>
              <w:top w:val="nil"/>
              <w:left w:val="nil"/>
              <w:bottom w:val="nil"/>
              <w:right w:val="nil"/>
            </w:tcBorders>
          </w:tcPr>
          <w:p w14:paraId="665CC276" w14:textId="2461EF9E" w:rsidR="00244BA6" w:rsidRPr="00A63466" w:rsidRDefault="007C3926" w:rsidP="00C36689">
            <w:pPr>
              <w:spacing w:line="360" w:lineRule="auto"/>
              <w:jc w:val="both"/>
              <w:rPr>
                <w:rFonts w:cstheme="minorHAnsi"/>
                <w:sz w:val="16"/>
                <w:szCs w:val="16"/>
              </w:rPr>
            </w:pPr>
            <w:r w:rsidRPr="00A63466">
              <w:rPr>
                <w:rFonts w:cstheme="minorHAnsi"/>
                <w:sz w:val="16"/>
                <w:szCs w:val="16"/>
              </w:rPr>
              <w:t>104</w:t>
            </w:r>
          </w:p>
        </w:tc>
        <w:tc>
          <w:tcPr>
            <w:tcW w:w="700" w:type="dxa"/>
            <w:tcBorders>
              <w:top w:val="nil"/>
              <w:left w:val="nil"/>
              <w:bottom w:val="nil"/>
              <w:right w:val="nil"/>
            </w:tcBorders>
          </w:tcPr>
          <w:p w14:paraId="0F9D09E7" w14:textId="5BF49275" w:rsidR="00244BA6" w:rsidRPr="00A63466" w:rsidRDefault="007C3926" w:rsidP="00C36689">
            <w:pPr>
              <w:spacing w:line="360" w:lineRule="auto"/>
              <w:jc w:val="both"/>
              <w:rPr>
                <w:rFonts w:cstheme="minorHAnsi"/>
                <w:sz w:val="16"/>
                <w:szCs w:val="16"/>
              </w:rPr>
            </w:pPr>
            <w:r w:rsidRPr="00A63466">
              <w:rPr>
                <w:rFonts w:cstheme="minorHAnsi"/>
                <w:sz w:val="16"/>
                <w:szCs w:val="16"/>
              </w:rPr>
              <w:t>48</w:t>
            </w:r>
          </w:p>
        </w:tc>
        <w:tc>
          <w:tcPr>
            <w:tcW w:w="930" w:type="dxa"/>
            <w:tcBorders>
              <w:top w:val="nil"/>
              <w:left w:val="nil"/>
              <w:bottom w:val="nil"/>
              <w:right w:val="nil"/>
            </w:tcBorders>
          </w:tcPr>
          <w:p w14:paraId="58B58D4A" w14:textId="5807FDAF" w:rsidR="00244BA6" w:rsidRPr="00A63466" w:rsidRDefault="00070346" w:rsidP="00C36689">
            <w:pPr>
              <w:spacing w:line="360" w:lineRule="auto"/>
              <w:jc w:val="both"/>
              <w:rPr>
                <w:rFonts w:cstheme="minorHAnsi"/>
                <w:sz w:val="16"/>
                <w:szCs w:val="16"/>
              </w:rPr>
            </w:pPr>
            <w:r>
              <w:rPr>
                <w:rFonts w:cstheme="minorHAnsi"/>
                <w:sz w:val="16"/>
                <w:szCs w:val="16"/>
              </w:rPr>
              <w:t>-</w:t>
            </w:r>
          </w:p>
        </w:tc>
        <w:tc>
          <w:tcPr>
            <w:tcW w:w="825" w:type="dxa"/>
            <w:tcBorders>
              <w:top w:val="nil"/>
              <w:left w:val="nil"/>
              <w:bottom w:val="nil"/>
              <w:right w:val="single" w:sz="4" w:space="0" w:color="auto"/>
            </w:tcBorders>
          </w:tcPr>
          <w:p w14:paraId="023A930A" w14:textId="5168FBFC" w:rsidR="00244BA6" w:rsidRPr="00A63466" w:rsidRDefault="00EB297D" w:rsidP="00C36689">
            <w:pPr>
              <w:spacing w:line="360" w:lineRule="auto"/>
              <w:jc w:val="both"/>
              <w:rPr>
                <w:rFonts w:cstheme="minorHAnsi"/>
                <w:sz w:val="16"/>
                <w:szCs w:val="16"/>
              </w:rPr>
            </w:pPr>
            <w:r w:rsidRPr="00A63466">
              <w:rPr>
                <w:rFonts w:cstheme="minorHAnsi"/>
                <w:sz w:val="16"/>
                <w:szCs w:val="16"/>
              </w:rPr>
              <w:t>54% M</w:t>
            </w:r>
          </w:p>
        </w:tc>
      </w:tr>
      <w:tr w:rsidR="00151D8C" w:rsidRPr="00A63466" w14:paraId="168AEAE7" w14:textId="77777777" w:rsidTr="006A36B7">
        <w:tc>
          <w:tcPr>
            <w:tcW w:w="1985" w:type="dxa"/>
            <w:tcBorders>
              <w:top w:val="nil"/>
              <w:left w:val="single" w:sz="4" w:space="0" w:color="auto"/>
              <w:bottom w:val="nil"/>
              <w:right w:val="nil"/>
            </w:tcBorders>
          </w:tcPr>
          <w:p w14:paraId="321EBEE6" w14:textId="3FE1E429" w:rsidR="00151D8C" w:rsidRPr="002B0140" w:rsidRDefault="00151D8C" w:rsidP="00151D8C">
            <w:pPr>
              <w:spacing w:line="360" w:lineRule="auto"/>
              <w:jc w:val="both"/>
              <w:rPr>
                <w:rFonts w:cstheme="minorHAnsi"/>
                <w:b/>
                <w:sz w:val="16"/>
                <w:szCs w:val="16"/>
              </w:rPr>
            </w:pPr>
            <w:r>
              <w:rPr>
                <w:rFonts w:cstheme="minorHAnsi"/>
                <w:b/>
                <w:sz w:val="16"/>
                <w:szCs w:val="16"/>
              </w:rPr>
              <w:t xml:space="preserve">Cheong </w:t>
            </w:r>
            <w:commentRangeStart w:id="10"/>
            <w:r>
              <w:rPr>
                <w:rFonts w:cstheme="minorHAnsi"/>
                <w:b/>
                <w:noProof/>
                <w:sz w:val="16"/>
                <w:szCs w:val="16"/>
              </w:rPr>
              <w:t>[25, 26]</w:t>
            </w:r>
            <w:commentRangeEnd w:id="10"/>
            <w:r w:rsidR="006A36B7">
              <w:rPr>
                <w:rStyle w:val="CommentReference"/>
              </w:rPr>
              <w:commentReference w:id="10"/>
            </w:r>
          </w:p>
        </w:tc>
        <w:tc>
          <w:tcPr>
            <w:tcW w:w="541" w:type="dxa"/>
            <w:tcBorders>
              <w:top w:val="nil"/>
              <w:left w:val="nil"/>
              <w:bottom w:val="nil"/>
              <w:right w:val="nil"/>
            </w:tcBorders>
          </w:tcPr>
          <w:p w14:paraId="608E43C3" w14:textId="4F1E0A40" w:rsidR="00151D8C" w:rsidRPr="00A63466" w:rsidRDefault="00151D8C" w:rsidP="00C36689">
            <w:pPr>
              <w:spacing w:line="360" w:lineRule="auto"/>
              <w:jc w:val="both"/>
              <w:rPr>
                <w:rFonts w:cstheme="minorHAnsi"/>
                <w:sz w:val="16"/>
                <w:szCs w:val="16"/>
              </w:rPr>
            </w:pPr>
            <w:r>
              <w:rPr>
                <w:rFonts w:cstheme="minorHAnsi"/>
                <w:sz w:val="16"/>
                <w:szCs w:val="16"/>
              </w:rPr>
              <w:t>2018</w:t>
            </w:r>
          </w:p>
        </w:tc>
        <w:tc>
          <w:tcPr>
            <w:tcW w:w="1034" w:type="dxa"/>
            <w:tcBorders>
              <w:top w:val="nil"/>
              <w:left w:val="nil"/>
              <w:bottom w:val="nil"/>
              <w:right w:val="nil"/>
            </w:tcBorders>
          </w:tcPr>
          <w:p w14:paraId="4CCA713F" w14:textId="2633EF63" w:rsidR="00151D8C" w:rsidRPr="00A63466" w:rsidRDefault="00BC23A5" w:rsidP="00C36689">
            <w:pPr>
              <w:spacing w:line="360" w:lineRule="auto"/>
              <w:jc w:val="both"/>
              <w:rPr>
                <w:rFonts w:cstheme="minorHAnsi"/>
                <w:sz w:val="16"/>
                <w:szCs w:val="16"/>
              </w:rPr>
            </w:pPr>
            <w:r>
              <w:rPr>
                <w:rFonts w:cstheme="minorHAnsi"/>
                <w:sz w:val="16"/>
                <w:szCs w:val="16"/>
              </w:rPr>
              <w:t>Singapore</w:t>
            </w:r>
          </w:p>
        </w:tc>
        <w:tc>
          <w:tcPr>
            <w:tcW w:w="846" w:type="dxa"/>
            <w:tcBorders>
              <w:top w:val="nil"/>
              <w:left w:val="nil"/>
              <w:bottom w:val="nil"/>
              <w:right w:val="nil"/>
            </w:tcBorders>
          </w:tcPr>
          <w:p w14:paraId="0D675CD3" w14:textId="59D40BD7" w:rsidR="00151D8C" w:rsidRPr="00A63466" w:rsidRDefault="00BC23A5" w:rsidP="00C36689">
            <w:pPr>
              <w:spacing w:line="360" w:lineRule="auto"/>
              <w:jc w:val="both"/>
              <w:rPr>
                <w:rFonts w:cstheme="minorHAnsi"/>
                <w:sz w:val="16"/>
                <w:szCs w:val="16"/>
              </w:rPr>
            </w:pPr>
            <w:r>
              <w:rPr>
                <w:rFonts w:cstheme="minorHAnsi"/>
                <w:sz w:val="16"/>
                <w:szCs w:val="16"/>
              </w:rPr>
              <w:t>English</w:t>
            </w:r>
          </w:p>
        </w:tc>
        <w:tc>
          <w:tcPr>
            <w:tcW w:w="885" w:type="dxa"/>
            <w:tcBorders>
              <w:top w:val="nil"/>
              <w:left w:val="nil"/>
              <w:bottom w:val="nil"/>
              <w:right w:val="nil"/>
            </w:tcBorders>
          </w:tcPr>
          <w:p w14:paraId="5160C372" w14:textId="16B3CD9D" w:rsidR="00151D8C" w:rsidRPr="00A63466" w:rsidRDefault="00BC23A5" w:rsidP="00844B25">
            <w:pPr>
              <w:spacing w:line="360" w:lineRule="auto"/>
              <w:jc w:val="center"/>
              <w:rPr>
                <w:rFonts w:cstheme="minorHAnsi"/>
                <w:sz w:val="16"/>
                <w:szCs w:val="16"/>
              </w:rPr>
            </w:pPr>
            <w:r>
              <w:rPr>
                <w:rFonts w:cstheme="minorHAnsi"/>
                <w:sz w:val="16"/>
                <w:szCs w:val="16"/>
              </w:rPr>
              <w:t>1</w:t>
            </w:r>
          </w:p>
        </w:tc>
        <w:tc>
          <w:tcPr>
            <w:tcW w:w="2410" w:type="dxa"/>
            <w:tcBorders>
              <w:top w:val="nil"/>
              <w:left w:val="nil"/>
              <w:bottom w:val="nil"/>
              <w:right w:val="nil"/>
            </w:tcBorders>
          </w:tcPr>
          <w:p w14:paraId="0836E07B" w14:textId="77777777" w:rsidR="00151D8C" w:rsidRDefault="00151D8C" w:rsidP="00A3567D">
            <w:pPr>
              <w:spacing w:line="360" w:lineRule="auto"/>
              <w:ind w:right="-672"/>
              <w:jc w:val="both"/>
              <w:rPr>
                <w:rFonts w:cstheme="minorHAnsi"/>
                <w:sz w:val="16"/>
                <w:szCs w:val="16"/>
              </w:rPr>
            </w:pPr>
          </w:p>
        </w:tc>
        <w:tc>
          <w:tcPr>
            <w:tcW w:w="2817" w:type="dxa"/>
            <w:tcBorders>
              <w:top w:val="nil"/>
              <w:left w:val="nil"/>
              <w:bottom w:val="nil"/>
              <w:right w:val="nil"/>
            </w:tcBorders>
          </w:tcPr>
          <w:p w14:paraId="3C4E9006" w14:textId="77777777" w:rsidR="00151D8C" w:rsidRDefault="00151D8C" w:rsidP="00C36689">
            <w:pPr>
              <w:spacing w:line="360" w:lineRule="auto"/>
              <w:jc w:val="both"/>
              <w:rPr>
                <w:rFonts w:cstheme="minorHAnsi"/>
                <w:sz w:val="16"/>
                <w:szCs w:val="16"/>
              </w:rPr>
            </w:pPr>
          </w:p>
        </w:tc>
        <w:tc>
          <w:tcPr>
            <w:tcW w:w="2113" w:type="dxa"/>
            <w:tcBorders>
              <w:top w:val="nil"/>
              <w:left w:val="nil"/>
              <w:bottom w:val="nil"/>
              <w:right w:val="nil"/>
            </w:tcBorders>
          </w:tcPr>
          <w:p w14:paraId="2CF7F8A4" w14:textId="121B29C5" w:rsidR="00151D8C" w:rsidRPr="00A63466" w:rsidRDefault="006A36B7" w:rsidP="00C36689">
            <w:pPr>
              <w:spacing w:line="360" w:lineRule="auto"/>
              <w:jc w:val="both"/>
              <w:rPr>
                <w:rFonts w:cstheme="minorHAnsi"/>
                <w:sz w:val="16"/>
                <w:szCs w:val="16"/>
              </w:rPr>
            </w:pPr>
            <w:r>
              <w:rPr>
                <w:rFonts w:cstheme="minorHAnsi"/>
                <w:sz w:val="16"/>
                <w:szCs w:val="16"/>
              </w:rPr>
              <w:t>Retrospective observational</w:t>
            </w:r>
          </w:p>
        </w:tc>
        <w:tc>
          <w:tcPr>
            <w:tcW w:w="698" w:type="dxa"/>
            <w:tcBorders>
              <w:top w:val="nil"/>
              <w:left w:val="nil"/>
              <w:bottom w:val="nil"/>
              <w:right w:val="nil"/>
            </w:tcBorders>
          </w:tcPr>
          <w:p w14:paraId="400A89D7" w14:textId="77777777" w:rsidR="00151D8C" w:rsidRPr="00A63466" w:rsidRDefault="00151D8C" w:rsidP="00C36689">
            <w:pPr>
              <w:spacing w:line="360" w:lineRule="auto"/>
              <w:jc w:val="both"/>
              <w:rPr>
                <w:rFonts w:cstheme="minorHAnsi"/>
                <w:sz w:val="16"/>
                <w:szCs w:val="16"/>
              </w:rPr>
            </w:pPr>
          </w:p>
        </w:tc>
        <w:tc>
          <w:tcPr>
            <w:tcW w:w="700" w:type="dxa"/>
            <w:tcBorders>
              <w:top w:val="nil"/>
              <w:left w:val="nil"/>
              <w:bottom w:val="nil"/>
              <w:right w:val="nil"/>
            </w:tcBorders>
          </w:tcPr>
          <w:p w14:paraId="6F56C3E9" w14:textId="77777777" w:rsidR="00151D8C" w:rsidRPr="00A63466" w:rsidRDefault="00151D8C" w:rsidP="00C36689">
            <w:pPr>
              <w:spacing w:line="360" w:lineRule="auto"/>
              <w:jc w:val="both"/>
              <w:rPr>
                <w:rFonts w:cstheme="minorHAnsi"/>
                <w:sz w:val="16"/>
                <w:szCs w:val="16"/>
              </w:rPr>
            </w:pPr>
          </w:p>
        </w:tc>
        <w:tc>
          <w:tcPr>
            <w:tcW w:w="930" w:type="dxa"/>
            <w:tcBorders>
              <w:top w:val="nil"/>
              <w:left w:val="nil"/>
              <w:bottom w:val="nil"/>
              <w:right w:val="nil"/>
            </w:tcBorders>
          </w:tcPr>
          <w:p w14:paraId="6EA6B46F" w14:textId="77777777" w:rsidR="00151D8C" w:rsidRDefault="00151D8C" w:rsidP="00C36689">
            <w:pPr>
              <w:spacing w:line="360" w:lineRule="auto"/>
              <w:jc w:val="both"/>
              <w:rPr>
                <w:rFonts w:cstheme="minorHAnsi"/>
                <w:sz w:val="16"/>
                <w:szCs w:val="16"/>
              </w:rPr>
            </w:pPr>
          </w:p>
        </w:tc>
        <w:tc>
          <w:tcPr>
            <w:tcW w:w="825" w:type="dxa"/>
            <w:tcBorders>
              <w:top w:val="nil"/>
              <w:left w:val="nil"/>
              <w:bottom w:val="nil"/>
              <w:right w:val="single" w:sz="4" w:space="0" w:color="auto"/>
            </w:tcBorders>
          </w:tcPr>
          <w:p w14:paraId="0C64EAA8" w14:textId="77777777" w:rsidR="00151D8C" w:rsidRPr="00A63466" w:rsidRDefault="00151D8C" w:rsidP="00C36689">
            <w:pPr>
              <w:spacing w:line="360" w:lineRule="auto"/>
              <w:jc w:val="both"/>
              <w:rPr>
                <w:rFonts w:cstheme="minorHAnsi"/>
                <w:sz w:val="16"/>
                <w:szCs w:val="16"/>
              </w:rPr>
            </w:pPr>
          </w:p>
        </w:tc>
      </w:tr>
      <w:tr w:rsidR="008A06DF" w:rsidRPr="00A63466" w14:paraId="7F0DE660" w14:textId="5F86EF3A" w:rsidTr="006A36B7">
        <w:tc>
          <w:tcPr>
            <w:tcW w:w="1985" w:type="dxa"/>
            <w:tcBorders>
              <w:top w:val="nil"/>
              <w:left w:val="single" w:sz="4" w:space="0" w:color="auto"/>
              <w:bottom w:val="nil"/>
              <w:right w:val="nil"/>
            </w:tcBorders>
          </w:tcPr>
          <w:p w14:paraId="6B8E037D" w14:textId="29FA0222" w:rsidR="00244BA6" w:rsidRPr="002B0140" w:rsidRDefault="00244BA6" w:rsidP="00BC6FDE">
            <w:pPr>
              <w:spacing w:line="360" w:lineRule="auto"/>
              <w:jc w:val="both"/>
              <w:rPr>
                <w:rFonts w:cstheme="minorHAnsi"/>
                <w:b/>
                <w:sz w:val="16"/>
                <w:szCs w:val="16"/>
              </w:rPr>
            </w:pPr>
            <w:r w:rsidRPr="002B0140">
              <w:rPr>
                <w:rFonts w:cstheme="minorHAnsi"/>
                <w:b/>
                <w:sz w:val="16"/>
                <w:szCs w:val="16"/>
              </w:rPr>
              <w:t>Conforti</w:t>
            </w:r>
            <w:r w:rsidR="00E3009B" w:rsidRPr="002B0140">
              <w:rPr>
                <w:rFonts w:cstheme="minorHAnsi"/>
                <w:b/>
                <w:sz w:val="16"/>
                <w:szCs w:val="16"/>
              </w:rPr>
              <w:t xml:space="preserve"> </w:t>
            </w:r>
            <w:r w:rsidR="00BC6FDE">
              <w:rPr>
                <w:rFonts w:cstheme="minorHAnsi"/>
                <w:b/>
                <w:noProof/>
                <w:sz w:val="16"/>
                <w:szCs w:val="16"/>
              </w:rPr>
              <w:t>[49]</w:t>
            </w:r>
          </w:p>
        </w:tc>
        <w:tc>
          <w:tcPr>
            <w:tcW w:w="541" w:type="dxa"/>
            <w:tcBorders>
              <w:top w:val="nil"/>
              <w:left w:val="nil"/>
              <w:bottom w:val="nil"/>
              <w:right w:val="nil"/>
            </w:tcBorders>
          </w:tcPr>
          <w:p w14:paraId="4228C49A" w14:textId="67BB6F5D" w:rsidR="00244BA6" w:rsidRPr="00A63466" w:rsidRDefault="009107CD" w:rsidP="00C36689">
            <w:pPr>
              <w:spacing w:line="360" w:lineRule="auto"/>
              <w:jc w:val="both"/>
              <w:rPr>
                <w:rFonts w:cstheme="minorHAnsi"/>
                <w:sz w:val="16"/>
                <w:szCs w:val="16"/>
              </w:rPr>
            </w:pPr>
            <w:r w:rsidRPr="00A63466">
              <w:rPr>
                <w:rFonts w:cstheme="minorHAnsi"/>
                <w:sz w:val="16"/>
                <w:szCs w:val="16"/>
              </w:rPr>
              <w:t>2012</w:t>
            </w:r>
          </w:p>
        </w:tc>
        <w:tc>
          <w:tcPr>
            <w:tcW w:w="1034" w:type="dxa"/>
            <w:tcBorders>
              <w:top w:val="nil"/>
              <w:left w:val="nil"/>
              <w:bottom w:val="nil"/>
              <w:right w:val="nil"/>
            </w:tcBorders>
          </w:tcPr>
          <w:p w14:paraId="310B1AE4" w14:textId="7694C0EC" w:rsidR="00244BA6" w:rsidRPr="00A63466" w:rsidRDefault="0097370C" w:rsidP="00C36689">
            <w:pPr>
              <w:spacing w:line="360" w:lineRule="auto"/>
              <w:jc w:val="both"/>
              <w:rPr>
                <w:rFonts w:cstheme="minorHAnsi"/>
                <w:sz w:val="16"/>
                <w:szCs w:val="16"/>
              </w:rPr>
            </w:pPr>
            <w:r w:rsidRPr="00A63466">
              <w:rPr>
                <w:rFonts w:cstheme="minorHAnsi"/>
                <w:sz w:val="16"/>
                <w:szCs w:val="16"/>
              </w:rPr>
              <w:t>Italy</w:t>
            </w:r>
          </w:p>
        </w:tc>
        <w:tc>
          <w:tcPr>
            <w:tcW w:w="846" w:type="dxa"/>
            <w:tcBorders>
              <w:top w:val="nil"/>
              <w:left w:val="nil"/>
              <w:bottom w:val="nil"/>
              <w:right w:val="nil"/>
            </w:tcBorders>
          </w:tcPr>
          <w:p w14:paraId="12137998" w14:textId="576D8F92" w:rsidR="00244BA6" w:rsidRPr="00A63466" w:rsidRDefault="006A37F9" w:rsidP="00C36689">
            <w:pPr>
              <w:spacing w:line="360" w:lineRule="auto"/>
              <w:jc w:val="both"/>
              <w:rPr>
                <w:rFonts w:cstheme="minorHAnsi"/>
                <w:sz w:val="16"/>
                <w:szCs w:val="16"/>
              </w:rPr>
            </w:pPr>
            <w:r w:rsidRPr="00A63466">
              <w:rPr>
                <w:rFonts w:cstheme="minorHAnsi"/>
                <w:sz w:val="16"/>
                <w:szCs w:val="16"/>
              </w:rPr>
              <w:t>English</w:t>
            </w:r>
          </w:p>
        </w:tc>
        <w:tc>
          <w:tcPr>
            <w:tcW w:w="885" w:type="dxa"/>
            <w:tcBorders>
              <w:top w:val="nil"/>
              <w:left w:val="nil"/>
              <w:bottom w:val="nil"/>
              <w:right w:val="nil"/>
            </w:tcBorders>
          </w:tcPr>
          <w:p w14:paraId="102C6AC1" w14:textId="70C7F409" w:rsidR="00244BA6" w:rsidRPr="00A63466" w:rsidRDefault="00D03ECE" w:rsidP="00844B25">
            <w:pPr>
              <w:spacing w:line="360" w:lineRule="auto"/>
              <w:jc w:val="center"/>
              <w:rPr>
                <w:rFonts w:cstheme="minorHAnsi"/>
                <w:sz w:val="16"/>
                <w:szCs w:val="16"/>
              </w:rPr>
            </w:pPr>
            <w:r w:rsidRPr="00A63466">
              <w:rPr>
                <w:rFonts w:cstheme="minorHAnsi"/>
                <w:sz w:val="16"/>
                <w:szCs w:val="16"/>
              </w:rPr>
              <w:t>6</w:t>
            </w:r>
          </w:p>
        </w:tc>
        <w:tc>
          <w:tcPr>
            <w:tcW w:w="2410" w:type="dxa"/>
            <w:tcBorders>
              <w:top w:val="nil"/>
              <w:left w:val="nil"/>
              <w:bottom w:val="nil"/>
              <w:right w:val="nil"/>
            </w:tcBorders>
          </w:tcPr>
          <w:p w14:paraId="130819E0" w14:textId="02ABB80D" w:rsidR="00244BA6" w:rsidRPr="00A63466" w:rsidRDefault="00605B91" w:rsidP="00C36689">
            <w:pPr>
              <w:spacing w:line="360" w:lineRule="auto"/>
              <w:jc w:val="both"/>
              <w:rPr>
                <w:rFonts w:cstheme="minorHAnsi"/>
                <w:sz w:val="16"/>
                <w:szCs w:val="16"/>
              </w:rPr>
            </w:pPr>
            <w:r>
              <w:rPr>
                <w:rFonts w:cstheme="minorHAnsi"/>
                <w:sz w:val="16"/>
                <w:szCs w:val="16"/>
              </w:rPr>
              <w:t>UH</w:t>
            </w:r>
            <w:r w:rsidR="00A3567D">
              <w:rPr>
                <w:rFonts w:cstheme="minorHAnsi"/>
                <w:sz w:val="16"/>
                <w:szCs w:val="16"/>
              </w:rPr>
              <w:t>, geriatric wards</w:t>
            </w:r>
          </w:p>
        </w:tc>
        <w:tc>
          <w:tcPr>
            <w:tcW w:w="2817" w:type="dxa"/>
            <w:tcBorders>
              <w:top w:val="nil"/>
              <w:left w:val="nil"/>
              <w:bottom w:val="nil"/>
              <w:right w:val="nil"/>
            </w:tcBorders>
          </w:tcPr>
          <w:p w14:paraId="38D55CD9" w14:textId="59C75EE6" w:rsidR="00244BA6" w:rsidRPr="00A63466" w:rsidRDefault="008C25A5" w:rsidP="008C25A5">
            <w:pPr>
              <w:spacing w:line="360" w:lineRule="auto"/>
              <w:jc w:val="both"/>
              <w:rPr>
                <w:rFonts w:cstheme="minorHAnsi"/>
                <w:sz w:val="16"/>
                <w:szCs w:val="16"/>
              </w:rPr>
            </w:pPr>
            <w:r>
              <w:rPr>
                <w:rFonts w:cstheme="minorHAnsi"/>
                <w:sz w:val="16"/>
                <w:szCs w:val="16"/>
              </w:rPr>
              <w:t xml:space="preserve">≥ 65 years with ADRs </w:t>
            </w:r>
            <w:r w:rsidRPr="008C25A5">
              <w:rPr>
                <w:rFonts w:cstheme="minorHAnsi"/>
                <w:sz w:val="16"/>
                <w:szCs w:val="16"/>
                <w:vertAlign w:val="superscript"/>
              </w:rPr>
              <w:t>§</w:t>
            </w:r>
          </w:p>
        </w:tc>
        <w:tc>
          <w:tcPr>
            <w:tcW w:w="2113" w:type="dxa"/>
            <w:tcBorders>
              <w:top w:val="nil"/>
              <w:left w:val="nil"/>
              <w:bottom w:val="nil"/>
              <w:right w:val="nil"/>
            </w:tcBorders>
          </w:tcPr>
          <w:p w14:paraId="6C57CCB1" w14:textId="0E5A52B4" w:rsidR="00244BA6" w:rsidRPr="00A63466" w:rsidRDefault="002226CB" w:rsidP="00C36689">
            <w:pPr>
              <w:spacing w:line="360" w:lineRule="auto"/>
              <w:jc w:val="both"/>
              <w:rPr>
                <w:rFonts w:cstheme="minorHAnsi"/>
                <w:sz w:val="16"/>
                <w:szCs w:val="16"/>
              </w:rPr>
            </w:pPr>
            <w:r w:rsidRPr="00A63466">
              <w:rPr>
                <w:rFonts w:cstheme="minorHAnsi"/>
                <w:sz w:val="16"/>
                <w:szCs w:val="16"/>
              </w:rPr>
              <w:t>Prospective observational</w:t>
            </w:r>
          </w:p>
        </w:tc>
        <w:tc>
          <w:tcPr>
            <w:tcW w:w="698" w:type="dxa"/>
            <w:tcBorders>
              <w:top w:val="nil"/>
              <w:left w:val="nil"/>
              <w:bottom w:val="nil"/>
              <w:right w:val="nil"/>
            </w:tcBorders>
          </w:tcPr>
          <w:p w14:paraId="7F5496A9" w14:textId="177C304F" w:rsidR="00244BA6" w:rsidRPr="00A63466" w:rsidRDefault="007C3926" w:rsidP="00C36689">
            <w:pPr>
              <w:spacing w:line="360" w:lineRule="auto"/>
              <w:jc w:val="both"/>
              <w:rPr>
                <w:rFonts w:cstheme="minorHAnsi"/>
                <w:sz w:val="16"/>
                <w:szCs w:val="16"/>
              </w:rPr>
            </w:pPr>
            <w:r w:rsidRPr="00A63466">
              <w:rPr>
                <w:rFonts w:cstheme="minorHAnsi"/>
                <w:sz w:val="16"/>
                <w:szCs w:val="16"/>
              </w:rPr>
              <w:t>1023</w:t>
            </w:r>
          </w:p>
        </w:tc>
        <w:tc>
          <w:tcPr>
            <w:tcW w:w="700" w:type="dxa"/>
            <w:tcBorders>
              <w:top w:val="nil"/>
              <w:left w:val="nil"/>
              <w:bottom w:val="nil"/>
              <w:right w:val="nil"/>
            </w:tcBorders>
          </w:tcPr>
          <w:p w14:paraId="6B24D50B" w14:textId="0B63164A" w:rsidR="00244BA6" w:rsidRPr="00A63466" w:rsidRDefault="007C3926" w:rsidP="00C36689">
            <w:pPr>
              <w:spacing w:line="360" w:lineRule="auto"/>
              <w:jc w:val="both"/>
              <w:rPr>
                <w:rFonts w:cstheme="minorHAnsi"/>
                <w:sz w:val="16"/>
                <w:szCs w:val="16"/>
              </w:rPr>
            </w:pPr>
            <w:r w:rsidRPr="00A63466">
              <w:rPr>
                <w:rFonts w:cstheme="minorHAnsi"/>
                <w:sz w:val="16"/>
                <w:szCs w:val="16"/>
              </w:rPr>
              <w:t>1023</w:t>
            </w:r>
          </w:p>
        </w:tc>
        <w:tc>
          <w:tcPr>
            <w:tcW w:w="930" w:type="dxa"/>
            <w:tcBorders>
              <w:top w:val="nil"/>
              <w:left w:val="nil"/>
              <w:bottom w:val="nil"/>
              <w:right w:val="nil"/>
            </w:tcBorders>
          </w:tcPr>
          <w:p w14:paraId="605F260E" w14:textId="39A4C87F" w:rsidR="00244BA6" w:rsidRPr="00A63466" w:rsidRDefault="00B81528" w:rsidP="00C36689">
            <w:pPr>
              <w:spacing w:line="360" w:lineRule="auto"/>
              <w:jc w:val="both"/>
              <w:rPr>
                <w:rFonts w:cstheme="minorHAnsi"/>
                <w:sz w:val="16"/>
                <w:szCs w:val="16"/>
              </w:rPr>
            </w:pPr>
            <w:r w:rsidRPr="00A63466">
              <w:rPr>
                <w:rFonts w:cstheme="minorHAnsi"/>
                <w:sz w:val="16"/>
                <w:szCs w:val="16"/>
              </w:rPr>
              <w:t>81.9 ± 7.1</w:t>
            </w:r>
          </w:p>
        </w:tc>
        <w:tc>
          <w:tcPr>
            <w:tcW w:w="825" w:type="dxa"/>
            <w:tcBorders>
              <w:top w:val="nil"/>
              <w:left w:val="nil"/>
              <w:bottom w:val="nil"/>
              <w:right w:val="single" w:sz="4" w:space="0" w:color="auto"/>
            </w:tcBorders>
          </w:tcPr>
          <w:p w14:paraId="5694706A" w14:textId="35BB6387" w:rsidR="00244BA6" w:rsidRPr="00A63466" w:rsidRDefault="00EB297D" w:rsidP="00EB297D">
            <w:pPr>
              <w:spacing w:line="360" w:lineRule="auto"/>
              <w:jc w:val="both"/>
              <w:rPr>
                <w:rFonts w:cstheme="minorHAnsi"/>
                <w:sz w:val="16"/>
                <w:szCs w:val="16"/>
              </w:rPr>
            </w:pPr>
            <w:r w:rsidRPr="00A63466">
              <w:rPr>
                <w:rFonts w:cstheme="minorHAnsi"/>
                <w:sz w:val="16"/>
                <w:szCs w:val="16"/>
              </w:rPr>
              <w:t>49% M</w:t>
            </w:r>
          </w:p>
        </w:tc>
      </w:tr>
      <w:tr w:rsidR="008A06DF" w:rsidRPr="00A63466" w14:paraId="7ABB2139" w14:textId="77777777" w:rsidTr="006A36B7">
        <w:tc>
          <w:tcPr>
            <w:tcW w:w="1985" w:type="dxa"/>
            <w:tcBorders>
              <w:top w:val="nil"/>
              <w:left w:val="single" w:sz="4" w:space="0" w:color="auto"/>
              <w:bottom w:val="nil"/>
              <w:right w:val="nil"/>
            </w:tcBorders>
          </w:tcPr>
          <w:p w14:paraId="134010C3" w14:textId="31F0D77F" w:rsidR="00244BA6" w:rsidRPr="002B0140" w:rsidRDefault="00244BA6" w:rsidP="00BC6FDE">
            <w:pPr>
              <w:spacing w:line="360" w:lineRule="auto"/>
              <w:jc w:val="both"/>
              <w:rPr>
                <w:rFonts w:cstheme="minorHAnsi"/>
                <w:b/>
                <w:sz w:val="16"/>
                <w:szCs w:val="16"/>
              </w:rPr>
            </w:pPr>
            <w:r w:rsidRPr="002B0140">
              <w:rPr>
                <w:rFonts w:cstheme="minorHAnsi"/>
                <w:b/>
                <w:sz w:val="16"/>
                <w:szCs w:val="16"/>
              </w:rPr>
              <w:t>Corsonello</w:t>
            </w:r>
            <w:r w:rsidR="00E3009B" w:rsidRPr="002B0140">
              <w:rPr>
                <w:rFonts w:cstheme="minorHAnsi"/>
                <w:b/>
                <w:sz w:val="16"/>
                <w:szCs w:val="16"/>
              </w:rPr>
              <w:t xml:space="preserve"> </w:t>
            </w:r>
            <w:r w:rsidR="00BC6FDE">
              <w:rPr>
                <w:rFonts w:cstheme="minorHAnsi"/>
                <w:b/>
                <w:noProof/>
                <w:sz w:val="16"/>
                <w:szCs w:val="16"/>
              </w:rPr>
              <w:t>[50]</w:t>
            </w:r>
          </w:p>
        </w:tc>
        <w:tc>
          <w:tcPr>
            <w:tcW w:w="541" w:type="dxa"/>
            <w:tcBorders>
              <w:top w:val="nil"/>
              <w:left w:val="nil"/>
              <w:bottom w:val="nil"/>
              <w:right w:val="nil"/>
            </w:tcBorders>
          </w:tcPr>
          <w:p w14:paraId="1BCFC10A" w14:textId="383630B1" w:rsidR="00244BA6" w:rsidRPr="00A63466" w:rsidRDefault="009107CD" w:rsidP="0097370C">
            <w:pPr>
              <w:spacing w:line="360" w:lineRule="auto"/>
              <w:jc w:val="both"/>
              <w:rPr>
                <w:rFonts w:cstheme="minorHAnsi"/>
                <w:sz w:val="16"/>
                <w:szCs w:val="16"/>
              </w:rPr>
            </w:pPr>
            <w:r w:rsidRPr="00A63466">
              <w:rPr>
                <w:rFonts w:cstheme="minorHAnsi"/>
                <w:sz w:val="16"/>
                <w:szCs w:val="16"/>
              </w:rPr>
              <w:t>2009</w:t>
            </w:r>
          </w:p>
        </w:tc>
        <w:tc>
          <w:tcPr>
            <w:tcW w:w="1034" w:type="dxa"/>
            <w:tcBorders>
              <w:top w:val="nil"/>
              <w:left w:val="nil"/>
              <w:bottom w:val="nil"/>
              <w:right w:val="nil"/>
            </w:tcBorders>
          </w:tcPr>
          <w:p w14:paraId="0C2D58F4" w14:textId="6E26998C" w:rsidR="00244BA6" w:rsidRPr="00A63466" w:rsidRDefault="0097370C" w:rsidP="0097370C">
            <w:pPr>
              <w:spacing w:line="360" w:lineRule="auto"/>
              <w:jc w:val="both"/>
              <w:rPr>
                <w:rFonts w:cstheme="minorHAnsi"/>
                <w:sz w:val="16"/>
                <w:szCs w:val="16"/>
              </w:rPr>
            </w:pPr>
            <w:r w:rsidRPr="00A63466">
              <w:rPr>
                <w:rFonts w:cstheme="minorHAnsi"/>
                <w:sz w:val="16"/>
                <w:szCs w:val="16"/>
              </w:rPr>
              <w:t>Italy</w:t>
            </w:r>
          </w:p>
        </w:tc>
        <w:tc>
          <w:tcPr>
            <w:tcW w:w="846" w:type="dxa"/>
            <w:tcBorders>
              <w:top w:val="nil"/>
              <w:left w:val="nil"/>
              <w:bottom w:val="nil"/>
              <w:right w:val="nil"/>
            </w:tcBorders>
          </w:tcPr>
          <w:p w14:paraId="42BA4495" w14:textId="1F33E50A" w:rsidR="00244BA6" w:rsidRPr="00A63466" w:rsidRDefault="006A37F9" w:rsidP="0097370C">
            <w:pPr>
              <w:spacing w:line="360" w:lineRule="auto"/>
              <w:jc w:val="both"/>
              <w:rPr>
                <w:rFonts w:cstheme="minorHAnsi"/>
                <w:sz w:val="16"/>
                <w:szCs w:val="16"/>
              </w:rPr>
            </w:pPr>
            <w:r w:rsidRPr="00A63466">
              <w:rPr>
                <w:rFonts w:cstheme="minorHAnsi"/>
                <w:sz w:val="16"/>
                <w:szCs w:val="16"/>
              </w:rPr>
              <w:t>English</w:t>
            </w:r>
          </w:p>
        </w:tc>
        <w:tc>
          <w:tcPr>
            <w:tcW w:w="885" w:type="dxa"/>
            <w:tcBorders>
              <w:top w:val="nil"/>
              <w:left w:val="nil"/>
              <w:bottom w:val="nil"/>
              <w:right w:val="nil"/>
            </w:tcBorders>
          </w:tcPr>
          <w:p w14:paraId="7EE5EDF4" w14:textId="41E9DEAD" w:rsidR="00244BA6" w:rsidRPr="00A63466" w:rsidRDefault="00D03ECE" w:rsidP="00844B25">
            <w:pPr>
              <w:spacing w:line="360" w:lineRule="auto"/>
              <w:jc w:val="center"/>
              <w:rPr>
                <w:rFonts w:cstheme="minorHAnsi"/>
                <w:sz w:val="16"/>
                <w:szCs w:val="16"/>
              </w:rPr>
            </w:pPr>
            <w:r w:rsidRPr="00A63466">
              <w:rPr>
                <w:rFonts w:cstheme="minorHAnsi"/>
                <w:sz w:val="16"/>
                <w:szCs w:val="16"/>
              </w:rPr>
              <w:t>3</w:t>
            </w:r>
          </w:p>
        </w:tc>
        <w:tc>
          <w:tcPr>
            <w:tcW w:w="2410" w:type="dxa"/>
            <w:tcBorders>
              <w:top w:val="nil"/>
              <w:left w:val="nil"/>
              <w:bottom w:val="nil"/>
              <w:right w:val="nil"/>
            </w:tcBorders>
          </w:tcPr>
          <w:p w14:paraId="55E6A413" w14:textId="0066A613" w:rsidR="00244BA6" w:rsidRPr="00A63466" w:rsidRDefault="002C66D0" w:rsidP="0097370C">
            <w:pPr>
              <w:spacing w:line="360" w:lineRule="auto"/>
              <w:jc w:val="both"/>
              <w:rPr>
                <w:rFonts w:cstheme="minorHAnsi"/>
                <w:sz w:val="16"/>
                <w:szCs w:val="16"/>
              </w:rPr>
            </w:pPr>
            <w:r>
              <w:rPr>
                <w:rFonts w:cstheme="minorHAnsi"/>
                <w:sz w:val="16"/>
                <w:szCs w:val="16"/>
              </w:rPr>
              <w:t xml:space="preserve">Collaborative observational group </w:t>
            </w:r>
          </w:p>
        </w:tc>
        <w:tc>
          <w:tcPr>
            <w:tcW w:w="2817" w:type="dxa"/>
            <w:tcBorders>
              <w:top w:val="nil"/>
              <w:left w:val="nil"/>
              <w:bottom w:val="nil"/>
              <w:right w:val="nil"/>
            </w:tcBorders>
          </w:tcPr>
          <w:p w14:paraId="0C313F41" w14:textId="647B7EC1" w:rsidR="00244BA6" w:rsidRPr="00A63466" w:rsidRDefault="008A06DF" w:rsidP="0097370C">
            <w:pPr>
              <w:spacing w:line="360" w:lineRule="auto"/>
              <w:jc w:val="both"/>
              <w:rPr>
                <w:rFonts w:cstheme="minorHAnsi"/>
                <w:sz w:val="16"/>
                <w:szCs w:val="16"/>
              </w:rPr>
            </w:pPr>
            <w:r>
              <w:rPr>
                <w:rFonts w:cstheme="minorHAnsi"/>
                <w:sz w:val="16"/>
                <w:szCs w:val="16"/>
              </w:rPr>
              <w:t xml:space="preserve">≥ 65 years acute medical wards </w:t>
            </w:r>
          </w:p>
        </w:tc>
        <w:tc>
          <w:tcPr>
            <w:tcW w:w="2113" w:type="dxa"/>
            <w:tcBorders>
              <w:top w:val="nil"/>
              <w:left w:val="nil"/>
              <w:bottom w:val="nil"/>
              <w:right w:val="nil"/>
            </w:tcBorders>
          </w:tcPr>
          <w:p w14:paraId="585445A0" w14:textId="7AA5CAA2" w:rsidR="00244BA6" w:rsidRPr="00A63466" w:rsidRDefault="002226CB" w:rsidP="0097370C">
            <w:pPr>
              <w:spacing w:line="360" w:lineRule="auto"/>
              <w:jc w:val="both"/>
              <w:rPr>
                <w:rFonts w:cstheme="minorHAnsi"/>
                <w:sz w:val="16"/>
                <w:szCs w:val="16"/>
              </w:rPr>
            </w:pPr>
            <w:r w:rsidRPr="00A63466">
              <w:rPr>
                <w:rFonts w:cstheme="minorHAnsi"/>
                <w:sz w:val="16"/>
                <w:szCs w:val="16"/>
              </w:rPr>
              <w:t>Prospective observational</w:t>
            </w:r>
          </w:p>
        </w:tc>
        <w:tc>
          <w:tcPr>
            <w:tcW w:w="698" w:type="dxa"/>
            <w:tcBorders>
              <w:top w:val="nil"/>
              <w:left w:val="nil"/>
              <w:bottom w:val="nil"/>
              <w:right w:val="nil"/>
            </w:tcBorders>
          </w:tcPr>
          <w:p w14:paraId="340000FD" w14:textId="0EAF6CD8" w:rsidR="00244BA6" w:rsidRPr="00A63466" w:rsidRDefault="007C3926" w:rsidP="0097370C">
            <w:pPr>
              <w:spacing w:line="360" w:lineRule="auto"/>
              <w:jc w:val="both"/>
              <w:rPr>
                <w:rFonts w:cstheme="minorHAnsi"/>
                <w:sz w:val="16"/>
                <w:szCs w:val="16"/>
              </w:rPr>
            </w:pPr>
            <w:r w:rsidRPr="00A63466">
              <w:rPr>
                <w:rFonts w:cstheme="minorHAnsi"/>
                <w:sz w:val="16"/>
                <w:szCs w:val="16"/>
              </w:rPr>
              <w:t>506</w:t>
            </w:r>
          </w:p>
        </w:tc>
        <w:tc>
          <w:tcPr>
            <w:tcW w:w="700" w:type="dxa"/>
            <w:tcBorders>
              <w:top w:val="nil"/>
              <w:left w:val="nil"/>
              <w:bottom w:val="nil"/>
              <w:right w:val="nil"/>
            </w:tcBorders>
          </w:tcPr>
          <w:p w14:paraId="7F32B908" w14:textId="23BCDD1C" w:rsidR="00244BA6" w:rsidRPr="00A63466" w:rsidRDefault="007C3926" w:rsidP="0097370C">
            <w:pPr>
              <w:spacing w:line="360" w:lineRule="auto"/>
              <w:jc w:val="both"/>
              <w:rPr>
                <w:rFonts w:cstheme="minorHAnsi"/>
                <w:sz w:val="16"/>
                <w:szCs w:val="16"/>
              </w:rPr>
            </w:pPr>
            <w:r w:rsidRPr="00A63466">
              <w:rPr>
                <w:rFonts w:cstheme="minorHAnsi"/>
                <w:sz w:val="16"/>
                <w:szCs w:val="16"/>
              </w:rPr>
              <w:t>506</w:t>
            </w:r>
          </w:p>
        </w:tc>
        <w:tc>
          <w:tcPr>
            <w:tcW w:w="930" w:type="dxa"/>
            <w:tcBorders>
              <w:top w:val="nil"/>
              <w:left w:val="nil"/>
              <w:bottom w:val="nil"/>
              <w:right w:val="nil"/>
            </w:tcBorders>
          </w:tcPr>
          <w:p w14:paraId="57F160EA" w14:textId="79F890BC" w:rsidR="00244BA6" w:rsidRPr="00A63466" w:rsidRDefault="00B81528" w:rsidP="0097370C">
            <w:pPr>
              <w:spacing w:line="360" w:lineRule="auto"/>
              <w:jc w:val="both"/>
              <w:rPr>
                <w:rFonts w:cstheme="minorHAnsi"/>
                <w:sz w:val="16"/>
                <w:szCs w:val="16"/>
              </w:rPr>
            </w:pPr>
            <w:r w:rsidRPr="00A63466">
              <w:rPr>
                <w:rFonts w:cstheme="minorHAnsi"/>
                <w:sz w:val="16"/>
                <w:szCs w:val="16"/>
              </w:rPr>
              <w:t>80.1 ± 6</w:t>
            </w:r>
          </w:p>
        </w:tc>
        <w:tc>
          <w:tcPr>
            <w:tcW w:w="825" w:type="dxa"/>
            <w:tcBorders>
              <w:top w:val="nil"/>
              <w:left w:val="nil"/>
              <w:bottom w:val="nil"/>
              <w:right w:val="single" w:sz="4" w:space="0" w:color="auto"/>
            </w:tcBorders>
          </w:tcPr>
          <w:p w14:paraId="621FD855" w14:textId="62CF5C38" w:rsidR="00244BA6" w:rsidRPr="00A63466" w:rsidRDefault="00EB297D" w:rsidP="0097370C">
            <w:pPr>
              <w:spacing w:line="360" w:lineRule="auto"/>
              <w:jc w:val="both"/>
              <w:rPr>
                <w:rFonts w:cstheme="minorHAnsi"/>
                <w:sz w:val="16"/>
                <w:szCs w:val="16"/>
              </w:rPr>
            </w:pPr>
            <w:r w:rsidRPr="00A63466">
              <w:rPr>
                <w:rFonts w:cstheme="minorHAnsi"/>
                <w:sz w:val="16"/>
                <w:szCs w:val="16"/>
              </w:rPr>
              <w:t>46% M</w:t>
            </w:r>
          </w:p>
        </w:tc>
      </w:tr>
      <w:tr w:rsidR="008A06DF" w:rsidRPr="00A63466" w14:paraId="14DC801F" w14:textId="77777777" w:rsidTr="006A36B7">
        <w:tc>
          <w:tcPr>
            <w:tcW w:w="1985" w:type="dxa"/>
            <w:tcBorders>
              <w:top w:val="nil"/>
              <w:left w:val="single" w:sz="4" w:space="0" w:color="auto"/>
              <w:bottom w:val="nil"/>
              <w:right w:val="nil"/>
            </w:tcBorders>
          </w:tcPr>
          <w:p w14:paraId="77F67A92" w14:textId="1BA50846" w:rsidR="00244BA6" w:rsidRPr="002B0140" w:rsidRDefault="00244BA6" w:rsidP="00080710">
            <w:pPr>
              <w:spacing w:line="360" w:lineRule="auto"/>
              <w:jc w:val="both"/>
              <w:rPr>
                <w:rFonts w:cstheme="minorHAnsi"/>
                <w:b/>
                <w:sz w:val="16"/>
                <w:szCs w:val="16"/>
              </w:rPr>
            </w:pPr>
            <w:r w:rsidRPr="002B0140">
              <w:rPr>
                <w:rFonts w:cstheme="minorHAnsi"/>
                <w:b/>
                <w:sz w:val="16"/>
                <w:szCs w:val="16"/>
              </w:rPr>
              <w:t>Davies</w:t>
            </w:r>
            <w:r w:rsidR="00E3009B" w:rsidRPr="002B0140">
              <w:rPr>
                <w:rFonts w:cstheme="minorHAnsi"/>
                <w:b/>
                <w:sz w:val="16"/>
                <w:szCs w:val="16"/>
              </w:rPr>
              <w:t xml:space="preserve"> </w:t>
            </w:r>
            <w:r w:rsidR="00A75F77">
              <w:rPr>
                <w:rFonts w:cstheme="minorHAnsi"/>
                <w:b/>
                <w:noProof/>
                <w:sz w:val="16"/>
                <w:szCs w:val="16"/>
              </w:rPr>
              <w:t>[29]</w:t>
            </w:r>
          </w:p>
        </w:tc>
        <w:tc>
          <w:tcPr>
            <w:tcW w:w="541" w:type="dxa"/>
            <w:tcBorders>
              <w:top w:val="nil"/>
              <w:left w:val="nil"/>
              <w:bottom w:val="nil"/>
              <w:right w:val="nil"/>
            </w:tcBorders>
          </w:tcPr>
          <w:p w14:paraId="45C91E69" w14:textId="38EFE799" w:rsidR="00244BA6" w:rsidRPr="00A63466" w:rsidRDefault="009107CD" w:rsidP="0097370C">
            <w:pPr>
              <w:spacing w:line="360" w:lineRule="auto"/>
              <w:jc w:val="both"/>
              <w:rPr>
                <w:rFonts w:cstheme="minorHAnsi"/>
                <w:sz w:val="16"/>
                <w:szCs w:val="16"/>
              </w:rPr>
            </w:pPr>
            <w:r w:rsidRPr="00A63466">
              <w:rPr>
                <w:rFonts w:cstheme="minorHAnsi"/>
                <w:sz w:val="16"/>
                <w:szCs w:val="16"/>
              </w:rPr>
              <w:t>2009</w:t>
            </w:r>
          </w:p>
        </w:tc>
        <w:tc>
          <w:tcPr>
            <w:tcW w:w="1034" w:type="dxa"/>
            <w:tcBorders>
              <w:top w:val="nil"/>
              <w:left w:val="nil"/>
              <w:bottom w:val="nil"/>
              <w:right w:val="nil"/>
            </w:tcBorders>
          </w:tcPr>
          <w:p w14:paraId="4FA08739" w14:textId="4E135A37" w:rsidR="00244BA6" w:rsidRPr="00A63466" w:rsidRDefault="0097370C" w:rsidP="0097370C">
            <w:pPr>
              <w:spacing w:line="360" w:lineRule="auto"/>
              <w:jc w:val="both"/>
              <w:rPr>
                <w:rFonts w:cstheme="minorHAnsi"/>
                <w:sz w:val="16"/>
                <w:szCs w:val="16"/>
              </w:rPr>
            </w:pPr>
            <w:r w:rsidRPr="00A63466">
              <w:rPr>
                <w:rFonts w:cstheme="minorHAnsi"/>
                <w:sz w:val="16"/>
                <w:szCs w:val="16"/>
              </w:rPr>
              <w:t>U.K.</w:t>
            </w:r>
          </w:p>
        </w:tc>
        <w:tc>
          <w:tcPr>
            <w:tcW w:w="846" w:type="dxa"/>
            <w:tcBorders>
              <w:top w:val="nil"/>
              <w:left w:val="nil"/>
              <w:bottom w:val="nil"/>
              <w:right w:val="nil"/>
            </w:tcBorders>
          </w:tcPr>
          <w:p w14:paraId="5C7070D2" w14:textId="22EA4153" w:rsidR="00244BA6" w:rsidRPr="00A63466" w:rsidRDefault="006A37F9" w:rsidP="0097370C">
            <w:pPr>
              <w:spacing w:line="360" w:lineRule="auto"/>
              <w:jc w:val="both"/>
              <w:rPr>
                <w:rFonts w:cstheme="minorHAnsi"/>
                <w:sz w:val="16"/>
                <w:szCs w:val="16"/>
              </w:rPr>
            </w:pPr>
            <w:r w:rsidRPr="00A63466">
              <w:rPr>
                <w:rFonts w:cstheme="minorHAnsi"/>
                <w:sz w:val="16"/>
                <w:szCs w:val="16"/>
              </w:rPr>
              <w:t>English</w:t>
            </w:r>
          </w:p>
        </w:tc>
        <w:tc>
          <w:tcPr>
            <w:tcW w:w="885" w:type="dxa"/>
            <w:tcBorders>
              <w:top w:val="nil"/>
              <w:left w:val="nil"/>
              <w:bottom w:val="nil"/>
              <w:right w:val="nil"/>
            </w:tcBorders>
          </w:tcPr>
          <w:p w14:paraId="60A4FD55" w14:textId="441071C8" w:rsidR="00244BA6" w:rsidRPr="00A63466" w:rsidRDefault="00D03ECE" w:rsidP="00844B25">
            <w:pPr>
              <w:spacing w:line="360" w:lineRule="auto"/>
              <w:jc w:val="center"/>
              <w:rPr>
                <w:rFonts w:cstheme="minorHAnsi"/>
                <w:sz w:val="16"/>
                <w:szCs w:val="16"/>
              </w:rPr>
            </w:pPr>
            <w:r w:rsidRPr="00A63466">
              <w:rPr>
                <w:rFonts w:cstheme="minorHAnsi"/>
                <w:sz w:val="16"/>
                <w:szCs w:val="16"/>
              </w:rPr>
              <w:t>6</w:t>
            </w:r>
          </w:p>
        </w:tc>
        <w:tc>
          <w:tcPr>
            <w:tcW w:w="2410" w:type="dxa"/>
            <w:tcBorders>
              <w:top w:val="nil"/>
              <w:left w:val="nil"/>
              <w:bottom w:val="nil"/>
              <w:right w:val="nil"/>
            </w:tcBorders>
          </w:tcPr>
          <w:p w14:paraId="349785F0" w14:textId="217BA67E" w:rsidR="00244BA6" w:rsidRPr="00A63466" w:rsidRDefault="00FF3428" w:rsidP="0097370C">
            <w:pPr>
              <w:spacing w:line="360" w:lineRule="auto"/>
              <w:jc w:val="both"/>
              <w:rPr>
                <w:rFonts w:cstheme="minorHAnsi"/>
                <w:sz w:val="16"/>
                <w:szCs w:val="16"/>
              </w:rPr>
            </w:pPr>
            <w:r>
              <w:rPr>
                <w:rFonts w:cstheme="minorHAnsi"/>
                <w:sz w:val="16"/>
                <w:szCs w:val="16"/>
              </w:rPr>
              <w:t>UH, medical and surgical wards</w:t>
            </w:r>
          </w:p>
        </w:tc>
        <w:tc>
          <w:tcPr>
            <w:tcW w:w="2817" w:type="dxa"/>
            <w:tcBorders>
              <w:top w:val="nil"/>
              <w:left w:val="nil"/>
              <w:bottom w:val="nil"/>
              <w:right w:val="nil"/>
            </w:tcBorders>
          </w:tcPr>
          <w:p w14:paraId="33FA1CC8" w14:textId="38148C10" w:rsidR="00244BA6" w:rsidRPr="00A63466" w:rsidRDefault="00FF3428" w:rsidP="0097370C">
            <w:pPr>
              <w:spacing w:line="360" w:lineRule="auto"/>
              <w:jc w:val="both"/>
              <w:rPr>
                <w:rFonts w:cstheme="minorHAnsi"/>
                <w:sz w:val="16"/>
                <w:szCs w:val="16"/>
              </w:rPr>
            </w:pPr>
            <w:r>
              <w:rPr>
                <w:rFonts w:cstheme="minorHAnsi"/>
                <w:sz w:val="16"/>
                <w:szCs w:val="16"/>
              </w:rPr>
              <w:t>Adults, Monday-Friday admissions</w:t>
            </w:r>
          </w:p>
        </w:tc>
        <w:tc>
          <w:tcPr>
            <w:tcW w:w="2113" w:type="dxa"/>
            <w:tcBorders>
              <w:top w:val="nil"/>
              <w:left w:val="nil"/>
              <w:bottom w:val="nil"/>
              <w:right w:val="nil"/>
            </w:tcBorders>
          </w:tcPr>
          <w:p w14:paraId="1D2F0145" w14:textId="5E107EBC" w:rsidR="00244BA6" w:rsidRPr="00A63466" w:rsidRDefault="002226CB" w:rsidP="0097370C">
            <w:pPr>
              <w:spacing w:line="360" w:lineRule="auto"/>
              <w:jc w:val="both"/>
              <w:rPr>
                <w:rFonts w:cstheme="minorHAnsi"/>
                <w:sz w:val="16"/>
                <w:szCs w:val="16"/>
              </w:rPr>
            </w:pPr>
            <w:r w:rsidRPr="00A63466">
              <w:rPr>
                <w:rFonts w:cstheme="minorHAnsi"/>
                <w:sz w:val="16"/>
                <w:szCs w:val="16"/>
              </w:rPr>
              <w:t>Prospective observational</w:t>
            </w:r>
          </w:p>
        </w:tc>
        <w:tc>
          <w:tcPr>
            <w:tcW w:w="698" w:type="dxa"/>
            <w:tcBorders>
              <w:top w:val="nil"/>
              <w:left w:val="nil"/>
              <w:bottom w:val="nil"/>
              <w:right w:val="nil"/>
            </w:tcBorders>
          </w:tcPr>
          <w:p w14:paraId="2F507B06" w14:textId="33CEE67E" w:rsidR="00244BA6" w:rsidRPr="00A63466" w:rsidRDefault="007C3926" w:rsidP="0097370C">
            <w:pPr>
              <w:spacing w:line="360" w:lineRule="auto"/>
              <w:jc w:val="both"/>
              <w:rPr>
                <w:rFonts w:cstheme="minorHAnsi"/>
                <w:sz w:val="16"/>
                <w:szCs w:val="16"/>
              </w:rPr>
            </w:pPr>
            <w:r w:rsidRPr="00A63466">
              <w:rPr>
                <w:rFonts w:cstheme="minorHAnsi"/>
                <w:sz w:val="16"/>
                <w:szCs w:val="16"/>
              </w:rPr>
              <w:t>3322</w:t>
            </w:r>
          </w:p>
        </w:tc>
        <w:tc>
          <w:tcPr>
            <w:tcW w:w="700" w:type="dxa"/>
            <w:tcBorders>
              <w:top w:val="nil"/>
              <w:left w:val="nil"/>
              <w:bottom w:val="nil"/>
              <w:right w:val="nil"/>
            </w:tcBorders>
          </w:tcPr>
          <w:p w14:paraId="3D8C6F8B" w14:textId="37498D14" w:rsidR="00244BA6" w:rsidRPr="00A63466" w:rsidRDefault="007C3926" w:rsidP="0097370C">
            <w:pPr>
              <w:spacing w:line="360" w:lineRule="auto"/>
              <w:jc w:val="both"/>
              <w:rPr>
                <w:rFonts w:cstheme="minorHAnsi"/>
                <w:sz w:val="16"/>
                <w:szCs w:val="16"/>
              </w:rPr>
            </w:pPr>
            <w:r w:rsidRPr="00A63466">
              <w:rPr>
                <w:rFonts w:cstheme="minorHAnsi"/>
                <w:sz w:val="16"/>
                <w:szCs w:val="16"/>
              </w:rPr>
              <w:t>1787</w:t>
            </w:r>
          </w:p>
        </w:tc>
        <w:tc>
          <w:tcPr>
            <w:tcW w:w="930" w:type="dxa"/>
            <w:tcBorders>
              <w:top w:val="nil"/>
              <w:left w:val="nil"/>
              <w:bottom w:val="nil"/>
              <w:right w:val="nil"/>
            </w:tcBorders>
          </w:tcPr>
          <w:p w14:paraId="4FA00395" w14:textId="7FD83149" w:rsidR="00244BA6" w:rsidRPr="00A63466" w:rsidRDefault="00070346" w:rsidP="0097370C">
            <w:pPr>
              <w:spacing w:line="360" w:lineRule="auto"/>
              <w:jc w:val="both"/>
              <w:rPr>
                <w:rFonts w:cstheme="minorHAnsi"/>
                <w:sz w:val="16"/>
                <w:szCs w:val="16"/>
              </w:rPr>
            </w:pPr>
            <w:r>
              <w:rPr>
                <w:rFonts w:cstheme="minorHAnsi"/>
                <w:sz w:val="16"/>
                <w:szCs w:val="16"/>
              </w:rPr>
              <w:t>-</w:t>
            </w:r>
          </w:p>
        </w:tc>
        <w:tc>
          <w:tcPr>
            <w:tcW w:w="825" w:type="dxa"/>
            <w:tcBorders>
              <w:top w:val="nil"/>
              <w:left w:val="nil"/>
              <w:bottom w:val="nil"/>
              <w:right w:val="single" w:sz="4" w:space="0" w:color="auto"/>
            </w:tcBorders>
          </w:tcPr>
          <w:p w14:paraId="48B64E09" w14:textId="5DA3D01D" w:rsidR="00244BA6" w:rsidRPr="00A63466" w:rsidRDefault="00070346" w:rsidP="0097370C">
            <w:pPr>
              <w:spacing w:line="360" w:lineRule="auto"/>
              <w:jc w:val="both"/>
              <w:rPr>
                <w:rFonts w:cstheme="minorHAnsi"/>
                <w:sz w:val="16"/>
                <w:szCs w:val="16"/>
              </w:rPr>
            </w:pPr>
            <w:r>
              <w:rPr>
                <w:rFonts w:cstheme="minorHAnsi"/>
                <w:sz w:val="16"/>
                <w:szCs w:val="16"/>
              </w:rPr>
              <w:t>-</w:t>
            </w:r>
          </w:p>
        </w:tc>
      </w:tr>
      <w:tr w:rsidR="008A06DF" w:rsidRPr="00A63466" w14:paraId="756CBDF5" w14:textId="77777777" w:rsidTr="006A36B7">
        <w:tc>
          <w:tcPr>
            <w:tcW w:w="1985" w:type="dxa"/>
            <w:tcBorders>
              <w:top w:val="nil"/>
              <w:left w:val="single" w:sz="4" w:space="0" w:color="auto"/>
              <w:bottom w:val="nil"/>
              <w:right w:val="nil"/>
            </w:tcBorders>
          </w:tcPr>
          <w:p w14:paraId="6A2BD85C" w14:textId="18EF0611" w:rsidR="00244BA6" w:rsidRPr="002B0140" w:rsidRDefault="00244BA6" w:rsidP="00A75F77">
            <w:pPr>
              <w:spacing w:line="360" w:lineRule="auto"/>
              <w:jc w:val="both"/>
              <w:rPr>
                <w:rFonts w:cstheme="minorHAnsi"/>
                <w:b/>
                <w:sz w:val="16"/>
                <w:szCs w:val="16"/>
              </w:rPr>
            </w:pPr>
            <w:r w:rsidRPr="002B0140">
              <w:rPr>
                <w:rFonts w:cstheme="minorHAnsi"/>
                <w:b/>
                <w:sz w:val="16"/>
                <w:szCs w:val="16"/>
              </w:rPr>
              <w:t>Fernandez-Regueiro</w:t>
            </w:r>
            <w:r w:rsidR="00E3009B" w:rsidRPr="002B0140">
              <w:rPr>
                <w:rFonts w:cstheme="minorHAnsi"/>
                <w:b/>
                <w:sz w:val="16"/>
                <w:szCs w:val="16"/>
              </w:rPr>
              <w:t xml:space="preserve"> </w:t>
            </w:r>
            <w:r w:rsidR="00A75F77">
              <w:rPr>
                <w:rFonts w:cstheme="minorHAnsi"/>
                <w:b/>
                <w:noProof/>
                <w:sz w:val="16"/>
                <w:szCs w:val="16"/>
              </w:rPr>
              <w:t>[30]</w:t>
            </w:r>
          </w:p>
        </w:tc>
        <w:tc>
          <w:tcPr>
            <w:tcW w:w="541" w:type="dxa"/>
            <w:tcBorders>
              <w:top w:val="nil"/>
              <w:left w:val="nil"/>
              <w:bottom w:val="nil"/>
              <w:right w:val="nil"/>
            </w:tcBorders>
          </w:tcPr>
          <w:p w14:paraId="2F183CFB" w14:textId="2B03231A" w:rsidR="00244BA6" w:rsidRPr="00A63466" w:rsidRDefault="009107CD" w:rsidP="0097370C">
            <w:pPr>
              <w:spacing w:line="360" w:lineRule="auto"/>
              <w:jc w:val="both"/>
              <w:rPr>
                <w:rFonts w:cstheme="minorHAnsi"/>
                <w:sz w:val="16"/>
                <w:szCs w:val="16"/>
              </w:rPr>
            </w:pPr>
            <w:r w:rsidRPr="00A63466">
              <w:rPr>
                <w:rFonts w:cstheme="minorHAnsi"/>
                <w:sz w:val="16"/>
                <w:szCs w:val="16"/>
              </w:rPr>
              <w:t>2011</w:t>
            </w:r>
          </w:p>
        </w:tc>
        <w:tc>
          <w:tcPr>
            <w:tcW w:w="1034" w:type="dxa"/>
            <w:tcBorders>
              <w:top w:val="nil"/>
              <w:left w:val="nil"/>
              <w:bottom w:val="nil"/>
              <w:right w:val="nil"/>
            </w:tcBorders>
          </w:tcPr>
          <w:p w14:paraId="4FE830D0" w14:textId="4CBA33FF" w:rsidR="00244BA6" w:rsidRPr="00A63466" w:rsidRDefault="00EC4DBD" w:rsidP="0097370C">
            <w:pPr>
              <w:spacing w:line="360" w:lineRule="auto"/>
              <w:jc w:val="both"/>
              <w:rPr>
                <w:rFonts w:cstheme="minorHAnsi"/>
                <w:sz w:val="16"/>
                <w:szCs w:val="16"/>
              </w:rPr>
            </w:pPr>
            <w:r w:rsidRPr="00A63466">
              <w:rPr>
                <w:rFonts w:cstheme="minorHAnsi"/>
                <w:sz w:val="16"/>
                <w:szCs w:val="16"/>
              </w:rPr>
              <w:t>Spain</w:t>
            </w:r>
          </w:p>
        </w:tc>
        <w:tc>
          <w:tcPr>
            <w:tcW w:w="846" w:type="dxa"/>
            <w:tcBorders>
              <w:top w:val="nil"/>
              <w:left w:val="nil"/>
              <w:bottom w:val="nil"/>
              <w:right w:val="nil"/>
            </w:tcBorders>
          </w:tcPr>
          <w:p w14:paraId="19A58E48" w14:textId="14CCEDBB" w:rsidR="00244BA6" w:rsidRPr="00A63466" w:rsidRDefault="006A37F9" w:rsidP="0097370C">
            <w:pPr>
              <w:spacing w:line="360" w:lineRule="auto"/>
              <w:jc w:val="both"/>
              <w:rPr>
                <w:rFonts w:cstheme="minorHAnsi"/>
                <w:sz w:val="16"/>
                <w:szCs w:val="16"/>
              </w:rPr>
            </w:pPr>
            <w:r w:rsidRPr="00A63466">
              <w:rPr>
                <w:rFonts w:cstheme="minorHAnsi"/>
                <w:sz w:val="16"/>
                <w:szCs w:val="16"/>
              </w:rPr>
              <w:t>Spanish</w:t>
            </w:r>
          </w:p>
        </w:tc>
        <w:tc>
          <w:tcPr>
            <w:tcW w:w="885" w:type="dxa"/>
            <w:tcBorders>
              <w:top w:val="nil"/>
              <w:left w:val="nil"/>
              <w:bottom w:val="nil"/>
              <w:right w:val="nil"/>
            </w:tcBorders>
          </w:tcPr>
          <w:p w14:paraId="7F501726" w14:textId="45E9E4D1" w:rsidR="00244BA6" w:rsidRPr="00A63466" w:rsidRDefault="00D03ECE" w:rsidP="00844B25">
            <w:pPr>
              <w:spacing w:line="360" w:lineRule="auto"/>
              <w:jc w:val="center"/>
              <w:rPr>
                <w:rFonts w:cstheme="minorHAnsi"/>
                <w:sz w:val="16"/>
                <w:szCs w:val="16"/>
              </w:rPr>
            </w:pPr>
            <w:r w:rsidRPr="00A63466">
              <w:rPr>
                <w:rFonts w:cstheme="minorHAnsi"/>
                <w:sz w:val="16"/>
                <w:szCs w:val="16"/>
              </w:rPr>
              <w:t>5</w:t>
            </w:r>
          </w:p>
        </w:tc>
        <w:tc>
          <w:tcPr>
            <w:tcW w:w="2410" w:type="dxa"/>
            <w:tcBorders>
              <w:top w:val="nil"/>
              <w:left w:val="nil"/>
              <w:bottom w:val="nil"/>
              <w:right w:val="nil"/>
            </w:tcBorders>
          </w:tcPr>
          <w:p w14:paraId="3E951972" w14:textId="33963E0A" w:rsidR="00244BA6" w:rsidRPr="00A63466" w:rsidRDefault="00BD41F9" w:rsidP="0097370C">
            <w:pPr>
              <w:spacing w:line="360" w:lineRule="auto"/>
              <w:jc w:val="both"/>
              <w:rPr>
                <w:rFonts w:cstheme="minorHAnsi"/>
                <w:sz w:val="16"/>
                <w:szCs w:val="16"/>
              </w:rPr>
            </w:pPr>
            <w:r>
              <w:rPr>
                <w:rFonts w:cstheme="minorHAnsi"/>
                <w:sz w:val="16"/>
                <w:szCs w:val="16"/>
              </w:rPr>
              <w:t>I</w:t>
            </w:r>
            <w:r w:rsidR="00762DF6">
              <w:rPr>
                <w:rFonts w:cstheme="minorHAnsi"/>
                <w:sz w:val="16"/>
                <w:szCs w:val="16"/>
              </w:rPr>
              <w:t xml:space="preserve">nternal </w:t>
            </w:r>
            <w:r>
              <w:rPr>
                <w:rFonts w:cstheme="minorHAnsi"/>
                <w:sz w:val="16"/>
                <w:szCs w:val="16"/>
              </w:rPr>
              <w:t>M</w:t>
            </w:r>
            <w:r w:rsidR="00762DF6">
              <w:rPr>
                <w:rFonts w:cstheme="minorHAnsi"/>
                <w:sz w:val="16"/>
                <w:szCs w:val="16"/>
              </w:rPr>
              <w:t>edicine</w:t>
            </w:r>
            <w:r>
              <w:rPr>
                <w:rFonts w:cstheme="minorHAnsi"/>
                <w:sz w:val="16"/>
                <w:szCs w:val="16"/>
              </w:rPr>
              <w:t xml:space="preserve"> service</w:t>
            </w:r>
          </w:p>
        </w:tc>
        <w:tc>
          <w:tcPr>
            <w:tcW w:w="2817" w:type="dxa"/>
            <w:tcBorders>
              <w:top w:val="nil"/>
              <w:left w:val="nil"/>
              <w:bottom w:val="nil"/>
              <w:right w:val="nil"/>
            </w:tcBorders>
          </w:tcPr>
          <w:p w14:paraId="78FE0201" w14:textId="18241CDC" w:rsidR="00244BA6" w:rsidRPr="00A63466" w:rsidRDefault="00BD41F9" w:rsidP="0097370C">
            <w:pPr>
              <w:spacing w:line="360" w:lineRule="auto"/>
              <w:jc w:val="both"/>
              <w:rPr>
                <w:rFonts w:cstheme="minorHAnsi"/>
                <w:sz w:val="16"/>
                <w:szCs w:val="16"/>
              </w:rPr>
            </w:pPr>
            <w:r>
              <w:rPr>
                <w:rFonts w:cstheme="minorHAnsi"/>
                <w:sz w:val="16"/>
                <w:szCs w:val="16"/>
              </w:rPr>
              <w:t>≥ 65, ≥ 1 PIM</w:t>
            </w:r>
            <w:r w:rsidR="00750F83">
              <w:rPr>
                <w:rFonts w:cstheme="minorHAnsi"/>
                <w:sz w:val="16"/>
                <w:szCs w:val="16"/>
              </w:rPr>
              <w:t>, within 48 hours</w:t>
            </w:r>
          </w:p>
        </w:tc>
        <w:tc>
          <w:tcPr>
            <w:tcW w:w="2113" w:type="dxa"/>
            <w:tcBorders>
              <w:top w:val="nil"/>
              <w:left w:val="nil"/>
              <w:bottom w:val="nil"/>
              <w:right w:val="nil"/>
            </w:tcBorders>
          </w:tcPr>
          <w:p w14:paraId="439FC72A" w14:textId="5F829655" w:rsidR="00244BA6" w:rsidRPr="00A63466" w:rsidRDefault="002226CB" w:rsidP="0097370C">
            <w:pPr>
              <w:spacing w:line="360" w:lineRule="auto"/>
              <w:jc w:val="both"/>
              <w:rPr>
                <w:rFonts w:cstheme="minorHAnsi"/>
                <w:sz w:val="16"/>
                <w:szCs w:val="16"/>
              </w:rPr>
            </w:pPr>
            <w:r w:rsidRPr="00A63466">
              <w:rPr>
                <w:rFonts w:cstheme="minorHAnsi"/>
                <w:sz w:val="16"/>
                <w:szCs w:val="16"/>
              </w:rPr>
              <w:t>Prospective observational</w:t>
            </w:r>
          </w:p>
        </w:tc>
        <w:tc>
          <w:tcPr>
            <w:tcW w:w="698" w:type="dxa"/>
            <w:tcBorders>
              <w:top w:val="nil"/>
              <w:left w:val="nil"/>
              <w:bottom w:val="nil"/>
              <w:right w:val="nil"/>
            </w:tcBorders>
          </w:tcPr>
          <w:p w14:paraId="63A87830" w14:textId="19BC72FA" w:rsidR="00244BA6" w:rsidRPr="00A63466" w:rsidRDefault="007C3926" w:rsidP="0097370C">
            <w:pPr>
              <w:spacing w:line="360" w:lineRule="auto"/>
              <w:jc w:val="both"/>
              <w:rPr>
                <w:rFonts w:cstheme="minorHAnsi"/>
                <w:sz w:val="16"/>
                <w:szCs w:val="16"/>
              </w:rPr>
            </w:pPr>
            <w:r w:rsidRPr="00A63466">
              <w:rPr>
                <w:rFonts w:cstheme="minorHAnsi"/>
                <w:sz w:val="16"/>
                <w:szCs w:val="16"/>
              </w:rPr>
              <w:t>97</w:t>
            </w:r>
          </w:p>
        </w:tc>
        <w:tc>
          <w:tcPr>
            <w:tcW w:w="700" w:type="dxa"/>
            <w:tcBorders>
              <w:top w:val="nil"/>
              <w:left w:val="nil"/>
              <w:bottom w:val="nil"/>
              <w:right w:val="nil"/>
            </w:tcBorders>
          </w:tcPr>
          <w:p w14:paraId="5117B2C9" w14:textId="0F9AB7B9" w:rsidR="00244BA6" w:rsidRPr="00A63466" w:rsidRDefault="007C3926" w:rsidP="0097370C">
            <w:pPr>
              <w:spacing w:line="360" w:lineRule="auto"/>
              <w:jc w:val="both"/>
              <w:rPr>
                <w:rFonts w:cstheme="minorHAnsi"/>
                <w:sz w:val="16"/>
                <w:szCs w:val="16"/>
              </w:rPr>
            </w:pPr>
            <w:r w:rsidRPr="00A63466">
              <w:rPr>
                <w:rFonts w:cstheme="minorHAnsi"/>
                <w:sz w:val="16"/>
                <w:szCs w:val="16"/>
              </w:rPr>
              <w:t>97</w:t>
            </w:r>
          </w:p>
        </w:tc>
        <w:tc>
          <w:tcPr>
            <w:tcW w:w="930" w:type="dxa"/>
            <w:tcBorders>
              <w:top w:val="nil"/>
              <w:left w:val="nil"/>
              <w:bottom w:val="nil"/>
              <w:right w:val="nil"/>
            </w:tcBorders>
          </w:tcPr>
          <w:p w14:paraId="1532B1B3" w14:textId="0B629CEA" w:rsidR="00244BA6" w:rsidRPr="00A63466" w:rsidRDefault="00B81528" w:rsidP="0097370C">
            <w:pPr>
              <w:spacing w:line="360" w:lineRule="auto"/>
              <w:jc w:val="both"/>
              <w:rPr>
                <w:rFonts w:cstheme="minorHAnsi"/>
                <w:sz w:val="16"/>
                <w:szCs w:val="16"/>
              </w:rPr>
            </w:pPr>
            <w:r w:rsidRPr="00A63466">
              <w:rPr>
                <w:rFonts w:cstheme="minorHAnsi"/>
                <w:sz w:val="16"/>
                <w:szCs w:val="16"/>
              </w:rPr>
              <w:t>81.3 ± 6.6</w:t>
            </w:r>
          </w:p>
        </w:tc>
        <w:tc>
          <w:tcPr>
            <w:tcW w:w="825" w:type="dxa"/>
            <w:tcBorders>
              <w:top w:val="nil"/>
              <w:left w:val="nil"/>
              <w:bottom w:val="nil"/>
              <w:right w:val="single" w:sz="4" w:space="0" w:color="auto"/>
            </w:tcBorders>
          </w:tcPr>
          <w:p w14:paraId="54D7C9FC" w14:textId="7378B0DD" w:rsidR="00244BA6" w:rsidRPr="00A63466" w:rsidRDefault="00EB297D" w:rsidP="00915BCF">
            <w:pPr>
              <w:spacing w:line="360" w:lineRule="auto"/>
              <w:jc w:val="both"/>
              <w:rPr>
                <w:rFonts w:cstheme="minorHAnsi"/>
                <w:sz w:val="16"/>
                <w:szCs w:val="16"/>
              </w:rPr>
            </w:pPr>
            <w:r w:rsidRPr="00A63466">
              <w:rPr>
                <w:rFonts w:cstheme="minorHAnsi"/>
                <w:sz w:val="16"/>
                <w:szCs w:val="16"/>
              </w:rPr>
              <w:t>45% M</w:t>
            </w:r>
          </w:p>
        </w:tc>
      </w:tr>
      <w:tr w:rsidR="008A06DF" w:rsidRPr="00A63466" w14:paraId="35FDB850" w14:textId="77777777" w:rsidTr="006A36B7">
        <w:tc>
          <w:tcPr>
            <w:tcW w:w="1985" w:type="dxa"/>
            <w:tcBorders>
              <w:top w:val="nil"/>
              <w:left w:val="single" w:sz="4" w:space="0" w:color="auto"/>
              <w:bottom w:val="nil"/>
              <w:right w:val="nil"/>
            </w:tcBorders>
          </w:tcPr>
          <w:p w14:paraId="67C0520B" w14:textId="66B7BA88" w:rsidR="00860D11" w:rsidRPr="002B0140" w:rsidRDefault="00860D11" w:rsidP="00BC6FDE">
            <w:pPr>
              <w:spacing w:line="360" w:lineRule="auto"/>
              <w:jc w:val="both"/>
              <w:rPr>
                <w:rFonts w:cstheme="minorHAnsi"/>
                <w:b/>
                <w:sz w:val="16"/>
                <w:szCs w:val="16"/>
              </w:rPr>
            </w:pPr>
            <w:r w:rsidRPr="002B0140">
              <w:rPr>
                <w:rFonts w:cstheme="minorHAnsi"/>
                <w:b/>
                <w:sz w:val="16"/>
                <w:szCs w:val="16"/>
              </w:rPr>
              <w:t xml:space="preserve">Ganeva </w:t>
            </w:r>
            <w:r w:rsidR="00BC6FDE">
              <w:rPr>
                <w:rFonts w:cstheme="minorHAnsi"/>
                <w:b/>
                <w:noProof/>
                <w:sz w:val="16"/>
                <w:szCs w:val="16"/>
              </w:rPr>
              <w:t>[51]</w:t>
            </w:r>
          </w:p>
        </w:tc>
        <w:tc>
          <w:tcPr>
            <w:tcW w:w="541" w:type="dxa"/>
            <w:tcBorders>
              <w:top w:val="nil"/>
              <w:left w:val="nil"/>
              <w:bottom w:val="nil"/>
              <w:right w:val="nil"/>
            </w:tcBorders>
          </w:tcPr>
          <w:p w14:paraId="58185B84" w14:textId="1CF67E89" w:rsidR="00860D11" w:rsidRPr="00A63466" w:rsidRDefault="00860D11" w:rsidP="00860D11">
            <w:pPr>
              <w:spacing w:line="360" w:lineRule="auto"/>
              <w:jc w:val="both"/>
              <w:rPr>
                <w:rFonts w:cstheme="minorHAnsi"/>
                <w:sz w:val="16"/>
                <w:szCs w:val="16"/>
              </w:rPr>
            </w:pPr>
            <w:r w:rsidRPr="00A63466">
              <w:rPr>
                <w:rFonts w:cstheme="minorHAnsi"/>
                <w:sz w:val="16"/>
                <w:szCs w:val="16"/>
              </w:rPr>
              <w:t>2007</w:t>
            </w:r>
          </w:p>
        </w:tc>
        <w:tc>
          <w:tcPr>
            <w:tcW w:w="1034" w:type="dxa"/>
            <w:tcBorders>
              <w:top w:val="nil"/>
              <w:left w:val="nil"/>
              <w:bottom w:val="nil"/>
              <w:right w:val="nil"/>
            </w:tcBorders>
          </w:tcPr>
          <w:p w14:paraId="397BC9E5" w14:textId="5C018AF5" w:rsidR="00860D11" w:rsidRPr="00A63466" w:rsidRDefault="00860D11" w:rsidP="00860D11">
            <w:pPr>
              <w:spacing w:line="360" w:lineRule="auto"/>
              <w:jc w:val="both"/>
              <w:rPr>
                <w:rFonts w:cstheme="minorHAnsi"/>
                <w:sz w:val="16"/>
                <w:szCs w:val="16"/>
              </w:rPr>
            </w:pPr>
            <w:r w:rsidRPr="00A63466">
              <w:rPr>
                <w:rFonts w:cstheme="minorHAnsi"/>
                <w:sz w:val="16"/>
                <w:szCs w:val="16"/>
              </w:rPr>
              <w:t>Bulgaria</w:t>
            </w:r>
          </w:p>
        </w:tc>
        <w:tc>
          <w:tcPr>
            <w:tcW w:w="846" w:type="dxa"/>
            <w:tcBorders>
              <w:top w:val="nil"/>
              <w:left w:val="nil"/>
              <w:bottom w:val="nil"/>
              <w:right w:val="nil"/>
            </w:tcBorders>
          </w:tcPr>
          <w:p w14:paraId="5CFD2218" w14:textId="49062385" w:rsidR="00860D11" w:rsidRPr="00A63466" w:rsidRDefault="00860D11" w:rsidP="00860D11">
            <w:pPr>
              <w:spacing w:line="360" w:lineRule="auto"/>
              <w:jc w:val="both"/>
              <w:rPr>
                <w:rFonts w:cstheme="minorHAnsi"/>
                <w:sz w:val="16"/>
                <w:szCs w:val="16"/>
              </w:rPr>
            </w:pPr>
            <w:r w:rsidRPr="00A63466">
              <w:rPr>
                <w:rFonts w:cstheme="minorHAnsi"/>
                <w:sz w:val="16"/>
                <w:szCs w:val="16"/>
              </w:rPr>
              <w:t>English</w:t>
            </w:r>
          </w:p>
        </w:tc>
        <w:tc>
          <w:tcPr>
            <w:tcW w:w="885" w:type="dxa"/>
            <w:tcBorders>
              <w:top w:val="nil"/>
              <w:left w:val="nil"/>
              <w:bottom w:val="nil"/>
              <w:right w:val="nil"/>
            </w:tcBorders>
          </w:tcPr>
          <w:p w14:paraId="7611CCA1" w14:textId="3543BC79" w:rsidR="00860D11" w:rsidRPr="00A63466" w:rsidRDefault="00860D11" w:rsidP="00844B25">
            <w:pPr>
              <w:spacing w:line="360" w:lineRule="auto"/>
              <w:jc w:val="center"/>
              <w:rPr>
                <w:rFonts w:cstheme="minorHAnsi"/>
                <w:sz w:val="16"/>
                <w:szCs w:val="16"/>
              </w:rPr>
            </w:pPr>
            <w:r w:rsidRPr="00A63466">
              <w:rPr>
                <w:rFonts w:cstheme="minorHAnsi"/>
                <w:sz w:val="16"/>
                <w:szCs w:val="16"/>
              </w:rPr>
              <w:t>24</w:t>
            </w:r>
          </w:p>
        </w:tc>
        <w:tc>
          <w:tcPr>
            <w:tcW w:w="2410" w:type="dxa"/>
            <w:tcBorders>
              <w:top w:val="nil"/>
              <w:left w:val="nil"/>
              <w:bottom w:val="nil"/>
              <w:right w:val="nil"/>
            </w:tcBorders>
          </w:tcPr>
          <w:p w14:paraId="23E43B7E" w14:textId="07BD3BA8" w:rsidR="00860D11" w:rsidRPr="00A63466" w:rsidRDefault="006817C0" w:rsidP="00860D11">
            <w:pPr>
              <w:spacing w:line="360" w:lineRule="auto"/>
              <w:jc w:val="both"/>
              <w:rPr>
                <w:rFonts w:cstheme="minorHAnsi"/>
                <w:sz w:val="16"/>
                <w:szCs w:val="16"/>
              </w:rPr>
            </w:pPr>
            <w:r>
              <w:rPr>
                <w:rFonts w:cstheme="minorHAnsi"/>
                <w:sz w:val="16"/>
                <w:szCs w:val="16"/>
              </w:rPr>
              <w:t>UH, Acute dermatology service</w:t>
            </w:r>
          </w:p>
        </w:tc>
        <w:tc>
          <w:tcPr>
            <w:tcW w:w="2817" w:type="dxa"/>
            <w:tcBorders>
              <w:top w:val="nil"/>
              <w:left w:val="nil"/>
              <w:bottom w:val="nil"/>
              <w:right w:val="nil"/>
            </w:tcBorders>
          </w:tcPr>
          <w:p w14:paraId="05CB261F" w14:textId="57A2CE9A" w:rsidR="00860D11" w:rsidRPr="00A63466" w:rsidRDefault="00484288" w:rsidP="00860D11">
            <w:pPr>
              <w:spacing w:line="360" w:lineRule="auto"/>
              <w:jc w:val="both"/>
              <w:rPr>
                <w:rFonts w:cstheme="minorHAnsi"/>
                <w:sz w:val="16"/>
                <w:szCs w:val="16"/>
              </w:rPr>
            </w:pPr>
            <w:r>
              <w:rPr>
                <w:rFonts w:cstheme="minorHAnsi"/>
                <w:sz w:val="16"/>
                <w:szCs w:val="16"/>
              </w:rPr>
              <w:t>Adults, consecutive admissions</w:t>
            </w:r>
          </w:p>
        </w:tc>
        <w:tc>
          <w:tcPr>
            <w:tcW w:w="2113" w:type="dxa"/>
            <w:tcBorders>
              <w:top w:val="nil"/>
              <w:left w:val="nil"/>
              <w:bottom w:val="nil"/>
              <w:right w:val="nil"/>
            </w:tcBorders>
          </w:tcPr>
          <w:p w14:paraId="5D822277" w14:textId="26419327" w:rsidR="00860D11" w:rsidRPr="00A63466" w:rsidRDefault="002226CB" w:rsidP="00860D11">
            <w:pPr>
              <w:spacing w:line="360" w:lineRule="auto"/>
              <w:jc w:val="both"/>
              <w:rPr>
                <w:rFonts w:cstheme="minorHAnsi"/>
                <w:sz w:val="16"/>
                <w:szCs w:val="16"/>
              </w:rPr>
            </w:pPr>
            <w:r w:rsidRPr="00A63466">
              <w:rPr>
                <w:rFonts w:cstheme="minorHAnsi"/>
                <w:sz w:val="16"/>
                <w:szCs w:val="16"/>
              </w:rPr>
              <w:t>Prospective observational</w:t>
            </w:r>
          </w:p>
        </w:tc>
        <w:tc>
          <w:tcPr>
            <w:tcW w:w="698" w:type="dxa"/>
            <w:tcBorders>
              <w:top w:val="nil"/>
              <w:left w:val="nil"/>
              <w:bottom w:val="nil"/>
              <w:right w:val="nil"/>
            </w:tcBorders>
          </w:tcPr>
          <w:p w14:paraId="647119B4" w14:textId="2B1EA841" w:rsidR="00860D11" w:rsidRPr="00A63466" w:rsidRDefault="00860D11" w:rsidP="00860D11">
            <w:pPr>
              <w:spacing w:line="360" w:lineRule="auto"/>
              <w:jc w:val="both"/>
              <w:rPr>
                <w:rFonts w:cstheme="minorHAnsi"/>
                <w:sz w:val="16"/>
                <w:szCs w:val="16"/>
              </w:rPr>
            </w:pPr>
            <w:r w:rsidRPr="00A63466">
              <w:rPr>
                <w:rFonts w:cstheme="minorHAnsi"/>
                <w:sz w:val="16"/>
                <w:szCs w:val="16"/>
              </w:rPr>
              <w:t>1041</w:t>
            </w:r>
          </w:p>
        </w:tc>
        <w:tc>
          <w:tcPr>
            <w:tcW w:w="700" w:type="dxa"/>
            <w:tcBorders>
              <w:top w:val="nil"/>
              <w:left w:val="nil"/>
              <w:bottom w:val="nil"/>
              <w:right w:val="nil"/>
            </w:tcBorders>
          </w:tcPr>
          <w:p w14:paraId="61F3EC80" w14:textId="522985AD" w:rsidR="00860D11" w:rsidRPr="00A63466" w:rsidRDefault="00860D11" w:rsidP="00860D11">
            <w:pPr>
              <w:spacing w:line="360" w:lineRule="auto"/>
              <w:jc w:val="both"/>
              <w:rPr>
                <w:rFonts w:cstheme="minorHAnsi"/>
                <w:sz w:val="16"/>
                <w:szCs w:val="16"/>
              </w:rPr>
            </w:pPr>
            <w:r w:rsidRPr="00A63466">
              <w:rPr>
                <w:rFonts w:cstheme="minorHAnsi"/>
                <w:sz w:val="16"/>
                <w:szCs w:val="16"/>
              </w:rPr>
              <w:t>244</w:t>
            </w:r>
          </w:p>
        </w:tc>
        <w:tc>
          <w:tcPr>
            <w:tcW w:w="930" w:type="dxa"/>
            <w:tcBorders>
              <w:top w:val="nil"/>
              <w:left w:val="nil"/>
              <w:bottom w:val="nil"/>
              <w:right w:val="nil"/>
            </w:tcBorders>
          </w:tcPr>
          <w:p w14:paraId="65C4C9BB" w14:textId="44500CD3" w:rsidR="00860D11" w:rsidRPr="00A63466" w:rsidRDefault="00B81528" w:rsidP="00860D11">
            <w:pPr>
              <w:spacing w:line="360" w:lineRule="auto"/>
              <w:jc w:val="both"/>
              <w:rPr>
                <w:rFonts w:cstheme="minorHAnsi"/>
                <w:sz w:val="16"/>
                <w:szCs w:val="16"/>
              </w:rPr>
            </w:pPr>
            <w:r w:rsidRPr="00A63466">
              <w:rPr>
                <w:rFonts w:cstheme="minorHAnsi"/>
                <w:sz w:val="16"/>
                <w:szCs w:val="16"/>
              </w:rPr>
              <w:t>48.9 ± 18.9</w:t>
            </w:r>
          </w:p>
        </w:tc>
        <w:tc>
          <w:tcPr>
            <w:tcW w:w="825" w:type="dxa"/>
            <w:tcBorders>
              <w:top w:val="nil"/>
              <w:left w:val="nil"/>
              <w:bottom w:val="nil"/>
              <w:right w:val="single" w:sz="4" w:space="0" w:color="auto"/>
            </w:tcBorders>
          </w:tcPr>
          <w:p w14:paraId="497C05F7" w14:textId="39DC696C" w:rsidR="00860D11" w:rsidRPr="00A63466" w:rsidRDefault="00EB297D" w:rsidP="00860D11">
            <w:pPr>
              <w:spacing w:line="360" w:lineRule="auto"/>
              <w:jc w:val="both"/>
              <w:rPr>
                <w:rFonts w:cstheme="minorHAnsi"/>
                <w:sz w:val="16"/>
                <w:szCs w:val="16"/>
              </w:rPr>
            </w:pPr>
            <w:r w:rsidRPr="00A63466">
              <w:rPr>
                <w:rFonts w:cstheme="minorHAnsi"/>
                <w:sz w:val="16"/>
                <w:szCs w:val="16"/>
              </w:rPr>
              <w:t>42% M</w:t>
            </w:r>
          </w:p>
        </w:tc>
      </w:tr>
      <w:tr w:rsidR="00484288" w:rsidRPr="00A63466" w14:paraId="6D9E59FE" w14:textId="77777777" w:rsidTr="006A36B7">
        <w:tc>
          <w:tcPr>
            <w:tcW w:w="1985" w:type="dxa"/>
            <w:tcBorders>
              <w:top w:val="nil"/>
              <w:left w:val="single" w:sz="4" w:space="0" w:color="auto"/>
              <w:bottom w:val="nil"/>
              <w:right w:val="nil"/>
            </w:tcBorders>
          </w:tcPr>
          <w:p w14:paraId="3773CF7A" w14:textId="7348F0E5" w:rsidR="00484288" w:rsidRPr="002B0140" w:rsidRDefault="00484288" w:rsidP="00A75F77">
            <w:pPr>
              <w:spacing w:line="360" w:lineRule="auto"/>
              <w:jc w:val="both"/>
              <w:rPr>
                <w:rFonts w:cstheme="minorHAnsi"/>
                <w:b/>
                <w:sz w:val="16"/>
                <w:szCs w:val="16"/>
              </w:rPr>
            </w:pPr>
            <w:r w:rsidRPr="002B0140">
              <w:rPr>
                <w:rFonts w:cstheme="minorHAnsi"/>
                <w:b/>
                <w:sz w:val="16"/>
                <w:szCs w:val="16"/>
              </w:rPr>
              <w:t xml:space="preserve">Ganeva </w:t>
            </w:r>
            <w:r w:rsidR="00A75F77">
              <w:rPr>
                <w:rFonts w:cstheme="minorHAnsi"/>
                <w:b/>
                <w:noProof/>
                <w:sz w:val="16"/>
                <w:szCs w:val="16"/>
              </w:rPr>
              <w:t>[33]</w:t>
            </w:r>
          </w:p>
        </w:tc>
        <w:tc>
          <w:tcPr>
            <w:tcW w:w="541" w:type="dxa"/>
            <w:tcBorders>
              <w:top w:val="nil"/>
              <w:left w:val="nil"/>
              <w:bottom w:val="nil"/>
              <w:right w:val="nil"/>
            </w:tcBorders>
          </w:tcPr>
          <w:p w14:paraId="70EB5468" w14:textId="5F2B5CC8" w:rsidR="00484288" w:rsidRPr="00A63466" w:rsidRDefault="00484288" w:rsidP="00484288">
            <w:pPr>
              <w:spacing w:line="360" w:lineRule="auto"/>
              <w:jc w:val="both"/>
              <w:rPr>
                <w:rFonts w:cstheme="minorHAnsi"/>
                <w:sz w:val="16"/>
                <w:szCs w:val="16"/>
              </w:rPr>
            </w:pPr>
            <w:r w:rsidRPr="00A63466">
              <w:rPr>
                <w:rFonts w:cstheme="minorHAnsi"/>
                <w:sz w:val="16"/>
                <w:szCs w:val="16"/>
              </w:rPr>
              <w:t>2013</w:t>
            </w:r>
          </w:p>
        </w:tc>
        <w:tc>
          <w:tcPr>
            <w:tcW w:w="1034" w:type="dxa"/>
            <w:tcBorders>
              <w:top w:val="nil"/>
              <w:left w:val="nil"/>
              <w:bottom w:val="nil"/>
              <w:right w:val="nil"/>
            </w:tcBorders>
          </w:tcPr>
          <w:p w14:paraId="0F1218DD" w14:textId="3CF4DA5C" w:rsidR="00484288" w:rsidRPr="00A63466" w:rsidRDefault="00484288" w:rsidP="00484288">
            <w:pPr>
              <w:spacing w:line="360" w:lineRule="auto"/>
              <w:jc w:val="both"/>
              <w:rPr>
                <w:rFonts w:cstheme="minorHAnsi"/>
                <w:sz w:val="16"/>
                <w:szCs w:val="16"/>
              </w:rPr>
            </w:pPr>
            <w:r w:rsidRPr="00A63466">
              <w:rPr>
                <w:rFonts w:cstheme="minorHAnsi"/>
                <w:sz w:val="16"/>
                <w:szCs w:val="16"/>
              </w:rPr>
              <w:t>Bulgaria</w:t>
            </w:r>
          </w:p>
        </w:tc>
        <w:tc>
          <w:tcPr>
            <w:tcW w:w="846" w:type="dxa"/>
            <w:tcBorders>
              <w:top w:val="nil"/>
              <w:left w:val="nil"/>
              <w:bottom w:val="nil"/>
              <w:right w:val="nil"/>
            </w:tcBorders>
          </w:tcPr>
          <w:p w14:paraId="44508C29" w14:textId="2EED3753" w:rsidR="00484288" w:rsidRPr="00A63466" w:rsidRDefault="00484288" w:rsidP="00484288">
            <w:pPr>
              <w:spacing w:line="360" w:lineRule="auto"/>
              <w:jc w:val="both"/>
              <w:rPr>
                <w:rFonts w:cstheme="minorHAnsi"/>
                <w:sz w:val="16"/>
                <w:szCs w:val="16"/>
              </w:rPr>
            </w:pPr>
            <w:r w:rsidRPr="00A63466">
              <w:rPr>
                <w:rFonts w:cstheme="minorHAnsi"/>
                <w:sz w:val="16"/>
                <w:szCs w:val="16"/>
              </w:rPr>
              <w:t>English</w:t>
            </w:r>
          </w:p>
        </w:tc>
        <w:tc>
          <w:tcPr>
            <w:tcW w:w="885" w:type="dxa"/>
            <w:tcBorders>
              <w:top w:val="nil"/>
              <w:left w:val="nil"/>
              <w:bottom w:val="nil"/>
              <w:right w:val="nil"/>
            </w:tcBorders>
          </w:tcPr>
          <w:p w14:paraId="611DCB5F" w14:textId="1FE23EBA" w:rsidR="00484288" w:rsidRPr="00A63466" w:rsidRDefault="00484288" w:rsidP="00844B25">
            <w:pPr>
              <w:spacing w:line="360" w:lineRule="auto"/>
              <w:jc w:val="center"/>
              <w:rPr>
                <w:rFonts w:cstheme="minorHAnsi"/>
                <w:sz w:val="16"/>
                <w:szCs w:val="16"/>
              </w:rPr>
            </w:pPr>
            <w:r w:rsidRPr="00A63466">
              <w:rPr>
                <w:rFonts w:cstheme="minorHAnsi"/>
                <w:sz w:val="16"/>
                <w:szCs w:val="16"/>
              </w:rPr>
              <w:t>18</w:t>
            </w:r>
          </w:p>
        </w:tc>
        <w:tc>
          <w:tcPr>
            <w:tcW w:w="2410" w:type="dxa"/>
            <w:tcBorders>
              <w:top w:val="nil"/>
              <w:left w:val="nil"/>
              <w:bottom w:val="nil"/>
              <w:right w:val="nil"/>
            </w:tcBorders>
          </w:tcPr>
          <w:p w14:paraId="4F0FEA7B" w14:textId="422D0EB6" w:rsidR="00484288" w:rsidRPr="00A63466" w:rsidRDefault="00484288" w:rsidP="00484288">
            <w:pPr>
              <w:spacing w:line="360" w:lineRule="auto"/>
              <w:jc w:val="both"/>
              <w:rPr>
                <w:rFonts w:cstheme="minorHAnsi"/>
                <w:sz w:val="16"/>
                <w:szCs w:val="16"/>
              </w:rPr>
            </w:pPr>
            <w:r>
              <w:rPr>
                <w:rFonts w:cstheme="minorHAnsi"/>
                <w:sz w:val="16"/>
                <w:szCs w:val="16"/>
              </w:rPr>
              <w:t>UH, Acute dermatology service</w:t>
            </w:r>
          </w:p>
        </w:tc>
        <w:tc>
          <w:tcPr>
            <w:tcW w:w="2817" w:type="dxa"/>
            <w:tcBorders>
              <w:top w:val="nil"/>
              <w:left w:val="nil"/>
              <w:bottom w:val="nil"/>
              <w:right w:val="nil"/>
            </w:tcBorders>
          </w:tcPr>
          <w:p w14:paraId="30A34AE6" w14:textId="3651F78C" w:rsidR="00484288" w:rsidRPr="00A63466" w:rsidRDefault="00484288" w:rsidP="00484288">
            <w:pPr>
              <w:spacing w:line="360" w:lineRule="auto"/>
              <w:jc w:val="both"/>
              <w:rPr>
                <w:rFonts w:cstheme="minorHAnsi"/>
                <w:sz w:val="16"/>
                <w:szCs w:val="16"/>
              </w:rPr>
            </w:pPr>
            <w:r>
              <w:rPr>
                <w:rFonts w:cstheme="minorHAnsi"/>
                <w:sz w:val="16"/>
                <w:szCs w:val="16"/>
              </w:rPr>
              <w:t>Adults, consecutive admissions</w:t>
            </w:r>
          </w:p>
        </w:tc>
        <w:tc>
          <w:tcPr>
            <w:tcW w:w="2113" w:type="dxa"/>
            <w:tcBorders>
              <w:top w:val="nil"/>
              <w:left w:val="nil"/>
              <w:bottom w:val="nil"/>
              <w:right w:val="nil"/>
            </w:tcBorders>
          </w:tcPr>
          <w:p w14:paraId="037D27B5" w14:textId="5FA4C561" w:rsidR="00484288" w:rsidRPr="00A63466" w:rsidRDefault="00484288" w:rsidP="00484288">
            <w:pPr>
              <w:spacing w:line="360" w:lineRule="auto"/>
              <w:jc w:val="both"/>
              <w:rPr>
                <w:rFonts w:cstheme="minorHAnsi"/>
                <w:sz w:val="16"/>
                <w:szCs w:val="16"/>
              </w:rPr>
            </w:pPr>
            <w:r w:rsidRPr="00A63466">
              <w:rPr>
                <w:rFonts w:cstheme="minorHAnsi"/>
                <w:sz w:val="16"/>
                <w:szCs w:val="16"/>
              </w:rPr>
              <w:t>Prospective observational</w:t>
            </w:r>
          </w:p>
        </w:tc>
        <w:tc>
          <w:tcPr>
            <w:tcW w:w="698" w:type="dxa"/>
            <w:tcBorders>
              <w:top w:val="nil"/>
              <w:left w:val="nil"/>
              <w:bottom w:val="nil"/>
              <w:right w:val="nil"/>
            </w:tcBorders>
          </w:tcPr>
          <w:p w14:paraId="73690F89" w14:textId="0B780739" w:rsidR="00484288" w:rsidRPr="00A63466" w:rsidRDefault="00484288" w:rsidP="00484288">
            <w:pPr>
              <w:spacing w:line="360" w:lineRule="auto"/>
              <w:jc w:val="both"/>
              <w:rPr>
                <w:rFonts w:cstheme="minorHAnsi"/>
                <w:sz w:val="16"/>
                <w:szCs w:val="16"/>
              </w:rPr>
            </w:pPr>
            <w:r w:rsidRPr="00A63466">
              <w:rPr>
                <w:rFonts w:cstheme="minorHAnsi"/>
                <w:sz w:val="16"/>
                <w:szCs w:val="16"/>
              </w:rPr>
              <w:t>674</w:t>
            </w:r>
          </w:p>
        </w:tc>
        <w:tc>
          <w:tcPr>
            <w:tcW w:w="700" w:type="dxa"/>
            <w:tcBorders>
              <w:top w:val="nil"/>
              <w:left w:val="nil"/>
              <w:bottom w:val="nil"/>
              <w:right w:val="nil"/>
            </w:tcBorders>
          </w:tcPr>
          <w:p w14:paraId="2085F13C" w14:textId="7BDE5784" w:rsidR="00484288" w:rsidRPr="00A63466" w:rsidRDefault="00484288" w:rsidP="00484288">
            <w:pPr>
              <w:spacing w:line="360" w:lineRule="auto"/>
              <w:jc w:val="both"/>
              <w:rPr>
                <w:rFonts w:cstheme="minorHAnsi"/>
                <w:sz w:val="16"/>
                <w:szCs w:val="16"/>
              </w:rPr>
            </w:pPr>
            <w:r w:rsidRPr="00A63466">
              <w:rPr>
                <w:rFonts w:cstheme="minorHAnsi"/>
                <w:sz w:val="16"/>
                <w:szCs w:val="16"/>
              </w:rPr>
              <w:t>203</w:t>
            </w:r>
          </w:p>
        </w:tc>
        <w:tc>
          <w:tcPr>
            <w:tcW w:w="930" w:type="dxa"/>
            <w:tcBorders>
              <w:top w:val="nil"/>
              <w:left w:val="nil"/>
              <w:bottom w:val="nil"/>
              <w:right w:val="nil"/>
            </w:tcBorders>
          </w:tcPr>
          <w:p w14:paraId="4D844504" w14:textId="47C1FB05" w:rsidR="00484288" w:rsidRPr="00A63466" w:rsidRDefault="00070346" w:rsidP="00484288">
            <w:pPr>
              <w:spacing w:line="360" w:lineRule="auto"/>
              <w:jc w:val="both"/>
              <w:rPr>
                <w:rFonts w:cstheme="minorHAnsi"/>
                <w:sz w:val="16"/>
                <w:szCs w:val="16"/>
              </w:rPr>
            </w:pPr>
            <w:r>
              <w:rPr>
                <w:rFonts w:cstheme="minorHAnsi"/>
                <w:sz w:val="16"/>
                <w:szCs w:val="16"/>
              </w:rPr>
              <w:t>-</w:t>
            </w:r>
          </w:p>
        </w:tc>
        <w:tc>
          <w:tcPr>
            <w:tcW w:w="825" w:type="dxa"/>
            <w:tcBorders>
              <w:top w:val="nil"/>
              <w:left w:val="nil"/>
              <w:bottom w:val="nil"/>
              <w:right w:val="single" w:sz="4" w:space="0" w:color="auto"/>
            </w:tcBorders>
          </w:tcPr>
          <w:p w14:paraId="66588976" w14:textId="2FDC24A9" w:rsidR="00484288" w:rsidRPr="00A63466" w:rsidRDefault="00484288" w:rsidP="00484288">
            <w:pPr>
              <w:spacing w:line="360" w:lineRule="auto"/>
              <w:jc w:val="both"/>
              <w:rPr>
                <w:rFonts w:cstheme="minorHAnsi"/>
                <w:sz w:val="16"/>
                <w:szCs w:val="16"/>
              </w:rPr>
            </w:pPr>
            <w:r w:rsidRPr="00A63466">
              <w:rPr>
                <w:rFonts w:cstheme="minorHAnsi"/>
                <w:sz w:val="16"/>
                <w:szCs w:val="16"/>
              </w:rPr>
              <w:t>47% M</w:t>
            </w:r>
          </w:p>
        </w:tc>
      </w:tr>
      <w:tr w:rsidR="00484288" w:rsidRPr="00A63466" w14:paraId="20AFABA7" w14:textId="77777777" w:rsidTr="006A36B7">
        <w:tc>
          <w:tcPr>
            <w:tcW w:w="1985" w:type="dxa"/>
            <w:tcBorders>
              <w:top w:val="nil"/>
              <w:left w:val="single" w:sz="4" w:space="0" w:color="auto"/>
              <w:bottom w:val="nil"/>
              <w:right w:val="nil"/>
            </w:tcBorders>
          </w:tcPr>
          <w:p w14:paraId="6EEF5537" w14:textId="76DB974A" w:rsidR="00484288" w:rsidRPr="002B0140" w:rsidRDefault="00484288" w:rsidP="00A75F77">
            <w:pPr>
              <w:spacing w:line="360" w:lineRule="auto"/>
              <w:jc w:val="both"/>
              <w:rPr>
                <w:rFonts w:cstheme="minorHAnsi"/>
                <w:b/>
                <w:sz w:val="16"/>
                <w:szCs w:val="16"/>
              </w:rPr>
            </w:pPr>
            <w:r w:rsidRPr="002B0140">
              <w:rPr>
                <w:rFonts w:cstheme="minorHAnsi"/>
                <w:b/>
                <w:sz w:val="16"/>
                <w:szCs w:val="16"/>
              </w:rPr>
              <w:t xml:space="preserve">Ganeva </w:t>
            </w:r>
            <w:r w:rsidR="00A75F77">
              <w:rPr>
                <w:rFonts w:cstheme="minorHAnsi"/>
                <w:b/>
                <w:noProof/>
                <w:sz w:val="16"/>
                <w:szCs w:val="16"/>
              </w:rPr>
              <w:t>[32]</w:t>
            </w:r>
          </w:p>
        </w:tc>
        <w:tc>
          <w:tcPr>
            <w:tcW w:w="541" w:type="dxa"/>
            <w:tcBorders>
              <w:top w:val="nil"/>
              <w:left w:val="nil"/>
              <w:bottom w:val="nil"/>
              <w:right w:val="nil"/>
            </w:tcBorders>
          </w:tcPr>
          <w:p w14:paraId="6EA50734" w14:textId="07E78BEC" w:rsidR="00484288" w:rsidRPr="00A63466" w:rsidRDefault="00484288" w:rsidP="00484288">
            <w:pPr>
              <w:spacing w:line="360" w:lineRule="auto"/>
              <w:jc w:val="both"/>
              <w:rPr>
                <w:rFonts w:cstheme="minorHAnsi"/>
                <w:sz w:val="16"/>
                <w:szCs w:val="16"/>
              </w:rPr>
            </w:pPr>
            <w:r w:rsidRPr="00A63466">
              <w:rPr>
                <w:rFonts w:cstheme="minorHAnsi"/>
                <w:sz w:val="16"/>
                <w:szCs w:val="16"/>
              </w:rPr>
              <w:t>2016</w:t>
            </w:r>
          </w:p>
        </w:tc>
        <w:tc>
          <w:tcPr>
            <w:tcW w:w="1034" w:type="dxa"/>
            <w:tcBorders>
              <w:top w:val="nil"/>
              <w:left w:val="nil"/>
              <w:bottom w:val="nil"/>
              <w:right w:val="nil"/>
            </w:tcBorders>
          </w:tcPr>
          <w:p w14:paraId="4C124934" w14:textId="721A69E1" w:rsidR="00484288" w:rsidRPr="00A63466" w:rsidRDefault="00484288" w:rsidP="00484288">
            <w:pPr>
              <w:spacing w:line="360" w:lineRule="auto"/>
              <w:jc w:val="both"/>
              <w:rPr>
                <w:rFonts w:cstheme="minorHAnsi"/>
                <w:sz w:val="16"/>
                <w:szCs w:val="16"/>
              </w:rPr>
            </w:pPr>
            <w:r w:rsidRPr="00A63466">
              <w:rPr>
                <w:rFonts w:cstheme="minorHAnsi"/>
                <w:sz w:val="16"/>
                <w:szCs w:val="16"/>
              </w:rPr>
              <w:t>Bulgaria</w:t>
            </w:r>
          </w:p>
        </w:tc>
        <w:tc>
          <w:tcPr>
            <w:tcW w:w="846" w:type="dxa"/>
            <w:tcBorders>
              <w:top w:val="nil"/>
              <w:left w:val="nil"/>
              <w:bottom w:val="nil"/>
              <w:right w:val="nil"/>
            </w:tcBorders>
          </w:tcPr>
          <w:p w14:paraId="748F3EB5" w14:textId="5A9BBC0B" w:rsidR="00484288" w:rsidRPr="00A63466" w:rsidRDefault="00484288" w:rsidP="00484288">
            <w:pPr>
              <w:spacing w:line="360" w:lineRule="auto"/>
              <w:jc w:val="both"/>
              <w:rPr>
                <w:rFonts w:cstheme="minorHAnsi"/>
                <w:sz w:val="16"/>
                <w:szCs w:val="16"/>
              </w:rPr>
            </w:pPr>
            <w:r w:rsidRPr="00A63466">
              <w:rPr>
                <w:rFonts w:cstheme="minorHAnsi"/>
                <w:sz w:val="16"/>
                <w:szCs w:val="16"/>
              </w:rPr>
              <w:t>English</w:t>
            </w:r>
          </w:p>
        </w:tc>
        <w:tc>
          <w:tcPr>
            <w:tcW w:w="885" w:type="dxa"/>
            <w:tcBorders>
              <w:top w:val="nil"/>
              <w:left w:val="nil"/>
              <w:bottom w:val="nil"/>
              <w:right w:val="nil"/>
            </w:tcBorders>
          </w:tcPr>
          <w:p w14:paraId="36659865" w14:textId="442EBC07" w:rsidR="00484288" w:rsidRPr="00A63466" w:rsidRDefault="00484288" w:rsidP="00844B25">
            <w:pPr>
              <w:spacing w:line="360" w:lineRule="auto"/>
              <w:jc w:val="center"/>
              <w:rPr>
                <w:rFonts w:cstheme="minorHAnsi"/>
                <w:sz w:val="16"/>
                <w:szCs w:val="16"/>
              </w:rPr>
            </w:pPr>
            <w:r w:rsidRPr="00A63466">
              <w:rPr>
                <w:rFonts w:cstheme="minorHAnsi"/>
                <w:sz w:val="16"/>
                <w:szCs w:val="16"/>
              </w:rPr>
              <w:t>60</w:t>
            </w:r>
          </w:p>
        </w:tc>
        <w:tc>
          <w:tcPr>
            <w:tcW w:w="2410" w:type="dxa"/>
            <w:tcBorders>
              <w:top w:val="nil"/>
              <w:left w:val="nil"/>
              <w:bottom w:val="nil"/>
              <w:right w:val="nil"/>
            </w:tcBorders>
          </w:tcPr>
          <w:p w14:paraId="7294313B" w14:textId="005C7D49" w:rsidR="00484288" w:rsidRPr="00A63466" w:rsidRDefault="00484288" w:rsidP="00484288">
            <w:pPr>
              <w:spacing w:line="360" w:lineRule="auto"/>
              <w:jc w:val="both"/>
              <w:rPr>
                <w:rFonts w:cstheme="minorHAnsi"/>
                <w:sz w:val="16"/>
                <w:szCs w:val="16"/>
              </w:rPr>
            </w:pPr>
            <w:r>
              <w:rPr>
                <w:rFonts w:cstheme="minorHAnsi"/>
                <w:sz w:val="16"/>
                <w:szCs w:val="16"/>
              </w:rPr>
              <w:t>UH, Acute dermatology service</w:t>
            </w:r>
          </w:p>
        </w:tc>
        <w:tc>
          <w:tcPr>
            <w:tcW w:w="2817" w:type="dxa"/>
            <w:tcBorders>
              <w:top w:val="nil"/>
              <w:left w:val="nil"/>
              <w:bottom w:val="nil"/>
              <w:right w:val="nil"/>
            </w:tcBorders>
          </w:tcPr>
          <w:p w14:paraId="3A319CC5" w14:textId="5AEB20E8" w:rsidR="00484288" w:rsidRPr="00A63466" w:rsidRDefault="00484288" w:rsidP="00484288">
            <w:pPr>
              <w:spacing w:line="360" w:lineRule="auto"/>
              <w:jc w:val="both"/>
              <w:rPr>
                <w:rFonts w:cstheme="minorHAnsi"/>
                <w:sz w:val="16"/>
                <w:szCs w:val="16"/>
              </w:rPr>
            </w:pPr>
            <w:r>
              <w:rPr>
                <w:rFonts w:cstheme="minorHAnsi"/>
                <w:sz w:val="16"/>
                <w:szCs w:val="16"/>
              </w:rPr>
              <w:t>Adults, consecutive admissions</w:t>
            </w:r>
          </w:p>
        </w:tc>
        <w:tc>
          <w:tcPr>
            <w:tcW w:w="2113" w:type="dxa"/>
            <w:tcBorders>
              <w:top w:val="nil"/>
              <w:left w:val="nil"/>
              <w:bottom w:val="nil"/>
              <w:right w:val="nil"/>
            </w:tcBorders>
          </w:tcPr>
          <w:p w14:paraId="1C58009E" w14:textId="688D38DF" w:rsidR="00484288" w:rsidRPr="00A63466" w:rsidRDefault="00484288" w:rsidP="00484288">
            <w:pPr>
              <w:spacing w:line="360" w:lineRule="auto"/>
              <w:jc w:val="both"/>
              <w:rPr>
                <w:rFonts w:cstheme="minorHAnsi"/>
                <w:sz w:val="16"/>
                <w:szCs w:val="16"/>
              </w:rPr>
            </w:pPr>
            <w:r w:rsidRPr="00A63466">
              <w:rPr>
                <w:rFonts w:cstheme="minorHAnsi"/>
                <w:sz w:val="16"/>
                <w:szCs w:val="16"/>
              </w:rPr>
              <w:t>Prospective observational</w:t>
            </w:r>
          </w:p>
        </w:tc>
        <w:tc>
          <w:tcPr>
            <w:tcW w:w="698" w:type="dxa"/>
            <w:tcBorders>
              <w:top w:val="nil"/>
              <w:left w:val="nil"/>
              <w:bottom w:val="nil"/>
              <w:right w:val="nil"/>
            </w:tcBorders>
          </w:tcPr>
          <w:p w14:paraId="771C7913" w14:textId="197DE55F" w:rsidR="00484288" w:rsidRPr="00A63466" w:rsidRDefault="00484288" w:rsidP="00484288">
            <w:pPr>
              <w:spacing w:line="360" w:lineRule="auto"/>
              <w:jc w:val="both"/>
              <w:rPr>
                <w:rFonts w:cstheme="minorHAnsi"/>
                <w:sz w:val="16"/>
                <w:szCs w:val="16"/>
              </w:rPr>
            </w:pPr>
            <w:r w:rsidRPr="00A63466">
              <w:rPr>
                <w:rFonts w:cstheme="minorHAnsi"/>
                <w:sz w:val="16"/>
                <w:szCs w:val="16"/>
              </w:rPr>
              <w:t>750</w:t>
            </w:r>
          </w:p>
        </w:tc>
        <w:tc>
          <w:tcPr>
            <w:tcW w:w="700" w:type="dxa"/>
            <w:tcBorders>
              <w:top w:val="nil"/>
              <w:left w:val="nil"/>
              <w:bottom w:val="nil"/>
              <w:right w:val="nil"/>
            </w:tcBorders>
          </w:tcPr>
          <w:p w14:paraId="1A5DB947" w14:textId="0DD53B84" w:rsidR="00484288" w:rsidRPr="00A63466" w:rsidRDefault="00484288" w:rsidP="00484288">
            <w:pPr>
              <w:spacing w:line="360" w:lineRule="auto"/>
              <w:jc w:val="both"/>
              <w:rPr>
                <w:rFonts w:cstheme="minorHAnsi"/>
                <w:sz w:val="16"/>
                <w:szCs w:val="16"/>
              </w:rPr>
            </w:pPr>
            <w:r w:rsidRPr="00A63466">
              <w:rPr>
                <w:rFonts w:cstheme="minorHAnsi"/>
                <w:sz w:val="16"/>
                <w:szCs w:val="16"/>
              </w:rPr>
              <w:t>222</w:t>
            </w:r>
          </w:p>
        </w:tc>
        <w:tc>
          <w:tcPr>
            <w:tcW w:w="930" w:type="dxa"/>
            <w:tcBorders>
              <w:top w:val="nil"/>
              <w:left w:val="nil"/>
              <w:bottom w:val="nil"/>
              <w:right w:val="nil"/>
            </w:tcBorders>
          </w:tcPr>
          <w:p w14:paraId="18999783" w14:textId="18EF7232" w:rsidR="00484288" w:rsidRPr="00A63466" w:rsidRDefault="00070346" w:rsidP="00484288">
            <w:pPr>
              <w:spacing w:line="360" w:lineRule="auto"/>
              <w:jc w:val="both"/>
              <w:rPr>
                <w:rFonts w:cstheme="minorHAnsi"/>
                <w:sz w:val="16"/>
                <w:szCs w:val="16"/>
              </w:rPr>
            </w:pPr>
            <w:r>
              <w:rPr>
                <w:rFonts w:cstheme="minorHAnsi"/>
                <w:sz w:val="16"/>
                <w:szCs w:val="16"/>
              </w:rPr>
              <w:t>-</w:t>
            </w:r>
          </w:p>
        </w:tc>
        <w:tc>
          <w:tcPr>
            <w:tcW w:w="825" w:type="dxa"/>
            <w:tcBorders>
              <w:top w:val="nil"/>
              <w:left w:val="nil"/>
              <w:bottom w:val="nil"/>
              <w:right w:val="single" w:sz="4" w:space="0" w:color="auto"/>
            </w:tcBorders>
          </w:tcPr>
          <w:p w14:paraId="57563157" w14:textId="0D59EA2D" w:rsidR="00484288" w:rsidRPr="00A63466" w:rsidRDefault="00070346" w:rsidP="00484288">
            <w:pPr>
              <w:spacing w:line="360" w:lineRule="auto"/>
              <w:jc w:val="both"/>
              <w:rPr>
                <w:rFonts w:cstheme="minorHAnsi"/>
                <w:sz w:val="16"/>
                <w:szCs w:val="16"/>
              </w:rPr>
            </w:pPr>
            <w:r>
              <w:rPr>
                <w:rFonts w:cstheme="minorHAnsi"/>
                <w:sz w:val="16"/>
                <w:szCs w:val="16"/>
              </w:rPr>
              <w:t>-</w:t>
            </w:r>
          </w:p>
        </w:tc>
      </w:tr>
      <w:tr w:rsidR="006A36B7" w:rsidRPr="00A63466" w14:paraId="7E7C66C1" w14:textId="77777777" w:rsidTr="006A36B7">
        <w:tc>
          <w:tcPr>
            <w:tcW w:w="1985" w:type="dxa"/>
            <w:tcBorders>
              <w:top w:val="nil"/>
              <w:left w:val="single" w:sz="4" w:space="0" w:color="auto"/>
              <w:bottom w:val="nil"/>
              <w:right w:val="nil"/>
            </w:tcBorders>
          </w:tcPr>
          <w:p w14:paraId="7792968F" w14:textId="14E3ACFF" w:rsidR="006A36B7" w:rsidRPr="002B0140" w:rsidRDefault="006A36B7" w:rsidP="00080710">
            <w:pPr>
              <w:spacing w:line="360" w:lineRule="auto"/>
              <w:jc w:val="both"/>
              <w:rPr>
                <w:rFonts w:cstheme="minorHAnsi"/>
                <w:b/>
                <w:sz w:val="16"/>
                <w:szCs w:val="16"/>
              </w:rPr>
            </w:pPr>
            <w:r>
              <w:rPr>
                <w:rFonts w:cstheme="minorHAnsi"/>
                <w:b/>
                <w:sz w:val="16"/>
                <w:szCs w:val="16"/>
              </w:rPr>
              <w:t xml:space="preserve">Giardina </w:t>
            </w:r>
            <w:commentRangeStart w:id="11"/>
            <w:r>
              <w:rPr>
                <w:rFonts w:cstheme="minorHAnsi"/>
                <w:b/>
                <w:noProof/>
                <w:sz w:val="16"/>
                <w:szCs w:val="16"/>
              </w:rPr>
              <w:t>[34]</w:t>
            </w:r>
            <w:commentRangeEnd w:id="11"/>
            <w:r>
              <w:rPr>
                <w:rStyle w:val="CommentReference"/>
              </w:rPr>
              <w:commentReference w:id="11"/>
            </w:r>
          </w:p>
        </w:tc>
        <w:tc>
          <w:tcPr>
            <w:tcW w:w="541" w:type="dxa"/>
            <w:tcBorders>
              <w:top w:val="nil"/>
              <w:left w:val="nil"/>
              <w:bottom w:val="nil"/>
              <w:right w:val="nil"/>
            </w:tcBorders>
          </w:tcPr>
          <w:p w14:paraId="4DA6DAEB" w14:textId="24A7B31D" w:rsidR="006A36B7" w:rsidRPr="00A63466" w:rsidRDefault="006A36B7" w:rsidP="006A36B7">
            <w:pPr>
              <w:spacing w:line="360" w:lineRule="auto"/>
              <w:jc w:val="both"/>
              <w:rPr>
                <w:rFonts w:cstheme="minorHAnsi"/>
                <w:sz w:val="16"/>
                <w:szCs w:val="16"/>
              </w:rPr>
            </w:pPr>
            <w:r>
              <w:rPr>
                <w:rFonts w:cstheme="minorHAnsi"/>
                <w:sz w:val="16"/>
                <w:szCs w:val="16"/>
              </w:rPr>
              <w:t>2018</w:t>
            </w:r>
          </w:p>
        </w:tc>
        <w:tc>
          <w:tcPr>
            <w:tcW w:w="1034" w:type="dxa"/>
            <w:tcBorders>
              <w:top w:val="nil"/>
              <w:left w:val="nil"/>
              <w:bottom w:val="nil"/>
              <w:right w:val="nil"/>
            </w:tcBorders>
          </w:tcPr>
          <w:p w14:paraId="152943AA" w14:textId="6614D973" w:rsidR="006A36B7" w:rsidRPr="00A63466" w:rsidRDefault="006A36B7" w:rsidP="006A36B7">
            <w:pPr>
              <w:spacing w:line="360" w:lineRule="auto"/>
              <w:jc w:val="both"/>
              <w:rPr>
                <w:rFonts w:cstheme="minorHAnsi"/>
                <w:sz w:val="16"/>
                <w:szCs w:val="16"/>
              </w:rPr>
            </w:pPr>
            <w:r>
              <w:rPr>
                <w:rFonts w:cstheme="minorHAnsi"/>
                <w:sz w:val="16"/>
                <w:szCs w:val="16"/>
              </w:rPr>
              <w:t>Italy</w:t>
            </w:r>
          </w:p>
        </w:tc>
        <w:tc>
          <w:tcPr>
            <w:tcW w:w="846" w:type="dxa"/>
            <w:tcBorders>
              <w:top w:val="nil"/>
              <w:left w:val="nil"/>
              <w:bottom w:val="nil"/>
              <w:right w:val="nil"/>
            </w:tcBorders>
          </w:tcPr>
          <w:p w14:paraId="6B157F83" w14:textId="16B73CD5" w:rsidR="006A36B7" w:rsidRPr="00A63466" w:rsidRDefault="006A36B7" w:rsidP="006A36B7">
            <w:pPr>
              <w:spacing w:line="360" w:lineRule="auto"/>
              <w:jc w:val="both"/>
              <w:rPr>
                <w:rFonts w:cstheme="minorHAnsi"/>
                <w:sz w:val="16"/>
                <w:szCs w:val="16"/>
              </w:rPr>
            </w:pPr>
            <w:r>
              <w:rPr>
                <w:rFonts w:cstheme="minorHAnsi"/>
                <w:sz w:val="16"/>
                <w:szCs w:val="16"/>
              </w:rPr>
              <w:t>English</w:t>
            </w:r>
          </w:p>
        </w:tc>
        <w:tc>
          <w:tcPr>
            <w:tcW w:w="885" w:type="dxa"/>
            <w:tcBorders>
              <w:top w:val="nil"/>
              <w:left w:val="nil"/>
              <w:bottom w:val="nil"/>
              <w:right w:val="nil"/>
            </w:tcBorders>
          </w:tcPr>
          <w:p w14:paraId="32C9AB9E" w14:textId="2E99BA76" w:rsidR="006A36B7" w:rsidRPr="00A63466" w:rsidRDefault="006A36B7" w:rsidP="006A36B7">
            <w:pPr>
              <w:spacing w:line="360" w:lineRule="auto"/>
              <w:jc w:val="center"/>
              <w:rPr>
                <w:rFonts w:cstheme="minorHAnsi"/>
                <w:sz w:val="16"/>
                <w:szCs w:val="16"/>
              </w:rPr>
            </w:pPr>
            <w:r>
              <w:rPr>
                <w:rFonts w:cstheme="minorHAnsi"/>
                <w:sz w:val="16"/>
                <w:szCs w:val="16"/>
              </w:rPr>
              <w:t>24</w:t>
            </w:r>
          </w:p>
        </w:tc>
        <w:tc>
          <w:tcPr>
            <w:tcW w:w="2410" w:type="dxa"/>
            <w:tcBorders>
              <w:top w:val="nil"/>
              <w:left w:val="nil"/>
              <w:bottom w:val="nil"/>
              <w:right w:val="nil"/>
            </w:tcBorders>
          </w:tcPr>
          <w:p w14:paraId="7DC99CF1" w14:textId="77777777" w:rsidR="006A36B7" w:rsidRDefault="006A36B7" w:rsidP="006A36B7">
            <w:pPr>
              <w:spacing w:line="360" w:lineRule="auto"/>
              <w:jc w:val="both"/>
              <w:rPr>
                <w:rFonts w:cstheme="minorHAnsi"/>
                <w:sz w:val="16"/>
                <w:szCs w:val="16"/>
              </w:rPr>
            </w:pPr>
          </w:p>
        </w:tc>
        <w:tc>
          <w:tcPr>
            <w:tcW w:w="2817" w:type="dxa"/>
            <w:tcBorders>
              <w:top w:val="nil"/>
              <w:left w:val="nil"/>
              <w:bottom w:val="nil"/>
              <w:right w:val="nil"/>
            </w:tcBorders>
          </w:tcPr>
          <w:p w14:paraId="3A96D3DE" w14:textId="77777777" w:rsidR="006A36B7" w:rsidRDefault="006A36B7" w:rsidP="006A36B7">
            <w:pPr>
              <w:spacing w:line="360" w:lineRule="auto"/>
              <w:jc w:val="both"/>
              <w:rPr>
                <w:rFonts w:cstheme="minorHAnsi"/>
                <w:sz w:val="16"/>
                <w:szCs w:val="16"/>
              </w:rPr>
            </w:pPr>
          </w:p>
        </w:tc>
        <w:tc>
          <w:tcPr>
            <w:tcW w:w="2113" w:type="dxa"/>
            <w:tcBorders>
              <w:top w:val="nil"/>
              <w:left w:val="nil"/>
              <w:bottom w:val="nil"/>
              <w:right w:val="nil"/>
            </w:tcBorders>
          </w:tcPr>
          <w:p w14:paraId="474AD17A" w14:textId="553E57C4" w:rsidR="006A36B7" w:rsidRPr="00A63466" w:rsidRDefault="006A36B7" w:rsidP="006A36B7">
            <w:pPr>
              <w:spacing w:line="360" w:lineRule="auto"/>
              <w:jc w:val="both"/>
              <w:rPr>
                <w:rFonts w:cstheme="minorHAnsi"/>
                <w:sz w:val="16"/>
                <w:szCs w:val="16"/>
              </w:rPr>
            </w:pPr>
            <w:r w:rsidRPr="00A63466">
              <w:rPr>
                <w:rFonts w:cstheme="minorHAnsi"/>
                <w:sz w:val="16"/>
                <w:szCs w:val="16"/>
              </w:rPr>
              <w:t>Prospective observational</w:t>
            </w:r>
          </w:p>
        </w:tc>
        <w:tc>
          <w:tcPr>
            <w:tcW w:w="698" w:type="dxa"/>
            <w:tcBorders>
              <w:top w:val="nil"/>
              <w:left w:val="nil"/>
              <w:bottom w:val="nil"/>
              <w:right w:val="nil"/>
            </w:tcBorders>
          </w:tcPr>
          <w:p w14:paraId="1C530964" w14:textId="77777777" w:rsidR="006A36B7" w:rsidRPr="00A63466" w:rsidRDefault="006A36B7" w:rsidP="006A36B7">
            <w:pPr>
              <w:spacing w:line="360" w:lineRule="auto"/>
              <w:jc w:val="both"/>
              <w:rPr>
                <w:rFonts w:cstheme="minorHAnsi"/>
                <w:sz w:val="16"/>
                <w:szCs w:val="16"/>
              </w:rPr>
            </w:pPr>
          </w:p>
        </w:tc>
        <w:tc>
          <w:tcPr>
            <w:tcW w:w="700" w:type="dxa"/>
            <w:tcBorders>
              <w:top w:val="nil"/>
              <w:left w:val="nil"/>
              <w:bottom w:val="nil"/>
              <w:right w:val="nil"/>
            </w:tcBorders>
          </w:tcPr>
          <w:p w14:paraId="389C1386" w14:textId="77777777" w:rsidR="006A36B7" w:rsidRPr="00A63466" w:rsidRDefault="006A36B7" w:rsidP="006A36B7">
            <w:pPr>
              <w:spacing w:line="360" w:lineRule="auto"/>
              <w:jc w:val="both"/>
              <w:rPr>
                <w:rFonts w:cstheme="minorHAnsi"/>
                <w:sz w:val="16"/>
                <w:szCs w:val="16"/>
              </w:rPr>
            </w:pPr>
          </w:p>
        </w:tc>
        <w:tc>
          <w:tcPr>
            <w:tcW w:w="930" w:type="dxa"/>
            <w:tcBorders>
              <w:top w:val="nil"/>
              <w:left w:val="nil"/>
              <w:bottom w:val="nil"/>
              <w:right w:val="nil"/>
            </w:tcBorders>
          </w:tcPr>
          <w:p w14:paraId="56A5DF7C" w14:textId="77777777" w:rsidR="006A36B7" w:rsidRDefault="006A36B7" w:rsidP="006A36B7">
            <w:pPr>
              <w:spacing w:line="360" w:lineRule="auto"/>
              <w:jc w:val="both"/>
              <w:rPr>
                <w:rFonts w:cstheme="minorHAnsi"/>
                <w:sz w:val="16"/>
                <w:szCs w:val="16"/>
              </w:rPr>
            </w:pPr>
          </w:p>
        </w:tc>
        <w:tc>
          <w:tcPr>
            <w:tcW w:w="825" w:type="dxa"/>
            <w:tcBorders>
              <w:top w:val="nil"/>
              <w:left w:val="nil"/>
              <w:bottom w:val="nil"/>
              <w:right w:val="single" w:sz="4" w:space="0" w:color="auto"/>
            </w:tcBorders>
          </w:tcPr>
          <w:p w14:paraId="347B6FCA" w14:textId="77777777" w:rsidR="006A36B7" w:rsidRDefault="006A36B7" w:rsidP="006A36B7">
            <w:pPr>
              <w:spacing w:line="360" w:lineRule="auto"/>
              <w:jc w:val="both"/>
              <w:rPr>
                <w:rFonts w:cstheme="minorHAnsi"/>
                <w:sz w:val="16"/>
                <w:szCs w:val="16"/>
              </w:rPr>
            </w:pPr>
          </w:p>
        </w:tc>
      </w:tr>
      <w:tr w:rsidR="006A36B7" w:rsidRPr="00A63466" w14:paraId="2F211E34" w14:textId="77777777" w:rsidTr="006A36B7">
        <w:tc>
          <w:tcPr>
            <w:tcW w:w="1985" w:type="dxa"/>
            <w:tcBorders>
              <w:top w:val="nil"/>
              <w:left w:val="single" w:sz="4" w:space="0" w:color="auto"/>
              <w:bottom w:val="nil"/>
              <w:right w:val="nil"/>
            </w:tcBorders>
          </w:tcPr>
          <w:p w14:paraId="0E58DF5E" w14:textId="3FD5645B" w:rsidR="006A36B7" w:rsidRPr="002B0140" w:rsidRDefault="006A36B7" w:rsidP="006A36B7">
            <w:pPr>
              <w:spacing w:line="360" w:lineRule="auto"/>
              <w:jc w:val="both"/>
              <w:rPr>
                <w:rFonts w:cstheme="minorHAnsi"/>
                <w:b/>
                <w:sz w:val="16"/>
                <w:szCs w:val="16"/>
              </w:rPr>
            </w:pPr>
            <w:r w:rsidRPr="002B0140">
              <w:rPr>
                <w:rFonts w:cstheme="minorHAnsi"/>
                <w:b/>
                <w:sz w:val="16"/>
                <w:szCs w:val="16"/>
              </w:rPr>
              <w:t xml:space="preserve">Gonzalez-Martin </w:t>
            </w:r>
            <w:r>
              <w:rPr>
                <w:rFonts w:cstheme="minorHAnsi"/>
                <w:b/>
                <w:noProof/>
                <w:sz w:val="16"/>
                <w:szCs w:val="16"/>
              </w:rPr>
              <w:t>[35]</w:t>
            </w:r>
          </w:p>
        </w:tc>
        <w:tc>
          <w:tcPr>
            <w:tcW w:w="541" w:type="dxa"/>
            <w:tcBorders>
              <w:top w:val="nil"/>
              <w:left w:val="nil"/>
              <w:bottom w:val="nil"/>
              <w:right w:val="nil"/>
            </w:tcBorders>
          </w:tcPr>
          <w:p w14:paraId="027DC762" w14:textId="6CEED7F7" w:rsidR="006A36B7" w:rsidRPr="00A63466" w:rsidRDefault="006A36B7" w:rsidP="006A36B7">
            <w:pPr>
              <w:spacing w:line="360" w:lineRule="auto"/>
              <w:jc w:val="both"/>
              <w:rPr>
                <w:rFonts w:cstheme="minorHAnsi"/>
                <w:sz w:val="16"/>
                <w:szCs w:val="16"/>
              </w:rPr>
            </w:pPr>
            <w:r w:rsidRPr="00A63466">
              <w:rPr>
                <w:rFonts w:cstheme="minorHAnsi"/>
                <w:sz w:val="16"/>
                <w:szCs w:val="16"/>
              </w:rPr>
              <w:t>1997</w:t>
            </w:r>
          </w:p>
        </w:tc>
        <w:tc>
          <w:tcPr>
            <w:tcW w:w="1034" w:type="dxa"/>
            <w:tcBorders>
              <w:top w:val="nil"/>
              <w:left w:val="nil"/>
              <w:bottom w:val="nil"/>
              <w:right w:val="nil"/>
            </w:tcBorders>
          </w:tcPr>
          <w:p w14:paraId="2E56B0DA" w14:textId="6989B3A5" w:rsidR="006A36B7" w:rsidRPr="00A63466" w:rsidRDefault="006A36B7" w:rsidP="006A36B7">
            <w:pPr>
              <w:spacing w:line="360" w:lineRule="auto"/>
              <w:jc w:val="both"/>
              <w:rPr>
                <w:rFonts w:cstheme="minorHAnsi"/>
                <w:sz w:val="16"/>
                <w:szCs w:val="16"/>
              </w:rPr>
            </w:pPr>
            <w:r w:rsidRPr="00A63466">
              <w:rPr>
                <w:rFonts w:cstheme="minorHAnsi"/>
                <w:sz w:val="16"/>
                <w:szCs w:val="16"/>
              </w:rPr>
              <w:t>Chile</w:t>
            </w:r>
          </w:p>
        </w:tc>
        <w:tc>
          <w:tcPr>
            <w:tcW w:w="846" w:type="dxa"/>
            <w:tcBorders>
              <w:top w:val="nil"/>
              <w:left w:val="nil"/>
              <w:bottom w:val="nil"/>
              <w:right w:val="nil"/>
            </w:tcBorders>
          </w:tcPr>
          <w:p w14:paraId="4ECB6227" w14:textId="2B32979C" w:rsidR="006A36B7" w:rsidRPr="00A63466" w:rsidRDefault="006A36B7" w:rsidP="006A36B7">
            <w:pPr>
              <w:spacing w:line="360" w:lineRule="auto"/>
              <w:jc w:val="both"/>
              <w:rPr>
                <w:rFonts w:cstheme="minorHAnsi"/>
                <w:sz w:val="16"/>
                <w:szCs w:val="16"/>
              </w:rPr>
            </w:pPr>
            <w:r w:rsidRPr="00A63466">
              <w:rPr>
                <w:rFonts w:cstheme="minorHAnsi"/>
                <w:sz w:val="16"/>
                <w:szCs w:val="16"/>
              </w:rPr>
              <w:t>Spanish</w:t>
            </w:r>
          </w:p>
        </w:tc>
        <w:tc>
          <w:tcPr>
            <w:tcW w:w="885" w:type="dxa"/>
            <w:tcBorders>
              <w:top w:val="nil"/>
              <w:left w:val="nil"/>
              <w:bottom w:val="nil"/>
              <w:right w:val="nil"/>
            </w:tcBorders>
          </w:tcPr>
          <w:p w14:paraId="6B816388" w14:textId="38FBF3A1" w:rsidR="006A36B7" w:rsidRPr="00A63466" w:rsidRDefault="006A36B7" w:rsidP="006A36B7">
            <w:pPr>
              <w:spacing w:line="360" w:lineRule="auto"/>
              <w:jc w:val="center"/>
              <w:rPr>
                <w:rFonts w:cstheme="minorHAnsi"/>
                <w:sz w:val="16"/>
                <w:szCs w:val="16"/>
              </w:rPr>
            </w:pPr>
            <w:r w:rsidRPr="00A63466">
              <w:rPr>
                <w:rFonts w:cstheme="minorHAnsi"/>
                <w:sz w:val="16"/>
                <w:szCs w:val="16"/>
              </w:rPr>
              <w:t>8</w:t>
            </w:r>
          </w:p>
        </w:tc>
        <w:tc>
          <w:tcPr>
            <w:tcW w:w="2410" w:type="dxa"/>
            <w:tcBorders>
              <w:top w:val="nil"/>
              <w:left w:val="nil"/>
              <w:bottom w:val="nil"/>
              <w:right w:val="nil"/>
            </w:tcBorders>
          </w:tcPr>
          <w:p w14:paraId="5DD451CA" w14:textId="6832C284" w:rsidR="006A36B7" w:rsidRPr="00A63466" w:rsidRDefault="006A36B7" w:rsidP="006A36B7">
            <w:pPr>
              <w:spacing w:line="360" w:lineRule="auto"/>
              <w:jc w:val="both"/>
              <w:rPr>
                <w:rFonts w:cstheme="minorHAnsi"/>
                <w:sz w:val="16"/>
                <w:szCs w:val="16"/>
              </w:rPr>
            </w:pPr>
            <w:r>
              <w:rPr>
                <w:rFonts w:cstheme="minorHAnsi"/>
                <w:sz w:val="16"/>
                <w:szCs w:val="16"/>
              </w:rPr>
              <w:t>UH, Internal medicine</w:t>
            </w:r>
          </w:p>
        </w:tc>
        <w:tc>
          <w:tcPr>
            <w:tcW w:w="2817" w:type="dxa"/>
            <w:tcBorders>
              <w:top w:val="nil"/>
              <w:left w:val="nil"/>
              <w:bottom w:val="nil"/>
              <w:right w:val="nil"/>
            </w:tcBorders>
          </w:tcPr>
          <w:p w14:paraId="3552961D" w14:textId="0DE65F93" w:rsidR="006A36B7" w:rsidRPr="00A63466" w:rsidRDefault="006A36B7" w:rsidP="006A36B7">
            <w:pPr>
              <w:spacing w:line="360" w:lineRule="auto"/>
              <w:jc w:val="both"/>
              <w:rPr>
                <w:rFonts w:cstheme="minorHAnsi"/>
                <w:sz w:val="16"/>
                <w:szCs w:val="16"/>
              </w:rPr>
            </w:pPr>
            <w:r>
              <w:rPr>
                <w:rFonts w:cstheme="minorHAnsi"/>
                <w:sz w:val="16"/>
                <w:szCs w:val="16"/>
              </w:rPr>
              <w:t xml:space="preserve">Adults. In ≥ 65 years ¥ </w:t>
            </w:r>
          </w:p>
        </w:tc>
        <w:tc>
          <w:tcPr>
            <w:tcW w:w="2113" w:type="dxa"/>
            <w:tcBorders>
              <w:top w:val="nil"/>
              <w:left w:val="nil"/>
              <w:bottom w:val="nil"/>
              <w:right w:val="nil"/>
            </w:tcBorders>
          </w:tcPr>
          <w:p w14:paraId="3C55A74F" w14:textId="77CE06E6" w:rsidR="006A36B7" w:rsidRPr="00A63466" w:rsidRDefault="006A36B7" w:rsidP="006A36B7">
            <w:pPr>
              <w:spacing w:line="360" w:lineRule="auto"/>
              <w:jc w:val="both"/>
              <w:rPr>
                <w:rFonts w:cstheme="minorHAnsi"/>
                <w:sz w:val="16"/>
                <w:szCs w:val="16"/>
              </w:rPr>
            </w:pPr>
            <w:r w:rsidRPr="00A63466">
              <w:rPr>
                <w:rFonts w:cstheme="minorHAnsi"/>
                <w:sz w:val="16"/>
                <w:szCs w:val="16"/>
              </w:rPr>
              <w:t>Prospective observational</w:t>
            </w:r>
          </w:p>
        </w:tc>
        <w:tc>
          <w:tcPr>
            <w:tcW w:w="698" w:type="dxa"/>
            <w:tcBorders>
              <w:top w:val="nil"/>
              <w:left w:val="nil"/>
              <w:bottom w:val="nil"/>
              <w:right w:val="nil"/>
            </w:tcBorders>
          </w:tcPr>
          <w:p w14:paraId="3D005432" w14:textId="353B5E5E" w:rsidR="006A36B7" w:rsidRPr="00A63466" w:rsidRDefault="006A36B7" w:rsidP="006A36B7">
            <w:pPr>
              <w:spacing w:line="360" w:lineRule="auto"/>
              <w:jc w:val="both"/>
              <w:rPr>
                <w:rFonts w:cstheme="minorHAnsi"/>
                <w:sz w:val="16"/>
                <w:szCs w:val="16"/>
              </w:rPr>
            </w:pPr>
            <w:r w:rsidRPr="00A63466">
              <w:rPr>
                <w:rFonts w:cstheme="minorHAnsi"/>
                <w:sz w:val="16"/>
                <w:szCs w:val="16"/>
              </w:rPr>
              <w:t>201</w:t>
            </w:r>
          </w:p>
        </w:tc>
        <w:tc>
          <w:tcPr>
            <w:tcW w:w="700" w:type="dxa"/>
            <w:tcBorders>
              <w:top w:val="nil"/>
              <w:left w:val="nil"/>
              <w:bottom w:val="nil"/>
              <w:right w:val="nil"/>
            </w:tcBorders>
          </w:tcPr>
          <w:p w14:paraId="50AADB7A" w14:textId="7EABBBBD" w:rsidR="006A36B7" w:rsidRPr="00A63466" w:rsidRDefault="006A36B7" w:rsidP="006A36B7">
            <w:pPr>
              <w:spacing w:line="360" w:lineRule="auto"/>
              <w:jc w:val="both"/>
              <w:rPr>
                <w:rFonts w:cstheme="minorHAnsi"/>
                <w:sz w:val="16"/>
                <w:szCs w:val="16"/>
              </w:rPr>
            </w:pPr>
            <w:r w:rsidRPr="00A63466">
              <w:rPr>
                <w:rFonts w:cstheme="minorHAnsi"/>
                <w:sz w:val="16"/>
                <w:szCs w:val="16"/>
              </w:rPr>
              <w:t>106</w:t>
            </w:r>
          </w:p>
        </w:tc>
        <w:tc>
          <w:tcPr>
            <w:tcW w:w="930" w:type="dxa"/>
            <w:tcBorders>
              <w:top w:val="nil"/>
              <w:left w:val="nil"/>
              <w:bottom w:val="nil"/>
              <w:right w:val="nil"/>
            </w:tcBorders>
          </w:tcPr>
          <w:p w14:paraId="45B2C4F1" w14:textId="16C486A2" w:rsidR="006A36B7" w:rsidRPr="00A63466" w:rsidRDefault="006A36B7" w:rsidP="006A36B7">
            <w:pPr>
              <w:spacing w:line="360" w:lineRule="auto"/>
              <w:jc w:val="both"/>
              <w:rPr>
                <w:rFonts w:cstheme="minorHAnsi"/>
                <w:sz w:val="16"/>
                <w:szCs w:val="16"/>
              </w:rPr>
            </w:pPr>
            <w:r>
              <w:rPr>
                <w:rFonts w:cstheme="minorHAnsi"/>
                <w:sz w:val="16"/>
                <w:szCs w:val="16"/>
              </w:rPr>
              <w:t>-</w:t>
            </w:r>
          </w:p>
        </w:tc>
        <w:tc>
          <w:tcPr>
            <w:tcW w:w="825" w:type="dxa"/>
            <w:tcBorders>
              <w:top w:val="nil"/>
              <w:left w:val="nil"/>
              <w:bottom w:val="nil"/>
              <w:right w:val="single" w:sz="4" w:space="0" w:color="auto"/>
            </w:tcBorders>
          </w:tcPr>
          <w:p w14:paraId="763A216C" w14:textId="6417FDF9" w:rsidR="006A36B7" w:rsidRPr="00A63466" w:rsidRDefault="006A36B7" w:rsidP="006A36B7">
            <w:pPr>
              <w:spacing w:line="360" w:lineRule="auto"/>
              <w:jc w:val="both"/>
              <w:rPr>
                <w:rFonts w:cstheme="minorHAnsi"/>
                <w:sz w:val="16"/>
                <w:szCs w:val="16"/>
              </w:rPr>
            </w:pPr>
            <w:r w:rsidRPr="00A63466">
              <w:rPr>
                <w:rFonts w:cstheme="minorHAnsi"/>
                <w:sz w:val="16"/>
                <w:szCs w:val="16"/>
              </w:rPr>
              <w:t>47% M</w:t>
            </w:r>
          </w:p>
        </w:tc>
      </w:tr>
      <w:tr w:rsidR="006A36B7" w:rsidRPr="00A63466" w14:paraId="38F75014" w14:textId="77777777" w:rsidTr="006A36B7">
        <w:tc>
          <w:tcPr>
            <w:tcW w:w="1985" w:type="dxa"/>
            <w:tcBorders>
              <w:top w:val="nil"/>
              <w:left w:val="single" w:sz="4" w:space="0" w:color="auto"/>
              <w:bottom w:val="nil"/>
              <w:right w:val="nil"/>
            </w:tcBorders>
          </w:tcPr>
          <w:p w14:paraId="24906F02" w14:textId="6A9F945E" w:rsidR="006A36B7" w:rsidRPr="002B0140" w:rsidRDefault="006A36B7" w:rsidP="00080710">
            <w:pPr>
              <w:spacing w:line="360" w:lineRule="auto"/>
              <w:jc w:val="both"/>
              <w:rPr>
                <w:rFonts w:cstheme="minorHAnsi"/>
                <w:b/>
                <w:sz w:val="16"/>
                <w:szCs w:val="16"/>
              </w:rPr>
            </w:pPr>
            <w:r w:rsidRPr="002B0140">
              <w:rPr>
                <w:rFonts w:cstheme="minorHAnsi"/>
                <w:b/>
                <w:sz w:val="16"/>
                <w:szCs w:val="16"/>
              </w:rPr>
              <w:t xml:space="preserve">Harugeri </w:t>
            </w:r>
            <w:r>
              <w:rPr>
                <w:rFonts w:cstheme="minorHAnsi"/>
                <w:b/>
                <w:noProof/>
                <w:sz w:val="16"/>
                <w:szCs w:val="16"/>
              </w:rPr>
              <w:t>[36]</w:t>
            </w:r>
          </w:p>
        </w:tc>
        <w:tc>
          <w:tcPr>
            <w:tcW w:w="541" w:type="dxa"/>
            <w:tcBorders>
              <w:top w:val="nil"/>
              <w:left w:val="nil"/>
              <w:bottom w:val="nil"/>
              <w:right w:val="nil"/>
            </w:tcBorders>
          </w:tcPr>
          <w:p w14:paraId="53FF6975" w14:textId="63656BBB" w:rsidR="006A36B7" w:rsidRPr="00A63466" w:rsidRDefault="006A36B7" w:rsidP="006A36B7">
            <w:pPr>
              <w:spacing w:line="360" w:lineRule="auto"/>
              <w:jc w:val="both"/>
              <w:rPr>
                <w:rFonts w:cstheme="minorHAnsi"/>
                <w:sz w:val="16"/>
                <w:szCs w:val="16"/>
              </w:rPr>
            </w:pPr>
            <w:r w:rsidRPr="00A63466">
              <w:rPr>
                <w:rFonts w:cstheme="minorHAnsi"/>
                <w:sz w:val="16"/>
                <w:szCs w:val="16"/>
              </w:rPr>
              <w:t>2011</w:t>
            </w:r>
          </w:p>
        </w:tc>
        <w:tc>
          <w:tcPr>
            <w:tcW w:w="1034" w:type="dxa"/>
            <w:tcBorders>
              <w:top w:val="nil"/>
              <w:left w:val="nil"/>
              <w:bottom w:val="nil"/>
              <w:right w:val="nil"/>
            </w:tcBorders>
          </w:tcPr>
          <w:p w14:paraId="087D7D28" w14:textId="50F860C7" w:rsidR="006A36B7" w:rsidRPr="00A63466" w:rsidRDefault="006A36B7" w:rsidP="006A36B7">
            <w:pPr>
              <w:spacing w:line="360" w:lineRule="auto"/>
              <w:jc w:val="both"/>
              <w:rPr>
                <w:rFonts w:cstheme="minorHAnsi"/>
                <w:sz w:val="16"/>
                <w:szCs w:val="16"/>
              </w:rPr>
            </w:pPr>
            <w:r w:rsidRPr="00A63466">
              <w:rPr>
                <w:rFonts w:cstheme="minorHAnsi"/>
                <w:sz w:val="16"/>
                <w:szCs w:val="16"/>
              </w:rPr>
              <w:t>India</w:t>
            </w:r>
          </w:p>
        </w:tc>
        <w:tc>
          <w:tcPr>
            <w:tcW w:w="846" w:type="dxa"/>
            <w:tcBorders>
              <w:top w:val="nil"/>
              <w:left w:val="nil"/>
              <w:bottom w:val="nil"/>
              <w:right w:val="nil"/>
            </w:tcBorders>
          </w:tcPr>
          <w:p w14:paraId="51371E3A" w14:textId="46F3459A" w:rsidR="006A36B7" w:rsidRPr="00A63466" w:rsidRDefault="006A36B7" w:rsidP="006A36B7">
            <w:pPr>
              <w:spacing w:line="360" w:lineRule="auto"/>
              <w:jc w:val="both"/>
              <w:rPr>
                <w:rFonts w:cstheme="minorHAnsi"/>
                <w:sz w:val="16"/>
                <w:szCs w:val="16"/>
              </w:rPr>
            </w:pPr>
            <w:r w:rsidRPr="00A63466">
              <w:rPr>
                <w:rFonts w:cstheme="minorHAnsi"/>
                <w:sz w:val="16"/>
                <w:szCs w:val="16"/>
              </w:rPr>
              <w:t>English</w:t>
            </w:r>
          </w:p>
        </w:tc>
        <w:tc>
          <w:tcPr>
            <w:tcW w:w="885" w:type="dxa"/>
            <w:tcBorders>
              <w:top w:val="nil"/>
              <w:left w:val="nil"/>
              <w:bottom w:val="nil"/>
              <w:right w:val="nil"/>
            </w:tcBorders>
          </w:tcPr>
          <w:p w14:paraId="4A8F87D6" w14:textId="01033408" w:rsidR="006A36B7" w:rsidRPr="00A63466" w:rsidRDefault="006A36B7" w:rsidP="006A36B7">
            <w:pPr>
              <w:spacing w:line="360" w:lineRule="auto"/>
              <w:jc w:val="center"/>
              <w:rPr>
                <w:rFonts w:cstheme="minorHAnsi"/>
                <w:sz w:val="16"/>
                <w:szCs w:val="16"/>
              </w:rPr>
            </w:pPr>
            <w:r w:rsidRPr="00A63466">
              <w:rPr>
                <w:rFonts w:cstheme="minorHAnsi"/>
                <w:sz w:val="16"/>
                <w:szCs w:val="16"/>
              </w:rPr>
              <w:t>18</w:t>
            </w:r>
          </w:p>
        </w:tc>
        <w:tc>
          <w:tcPr>
            <w:tcW w:w="2410" w:type="dxa"/>
            <w:tcBorders>
              <w:top w:val="nil"/>
              <w:left w:val="nil"/>
              <w:bottom w:val="nil"/>
              <w:right w:val="nil"/>
            </w:tcBorders>
          </w:tcPr>
          <w:p w14:paraId="7F5B04BD" w14:textId="5B914DA8" w:rsidR="006A36B7" w:rsidRPr="00A63466" w:rsidRDefault="006A36B7" w:rsidP="006A36B7">
            <w:pPr>
              <w:spacing w:line="360" w:lineRule="auto"/>
              <w:jc w:val="both"/>
              <w:rPr>
                <w:rFonts w:cstheme="minorHAnsi"/>
                <w:sz w:val="16"/>
                <w:szCs w:val="16"/>
              </w:rPr>
            </w:pPr>
            <w:r>
              <w:rPr>
                <w:rFonts w:cstheme="minorHAnsi"/>
                <w:sz w:val="16"/>
                <w:szCs w:val="16"/>
              </w:rPr>
              <w:t>Tertiary hospital, medical wards</w:t>
            </w:r>
          </w:p>
        </w:tc>
        <w:tc>
          <w:tcPr>
            <w:tcW w:w="2817" w:type="dxa"/>
            <w:tcBorders>
              <w:top w:val="nil"/>
              <w:left w:val="nil"/>
              <w:bottom w:val="nil"/>
              <w:right w:val="nil"/>
            </w:tcBorders>
          </w:tcPr>
          <w:p w14:paraId="61D1CB5B" w14:textId="513A7A73" w:rsidR="006A36B7" w:rsidRPr="00A63466" w:rsidRDefault="006A36B7" w:rsidP="006A36B7">
            <w:pPr>
              <w:spacing w:line="360" w:lineRule="auto"/>
              <w:jc w:val="both"/>
              <w:rPr>
                <w:rFonts w:cstheme="minorHAnsi"/>
                <w:sz w:val="16"/>
                <w:szCs w:val="16"/>
              </w:rPr>
            </w:pPr>
            <w:r>
              <w:rPr>
                <w:rFonts w:cstheme="minorHAnsi"/>
                <w:sz w:val="16"/>
                <w:szCs w:val="16"/>
              </w:rPr>
              <w:t>In-patient, ≥ 60 years</w:t>
            </w:r>
          </w:p>
        </w:tc>
        <w:tc>
          <w:tcPr>
            <w:tcW w:w="2113" w:type="dxa"/>
            <w:tcBorders>
              <w:top w:val="nil"/>
              <w:left w:val="nil"/>
              <w:bottom w:val="nil"/>
              <w:right w:val="nil"/>
            </w:tcBorders>
          </w:tcPr>
          <w:p w14:paraId="48735646" w14:textId="30A14769" w:rsidR="006A36B7" w:rsidRPr="00A63466" w:rsidRDefault="006A36B7" w:rsidP="006A36B7">
            <w:pPr>
              <w:spacing w:line="360" w:lineRule="auto"/>
              <w:jc w:val="both"/>
              <w:rPr>
                <w:rFonts w:cstheme="minorHAnsi"/>
                <w:sz w:val="16"/>
                <w:szCs w:val="16"/>
              </w:rPr>
            </w:pPr>
            <w:r w:rsidRPr="00A63466">
              <w:rPr>
                <w:rFonts w:cstheme="minorHAnsi"/>
                <w:sz w:val="16"/>
                <w:szCs w:val="16"/>
              </w:rPr>
              <w:t>Prospective observational</w:t>
            </w:r>
          </w:p>
        </w:tc>
        <w:tc>
          <w:tcPr>
            <w:tcW w:w="698" w:type="dxa"/>
            <w:tcBorders>
              <w:top w:val="nil"/>
              <w:left w:val="nil"/>
              <w:bottom w:val="nil"/>
              <w:right w:val="nil"/>
            </w:tcBorders>
          </w:tcPr>
          <w:p w14:paraId="0BC18AB5" w14:textId="02E2E06B" w:rsidR="006A36B7" w:rsidRPr="00A63466" w:rsidRDefault="006A36B7" w:rsidP="006A36B7">
            <w:pPr>
              <w:spacing w:line="360" w:lineRule="auto"/>
              <w:jc w:val="both"/>
              <w:rPr>
                <w:rFonts w:cstheme="minorHAnsi"/>
                <w:sz w:val="16"/>
                <w:szCs w:val="16"/>
              </w:rPr>
            </w:pPr>
            <w:r w:rsidRPr="00A63466">
              <w:rPr>
                <w:rFonts w:cstheme="minorHAnsi"/>
                <w:sz w:val="16"/>
                <w:szCs w:val="16"/>
              </w:rPr>
              <w:t>920</w:t>
            </w:r>
          </w:p>
        </w:tc>
        <w:tc>
          <w:tcPr>
            <w:tcW w:w="700" w:type="dxa"/>
            <w:tcBorders>
              <w:top w:val="nil"/>
              <w:left w:val="nil"/>
              <w:bottom w:val="nil"/>
              <w:right w:val="nil"/>
            </w:tcBorders>
          </w:tcPr>
          <w:p w14:paraId="1AF2FBFA" w14:textId="5DC22E6A" w:rsidR="006A36B7" w:rsidRPr="00A63466" w:rsidRDefault="006A36B7" w:rsidP="006A36B7">
            <w:pPr>
              <w:spacing w:line="360" w:lineRule="auto"/>
              <w:jc w:val="both"/>
              <w:rPr>
                <w:rFonts w:cstheme="minorHAnsi"/>
                <w:sz w:val="16"/>
                <w:szCs w:val="16"/>
              </w:rPr>
            </w:pPr>
            <w:r w:rsidRPr="00A63466">
              <w:rPr>
                <w:rFonts w:cstheme="minorHAnsi"/>
                <w:sz w:val="16"/>
                <w:szCs w:val="16"/>
              </w:rPr>
              <w:t>370</w:t>
            </w:r>
          </w:p>
        </w:tc>
        <w:tc>
          <w:tcPr>
            <w:tcW w:w="930" w:type="dxa"/>
            <w:tcBorders>
              <w:top w:val="nil"/>
              <w:left w:val="nil"/>
              <w:bottom w:val="nil"/>
              <w:right w:val="nil"/>
            </w:tcBorders>
          </w:tcPr>
          <w:p w14:paraId="76B95E77" w14:textId="1C164FB7" w:rsidR="006A36B7" w:rsidRPr="00A63466" w:rsidRDefault="006A36B7" w:rsidP="006A36B7">
            <w:pPr>
              <w:spacing w:line="360" w:lineRule="auto"/>
              <w:jc w:val="both"/>
              <w:rPr>
                <w:rFonts w:cstheme="minorHAnsi"/>
                <w:sz w:val="16"/>
                <w:szCs w:val="16"/>
              </w:rPr>
            </w:pPr>
            <w:r>
              <w:rPr>
                <w:rFonts w:cstheme="minorHAnsi"/>
                <w:sz w:val="16"/>
                <w:szCs w:val="16"/>
              </w:rPr>
              <w:t>-</w:t>
            </w:r>
          </w:p>
        </w:tc>
        <w:tc>
          <w:tcPr>
            <w:tcW w:w="825" w:type="dxa"/>
            <w:tcBorders>
              <w:top w:val="nil"/>
              <w:left w:val="nil"/>
              <w:bottom w:val="nil"/>
              <w:right w:val="single" w:sz="4" w:space="0" w:color="auto"/>
            </w:tcBorders>
          </w:tcPr>
          <w:p w14:paraId="4069E15C" w14:textId="3F9E6924" w:rsidR="006A36B7" w:rsidRPr="00A63466" w:rsidRDefault="006A36B7" w:rsidP="006A36B7">
            <w:pPr>
              <w:spacing w:line="360" w:lineRule="auto"/>
              <w:jc w:val="both"/>
              <w:rPr>
                <w:rFonts w:cstheme="minorHAnsi"/>
                <w:sz w:val="16"/>
                <w:szCs w:val="16"/>
              </w:rPr>
            </w:pPr>
            <w:r w:rsidRPr="00A63466">
              <w:rPr>
                <w:rFonts w:cstheme="minorHAnsi"/>
                <w:sz w:val="16"/>
                <w:szCs w:val="16"/>
              </w:rPr>
              <w:t>59% M</w:t>
            </w:r>
          </w:p>
        </w:tc>
      </w:tr>
      <w:tr w:rsidR="006A36B7" w:rsidRPr="00A63466" w14:paraId="745A9FF9" w14:textId="77777777" w:rsidTr="006A36B7">
        <w:tc>
          <w:tcPr>
            <w:tcW w:w="1985" w:type="dxa"/>
            <w:tcBorders>
              <w:top w:val="nil"/>
              <w:left w:val="single" w:sz="4" w:space="0" w:color="auto"/>
              <w:bottom w:val="nil"/>
              <w:right w:val="nil"/>
            </w:tcBorders>
          </w:tcPr>
          <w:p w14:paraId="6E0989D4" w14:textId="50CF209D" w:rsidR="006A36B7" w:rsidRPr="002B0140" w:rsidRDefault="006A36B7" w:rsidP="006A36B7">
            <w:pPr>
              <w:spacing w:line="360" w:lineRule="auto"/>
              <w:jc w:val="both"/>
              <w:rPr>
                <w:rFonts w:cstheme="minorHAnsi"/>
                <w:b/>
                <w:sz w:val="16"/>
                <w:szCs w:val="16"/>
              </w:rPr>
            </w:pPr>
            <w:r>
              <w:rPr>
                <w:rFonts w:cstheme="minorHAnsi"/>
                <w:b/>
                <w:sz w:val="16"/>
                <w:szCs w:val="16"/>
              </w:rPr>
              <w:t xml:space="preserve">Kaur </w:t>
            </w:r>
            <w:commentRangeStart w:id="12"/>
            <w:r>
              <w:rPr>
                <w:rFonts w:cstheme="minorHAnsi"/>
                <w:b/>
                <w:noProof/>
                <w:sz w:val="16"/>
                <w:szCs w:val="16"/>
              </w:rPr>
              <w:t>[37]</w:t>
            </w:r>
            <w:commentRangeEnd w:id="12"/>
            <w:r>
              <w:rPr>
                <w:rStyle w:val="CommentReference"/>
              </w:rPr>
              <w:commentReference w:id="12"/>
            </w:r>
          </w:p>
        </w:tc>
        <w:tc>
          <w:tcPr>
            <w:tcW w:w="541" w:type="dxa"/>
            <w:tcBorders>
              <w:top w:val="nil"/>
              <w:left w:val="nil"/>
              <w:bottom w:val="nil"/>
              <w:right w:val="nil"/>
            </w:tcBorders>
          </w:tcPr>
          <w:p w14:paraId="7EF97F93" w14:textId="20EA7FF8" w:rsidR="006A36B7" w:rsidRPr="00A63466" w:rsidRDefault="006A36B7" w:rsidP="006A36B7">
            <w:pPr>
              <w:spacing w:line="360" w:lineRule="auto"/>
              <w:jc w:val="both"/>
              <w:rPr>
                <w:rFonts w:cstheme="minorHAnsi"/>
                <w:sz w:val="16"/>
                <w:szCs w:val="16"/>
              </w:rPr>
            </w:pPr>
            <w:r>
              <w:rPr>
                <w:rFonts w:cstheme="minorHAnsi"/>
                <w:sz w:val="16"/>
                <w:szCs w:val="16"/>
              </w:rPr>
              <w:t>2018</w:t>
            </w:r>
          </w:p>
        </w:tc>
        <w:tc>
          <w:tcPr>
            <w:tcW w:w="1034" w:type="dxa"/>
            <w:tcBorders>
              <w:top w:val="nil"/>
              <w:left w:val="nil"/>
              <w:bottom w:val="nil"/>
              <w:right w:val="nil"/>
            </w:tcBorders>
          </w:tcPr>
          <w:p w14:paraId="44A02A74" w14:textId="6B9BF36D" w:rsidR="006A36B7" w:rsidRPr="00A63466" w:rsidRDefault="006A36B7" w:rsidP="006A36B7">
            <w:pPr>
              <w:spacing w:line="360" w:lineRule="auto"/>
              <w:jc w:val="both"/>
              <w:rPr>
                <w:rFonts w:cstheme="minorHAnsi"/>
                <w:sz w:val="16"/>
                <w:szCs w:val="16"/>
              </w:rPr>
            </w:pPr>
            <w:r>
              <w:rPr>
                <w:rFonts w:cstheme="minorHAnsi"/>
                <w:sz w:val="16"/>
                <w:szCs w:val="16"/>
              </w:rPr>
              <w:t>India</w:t>
            </w:r>
          </w:p>
        </w:tc>
        <w:tc>
          <w:tcPr>
            <w:tcW w:w="846" w:type="dxa"/>
            <w:tcBorders>
              <w:top w:val="nil"/>
              <w:left w:val="nil"/>
              <w:bottom w:val="nil"/>
              <w:right w:val="nil"/>
            </w:tcBorders>
          </w:tcPr>
          <w:p w14:paraId="4F898E50" w14:textId="200CBA9D" w:rsidR="006A36B7" w:rsidRPr="00A63466" w:rsidRDefault="006A36B7" w:rsidP="006A36B7">
            <w:pPr>
              <w:spacing w:line="360" w:lineRule="auto"/>
              <w:jc w:val="both"/>
              <w:rPr>
                <w:rFonts w:cstheme="minorHAnsi"/>
                <w:sz w:val="16"/>
                <w:szCs w:val="16"/>
              </w:rPr>
            </w:pPr>
            <w:r>
              <w:rPr>
                <w:rFonts w:cstheme="minorHAnsi"/>
                <w:sz w:val="16"/>
                <w:szCs w:val="16"/>
              </w:rPr>
              <w:t>English</w:t>
            </w:r>
          </w:p>
        </w:tc>
        <w:tc>
          <w:tcPr>
            <w:tcW w:w="885" w:type="dxa"/>
            <w:tcBorders>
              <w:top w:val="nil"/>
              <w:left w:val="nil"/>
              <w:bottom w:val="nil"/>
              <w:right w:val="nil"/>
            </w:tcBorders>
          </w:tcPr>
          <w:p w14:paraId="6B257BA9" w14:textId="253698A3" w:rsidR="006A36B7" w:rsidRPr="00A63466" w:rsidRDefault="006A36B7" w:rsidP="006A36B7">
            <w:pPr>
              <w:spacing w:line="360" w:lineRule="auto"/>
              <w:jc w:val="center"/>
              <w:rPr>
                <w:rFonts w:cstheme="minorHAnsi"/>
                <w:sz w:val="16"/>
                <w:szCs w:val="16"/>
              </w:rPr>
            </w:pPr>
            <w:r>
              <w:rPr>
                <w:rFonts w:cstheme="minorHAnsi"/>
                <w:sz w:val="16"/>
                <w:szCs w:val="16"/>
              </w:rPr>
              <w:t>21</w:t>
            </w:r>
          </w:p>
        </w:tc>
        <w:tc>
          <w:tcPr>
            <w:tcW w:w="2410" w:type="dxa"/>
            <w:tcBorders>
              <w:top w:val="nil"/>
              <w:left w:val="nil"/>
              <w:bottom w:val="nil"/>
              <w:right w:val="nil"/>
            </w:tcBorders>
          </w:tcPr>
          <w:p w14:paraId="1805F21E" w14:textId="77777777" w:rsidR="006A36B7" w:rsidRDefault="006A36B7" w:rsidP="006A36B7">
            <w:pPr>
              <w:spacing w:line="360" w:lineRule="auto"/>
              <w:jc w:val="both"/>
              <w:rPr>
                <w:rFonts w:cstheme="minorHAnsi"/>
                <w:sz w:val="16"/>
                <w:szCs w:val="16"/>
              </w:rPr>
            </w:pPr>
          </w:p>
        </w:tc>
        <w:tc>
          <w:tcPr>
            <w:tcW w:w="2817" w:type="dxa"/>
            <w:tcBorders>
              <w:top w:val="nil"/>
              <w:left w:val="nil"/>
              <w:bottom w:val="nil"/>
              <w:right w:val="nil"/>
            </w:tcBorders>
          </w:tcPr>
          <w:p w14:paraId="372615C8" w14:textId="77777777" w:rsidR="006A36B7" w:rsidRDefault="006A36B7" w:rsidP="006A36B7">
            <w:pPr>
              <w:spacing w:line="360" w:lineRule="auto"/>
              <w:jc w:val="both"/>
              <w:rPr>
                <w:rFonts w:cstheme="minorHAnsi"/>
                <w:sz w:val="16"/>
                <w:szCs w:val="16"/>
              </w:rPr>
            </w:pPr>
          </w:p>
        </w:tc>
        <w:tc>
          <w:tcPr>
            <w:tcW w:w="2113" w:type="dxa"/>
            <w:tcBorders>
              <w:top w:val="nil"/>
              <w:left w:val="nil"/>
              <w:bottom w:val="nil"/>
              <w:right w:val="nil"/>
            </w:tcBorders>
          </w:tcPr>
          <w:p w14:paraId="4B1E6BED" w14:textId="439A37CF" w:rsidR="006A36B7" w:rsidRPr="00A63466" w:rsidRDefault="006A36B7" w:rsidP="006A36B7">
            <w:pPr>
              <w:spacing w:line="360" w:lineRule="auto"/>
              <w:jc w:val="both"/>
              <w:rPr>
                <w:rFonts w:cstheme="minorHAnsi"/>
                <w:sz w:val="16"/>
                <w:szCs w:val="16"/>
              </w:rPr>
            </w:pPr>
            <w:r w:rsidRPr="00A63466">
              <w:rPr>
                <w:rFonts w:cstheme="minorHAnsi"/>
                <w:sz w:val="16"/>
                <w:szCs w:val="16"/>
              </w:rPr>
              <w:t>Prospective observational</w:t>
            </w:r>
          </w:p>
        </w:tc>
        <w:tc>
          <w:tcPr>
            <w:tcW w:w="698" w:type="dxa"/>
            <w:tcBorders>
              <w:top w:val="nil"/>
              <w:left w:val="nil"/>
              <w:bottom w:val="nil"/>
              <w:right w:val="nil"/>
            </w:tcBorders>
          </w:tcPr>
          <w:p w14:paraId="691F4DDE" w14:textId="77777777" w:rsidR="006A36B7" w:rsidRPr="00A63466" w:rsidRDefault="006A36B7" w:rsidP="006A36B7">
            <w:pPr>
              <w:spacing w:line="360" w:lineRule="auto"/>
              <w:jc w:val="both"/>
              <w:rPr>
                <w:rFonts w:cstheme="minorHAnsi"/>
                <w:sz w:val="16"/>
                <w:szCs w:val="16"/>
              </w:rPr>
            </w:pPr>
          </w:p>
        </w:tc>
        <w:tc>
          <w:tcPr>
            <w:tcW w:w="700" w:type="dxa"/>
            <w:tcBorders>
              <w:top w:val="nil"/>
              <w:left w:val="nil"/>
              <w:bottom w:val="nil"/>
              <w:right w:val="nil"/>
            </w:tcBorders>
          </w:tcPr>
          <w:p w14:paraId="70FB37A1" w14:textId="77777777" w:rsidR="006A36B7" w:rsidRPr="00A63466" w:rsidRDefault="006A36B7" w:rsidP="006A36B7">
            <w:pPr>
              <w:spacing w:line="360" w:lineRule="auto"/>
              <w:jc w:val="both"/>
              <w:rPr>
                <w:rFonts w:cstheme="minorHAnsi"/>
                <w:sz w:val="16"/>
                <w:szCs w:val="16"/>
              </w:rPr>
            </w:pPr>
          </w:p>
        </w:tc>
        <w:tc>
          <w:tcPr>
            <w:tcW w:w="930" w:type="dxa"/>
            <w:tcBorders>
              <w:top w:val="nil"/>
              <w:left w:val="nil"/>
              <w:bottom w:val="nil"/>
              <w:right w:val="nil"/>
            </w:tcBorders>
          </w:tcPr>
          <w:p w14:paraId="70921099" w14:textId="77777777" w:rsidR="006A36B7" w:rsidRDefault="006A36B7" w:rsidP="006A36B7">
            <w:pPr>
              <w:spacing w:line="360" w:lineRule="auto"/>
              <w:jc w:val="both"/>
              <w:rPr>
                <w:rFonts w:cstheme="minorHAnsi"/>
                <w:sz w:val="16"/>
                <w:szCs w:val="16"/>
              </w:rPr>
            </w:pPr>
          </w:p>
        </w:tc>
        <w:tc>
          <w:tcPr>
            <w:tcW w:w="825" w:type="dxa"/>
            <w:tcBorders>
              <w:top w:val="nil"/>
              <w:left w:val="nil"/>
              <w:bottom w:val="nil"/>
              <w:right w:val="single" w:sz="4" w:space="0" w:color="auto"/>
            </w:tcBorders>
          </w:tcPr>
          <w:p w14:paraId="2E93BA30" w14:textId="7D987261" w:rsidR="006A36B7" w:rsidRPr="00A63466" w:rsidRDefault="006A36B7" w:rsidP="006A36B7">
            <w:pPr>
              <w:spacing w:line="360" w:lineRule="auto"/>
              <w:jc w:val="both"/>
              <w:rPr>
                <w:rFonts w:cstheme="minorHAnsi"/>
                <w:sz w:val="16"/>
                <w:szCs w:val="16"/>
              </w:rPr>
            </w:pPr>
          </w:p>
        </w:tc>
      </w:tr>
      <w:tr w:rsidR="006A36B7" w:rsidRPr="00A63466" w14:paraId="27056FA5" w14:textId="77777777" w:rsidTr="006A36B7">
        <w:tc>
          <w:tcPr>
            <w:tcW w:w="1985" w:type="dxa"/>
            <w:tcBorders>
              <w:top w:val="nil"/>
              <w:left w:val="single" w:sz="4" w:space="0" w:color="auto"/>
              <w:bottom w:val="nil"/>
              <w:right w:val="nil"/>
            </w:tcBorders>
          </w:tcPr>
          <w:p w14:paraId="66611931" w14:textId="77CEA63A" w:rsidR="006A36B7" w:rsidRPr="002B0140" w:rsidRDefault="006A36B7" w:rsidP="00080710">
            <w:pPr>
              <w:spacing w:line="360" w:lineRule="auto"/>
              <w:jc w:val="both"/>
              <w:rPr>
                <w:rFonts w:cstheme="minorHAnsi"/>
                <w:b/>
                <w:sz w:val="16"/>
                <w:szCs w:val="16"/>
              </w:rPr>
            </w:pPr>
            <w:r w:rsidRPr="002B0140">
              <w:rPr>
                <w:rFonts w:cstheme="minorHAnsi"/>
                <w:b/>
                <w:sz w:val="16"/>
                <w:szCs w:val="16"/>
              </w:rPr>
              <w:t xml:space="preserve">Lavan </w:t>
            </w:r>
            <w:r>
              <w:rPr>
                <w:rFonts w:cstheme="minorHAnsi"/>
                <w:b/>
                <w:noProof/>
                <w:sz w:val="16"/>
                <w:szCs w:val="16"/>
              </w:rPr>
              <w:t>[38]</w:t>
            </w:r>
          </w:p>
        </w:tc>
        <w:tc>
          <w:tcPr>
            <w:tcW w:w="541" w:type="dxa"/>
            <w:tcBorders>
              <w:top w:val="nil"/>
              <w:left w:val="nil"/>
              <w:bottom w:val="nil"/>
              <w:right w:val="nil"/>
            </w:tcBorders>
          </w:tcPr>
          <w:p w14:paraId="36106A02" w14:textId="611636E1" w:rsidR="006A36B7" w:rsidRPr="00A63466" w:rsidRDefault="006A36B7" w:rsidP="006A36B7">
            <w:pPr>
              <w:spacing w:line="360" w:lineRule="auto"/>
              <w:jc w:val="both"/>
              <w:rPr>
                <w:rFonts w:cstheme="minorHAnsi"/>
                <w:sz w:val="16"/>
                <w:szCs w:val="16"/>
              </w:rPr>
            </w:pPr>
            <w:r w:rsidRPr="00A63466">
              <w:rPr>
                <w:rFonts w:cstheme="minorHAnsi"/>
                <w:sz w:val="16"/>
                <w:szCs w:val="16"/>
              </w:rPr>
              <w:t>2017</w:t>
            </w:r>
          </w:p>
        </w:tc>
        <w:tc>
          <w:tcPr>
            <w:tcW w:w="1034" w:type="dxa"/>
            <w:tcBorders>
              <w:top w:val="nil"/>
              <w:left w:val="nil"/>
              <w:bottom w:val="nil"/>
              <w:right w:val="nil"/>
            </w:tcBorders>
          </w:tcPr>
          <w:p w14:paraId="2EBF9636" w14:textId="678DD904" w:rsidR="006A36B7" w:rsidRPr="00A63466" w:rsidRDefault="006A36B7" w:rsidP="006A36B7">
            <w:pPr>
              <w:spacing w:line="360" w:lineRule="auto"/>
              <w:jc w:val="both"/>
              <w:rPr>
                <w:rFonts w:cstheme="minorHAnsi"/>
                <w:sz w:val="16"/>
                <w:szCs w:val="16"/>
              </w:rPr>
            </w:pPr>
            <w:r w:rsidRPr="00A63466">
              <w:rPr>
                <w:rFonts w:cstheme="minorHAnsi"/>
                <w:sz w:val="16"/>
                <w:szCs w:val="16"/>
              </w:rPr>
              <w:t>Ireland</w:t>
            </w:r>
          </w:p>
        </w:tc>
        <w:tc>
          <w:tcPr>
            <w:tcW w:w="846" w:type="dxa"/>
            <w:tcBorders>
              <w:top w:val="nil"/>
              <w:left w:val="nil"/>
              <w:bottom w:val="nil"/>
              <w:right w:val="nil"/>
            </w:tcBorders>
          </w:tcPr>
          <w:p w14:paraId="06F25409" w14:textId="24032317" w:rsidR="006A36B7" w:rsidRPr="00A63466" w:rsidRDefault="006A36B7" w:rsidP="006A36B7">
            <w:pPr>
              <w:spacing w:line="360" w:lineRule="auto"/>
              <w:jc w:val="both"/>
              <w:rPr>
                <w:rFonts w:cstheme="minorHAnsi"/>
                <w:sz w:val="16"/>
                <w:szCs w:val="16"/>
              </w:rPr>
            </w:pPr>
            <w:r w:rsidRPr="00A63466">
              <w:rPr>
                <w:rFonts w:cstheme="minorHAnsi"/>
                <w:sz w:val="16"/>
                <w:szCs w:val="16"/>
              </w:rPr>
              <w:t>English</w:t>
            </w:r>
          </w:p>
        </w:tc>
        <w:tc>
          <w:tcPr>
            <w:tcW w:w="885" w:type="dxa"/>
            <w:tcBorders>
              <w:top w:val="nil"/>
              <w:left w:val="nil"/>
              <w:bottom w:val="nil"/>
              <w:right w:val="nil"/>
            </w:tcBorders>
          </w:tcPr>
          <w:p w14:paraId="198E9C83" w14:textId="54DF70B1" w:rsidR="006A36B7" w:rsidRPr="00A63466" w:rsidRDefault="006A36B7" w:rsidP="006A36B7">
            <w:pPr>
              <w:spacing w:line="360" w:lineRule="auto"/>
              <w:jc w:val="center"/>
              <w:rPr>
                <w:rFonts w:cstheme="minorHAnsi"/>
                <w:sz w:val="16"/>
                <w:szCs w:val="16"/>
              </w:rPr>
            </w:pPr>
            <w:r w:rsidRPr="00A63466">
              <w:rPr>
                <w:rFonts w:cstheme="minorHAnsi"/>
                <w:sz w:val="16"/>
                <w:szCs w:val="16"/>
              </w:rPr>
              <w:t>18</w:t>
            </w:r>
          </w:p>
        </w:tc>
        <w:tc>
          <w:tcPr>
            <w:tcW w:w="2410" w:type="dxa"/>
            <w:tcBorders>
              <w:top w:val="nil"/>
              <w:left w:val="nil"/>
              <w:bottom w:val="nil"/>
              <w:right w:val="nil"/>
            </w:tcBorders>
          </w:tcPr>
          <w:p w14:paraId="0F170CC2" w14:textId="28E444B5" w:rsidR="006A36B7" w:rsidRPr="00A63466" w:rsidRDefault="006A36B7" w:rsidP="006A36B7">
            <w:pPr>
              <w:spacing w:line="360" w:lineRule="auto"/>
              <w:jc w:val="both"/>
              <w:rPr>
                <w:rFonts w:cstheme="minorHAnsi"/>
                <w:sz w:val="16"/>
                <w:szCs w:val="16"/>
              </w:rPr>
            </w:pPr>
            <w:r>
              <w:rPr>
                <w:rFonts w:cstheme="minorHAnsi"/>
                <w:sz w:val="16"/>
                <w:szCs w:val="16"/>
              </w:rPr>
              <w:t>SENATOR 6 European trial sites</w:t>
            </w:r>
          </w:p>
        </w:tc>
        <w:tc>
          <w:tcPr>
            <w:tcW w:w="2817" w:type="dxa"/>
            <w:tcBorders>
              <w:top w:val="nil"/>
              <w:left w:val="nil"/>
              <w:bottom w:val="nil"/>
              <w:right w:val="nil"/>
            </w:tcBorders>
          </w:tcPr>
          <w:p w14:paraId="025126AD" w14:textId="7340FBBD" w:rsidR="006A36B7" w:rsidRPr="00A63466" w:rsidRDefault="006A36B7" w:rsidP="006A36B7">
            <w:pPr>
              <w:spacing w:line="360" w:lineRule="auto"/>
              <w:jc w:val="both"/>
              <w:rPr>
                <w:rFonts w:cstheme="minorHAnsi"/>
                <w:sz w:val="16"/>
                <w:szCs w:val="16"/>
              </w:rPr>
            </w:pPr>
            <w:r>
              <w:rPr>
                <w:rFonts w:cstheme="minorHAnsi"/>
                <w:sz w:val="16"/>
                <w:szCs w:val="16"/>
              </w:rPr>
              <w:t>≥ 65, multi-morbidity, within 72 hours</w:t>
            </w:r>
          </w:p>
        </w:tc>
        <w:tc>
          <w:tcPr>
            <w:tcW w:w="2113" w:type="dxa"/>
            <w:tcBorders>
              <w:top w:val="nil"/>
              <w:left w:val="nil"/>
              <w:bottom w:val="nil"/>
              <w:right w:val="nil"/>
            </w:tcBorders>
          </w:tcPr>
          <w:p w14:paraId="7E457729" w14:textId="7B214A69" w:rsidR="006A36B7" w:rsidRPr="00A63466" w:rsidRDefault="006A36B7" w:rsidP="006A36B7">
            <w:pPr>
              <w:spacing w:line="360" w:lineRule="auto"/>
              <w:jc w:val="both"/>
              <w:rPr>
                <w:rFonts w:cstheme="minorHAnsi"/>
                <w:sz w:val="16"/>
                <w:szCs w:val="16"/>
              </w:rPr>
            </w:pPr>
            <w:r w:rsidRPr="00A63466">
              <w:rPr>
                <w:rFonts w:cstheme="minorHAnsi"/>
                <w:sz w:val="16"/>
                <w:szCs w:val="16"/>
              </w:rPr>
              <w:t>Prospective observational</w:t>
            </w:r>
          </w:p>
        </w:tc>
        <w:tc>
          <w:tcPr>
            <w:tcW w:w="698" w:type="dxa"/>
            <w:tcBorders>
              <w:top w:val="nil"/>
              <w:left w:val="nil"/>
              <w:bottom w:val="nil"/>
              <w:right w:val="nil"/>
            </w:tcBorders>
          </w:tcPr>
          <w:p w14:paraId="49F96891" w14:textId="69C7208D" w:rsidR="006A36B7" w:rsidRPr="00A63466" w:rsidRDefault="006A36B7" w:rsidP="006A36B7">
            <w:pPr>
              <w:spacing w:line="360" w:lineRule="auto"/>
              <w:jc w:val="both"/>
              <w:rPr>
                <w:rFonts w:cstheme="minorHAnsi"/>
                <w:sz w:val="16"/>
                <w:szCs w:val="16"/>
              </w:rPr>
            </w:pPr>
            <w:r w:rsidRPr="00A63466">
              <w:rPr>
                <w:rFonts w:cstheme="minorHAnsi"/>
                <w:sz w:val="16"/>
                <w:szCs w:val="16"/>
              </w:rPr>
              <w:t>644</w:t>
            </w:r>
          </w:p>
        </w:tc>
        <w:tc>
          <w:tcPr>
            <w:tcW w:w="700" w:type="dxa"/>
            <w:tcBorders>
              <w:top w:val="nil"/>
              <w:left w:val="nil"/>
              <w:bottom w:val="nil"/>
              <w:right w:val="nil"/>
            </w:tcBorders>
          </w:tcPr>
          <w:p w14:paraId="002D5939" w14:textId="5B28FED0" w:rsidR="006A36B7" w:rsidRPr="00A63466" w:rsidRDefault="006A36B7" w:rsidP="006A36B7">
            <w:pPr>
              <w:spacing w:line="360" w:lineRule="auto"/>
              <w:jc w:val="both"/>
              <w:rPr>
                <w:rFonts w:cstheme="minorHAnsi"/>
                <w:sz w:val="16"/>
                <w:szCs w:val="16"/>
              </w:rPr>
            </w:pPr>
            <w:r w:rsidRPr="00A63466">
              <w:rPr>
                <w:rFonts w:cstheme="minorHAnsi"/>
                <w:sz w:val="16"/>
                <w:szCs w:val="16"/>
              </w:rPr>
              <w:t>644</w:t>
            </w:r>
          </w:p>
        </w:tc>
        <w:tc>
          <w:tcPr>
            <w:tcW w:w="930" w:type="dxa"/>
            <w:tcBorders>
              <w:top w:val="nil"/>
              <w:left w:val="nil"/>
              <w:bottom w:val="nil"/>
              <w:right w:val="nil"/>
            </w:tcBorders>
          </w:tcPr>
          <w:p w14:paraId="66C48B50" w14:textId="309F26DE" w:rsidR="006A36B7" w:rsidRPr="00A63466" w:rsidRDefault="006A36B7" w:rsidP="006A36B7">
            <w:pPr>
              <w:spacing w:line="360" w:lineRule="auto"/>
              <w:jc w:val="both"/>
              <w:rPr>
                <w:rFonts w:cstheme="minorHAnsi"/>
                <w:sz w:val="16"/>
                <w:szCs w:val="16"/>
              </w:rPr>
            </w:pPr>
            <w:r w:rsidRPr="00A63466">
              <w:rPr>
                <w:rFonts w:cstheme="minorHAnsi"/>
                <w:sz w:val="16"/>
                <w:szCs w:val="16"/>
              </w:rPr>
              <w:t>77.8 ± 7.4</w:t>
            </w:r>
          </w:p>
        </w:tc>
        <w:tc>
          <w:tcPr>
            <w:tcW w:w="825" w:type="dxa"/>
            <w:tcBorders>
              <w:top w:val="nil"/>
              <w:left w:val="nil"/>
              <w:bottom w:val="nil"/>
              <w:right w:val="single" w:sz="4" w:space="0" w:color="auto"/>
            </w:tcBorders>
          </w:tcPr>
          <w:p w14:paraId="1D217154" w14:textId="1BB4B0E8" w:rsidR="006A36B7" w:rsidRPr="00A63466" w:rsidRDefault="006A36B7" w:rsidP="006A36B7">
            <w:pPr>
              <w:spacing w:line="360" w:lineRule="auto"/>
              <w:jc w:val="both"/>
              <w:rPr>
                <w:rFonts w:cstheme="minorHAnsi"/>
                <w:sz w:val="16"/>
                <w:szCs w:val="16"/>
              </w:rPr>
            </w:pPr>
            <w:r w:rsidRPr="00A63466">
              <w:rPr>
                <w:rFonts w:cstheme="minorHAnsi"/>
                <w:sz w:val="16"/>
                <w:szCs w:val="16"/>
              </w:rPr>
              <w:t>48% M</w:t>
            </w:r>
          </w:p>
        </w:tc>
      </w:tr>
      <w:tr w:rsidR="006A36B7" w:rsidRPr="00A63466" w14:paraId="125FAFC6" w14:textId="77777777" w:rsidTr="006A36B7">
        <w:tc>
          <w:tcPr>
            <w:tcW w:w="1985" w:type="dxa"/>
            <w:tcBorders>
              <w:top w:val="nil"/>
              <w:left w:val="single" w:sz="4" w:space="0" w:color="auto"/>
              <w:bottom w:val="nil"/>
              <w:right w:val="nil"/>
            </w:tcBorders>
          </w:tcPr>
          <w:p w14:paraId="7EBBB9D4" w14:textId="2CFE32BF" w:rsidR="006A36B7" w:rsidRPr="002B0140" w:rsidRDefault="006A36B7" w:rsidP="006A36B7">
            <w:pPr>
              <w:spacing w:line="360" w:lineRule="auto"/>
              <w:jc w:val="both"/>
              <w:rPr>
                <w:rFonts w:cstheme="minorHAnsi"/>
                <w:b/>
                <w:sz w:val="16"/>
                <w:szCs w:val="16"/>
              </w:rPr>
            </w:pPr>
            <w:r w:rsidRPr="002B0140">
              <w:rPr>
                <w:rFonts w:cstheme="minorHAnsi"/>
                <w:b/>
                <w:sz w:val="16"/>
                <w:szCs w:val="16"/>
              </w:rPr>
              <w:t xml:space="preserve">Leach </w:t>
            </w:r>
            <w:r>
              <w:rPr>
                <w:rFonts w:cstheme="minorHAnsi"/>
                <w:b/>
                <w:noProof/>
                <w:sz w:val="16"/>
                <w:szCs w:val="16"/>
              </w:rPr>
              <w:t>[39]</w:t>
            </w:r>
          </w:p>
        </w:tc>
        <w:tc>
          <w:tcPr>
            <w:tcW w:w="541" w:type="dxa"/>
            <w:tcBorders>
              <w:top w:val="nil"/>
              <w:left w:val="nil"/>
              <w:bottom w:val="nil"/>
              <w:right w:val="nil"/>
            </w:tcBorders>
          </w:tcPr>
          <w:p w14:paraId="02D4FBDF" w14:textId="5994B991" w:rsidR="006A36B7" w:rsidRPr="00A63466" w:rsidRDefault="006A36B7" w:rsidP="006A36B7">
            <w:pPr>
              <w:spacing w:line="360" w:lineRule="auto"/>
              <w:jc w:val="both"/>
              <w:rPr>
                <w:rFonts w:cstheme="minorHAnsi"/>
                <w:sz w:val="16"/>
                <w:szCs w:val="16"/>
              </w:rPr>
            </w:pPr>
            <w:r w:rsidRPr="00A63466">
              <w:rPr>
                <w:rFonts w:cstheme="minorHAnsi"/>
                <w:sz w:val="16"/>
                <w:szCs w:val="16"/>
              </w:rPr>
              <w:t>1986</w:t>
            </w:r>
          </w:p>
        </w:tc>
        <w:tc>
          <w:tcPr>
            <w:tcW w:w="1034" w:type="dxa"/>
            <w:tcBorders>
              <w:top w:val="nil"/>
              <w:left w:val="nil"/>
              <w:bottom w:val="nil"/>
              <w:right w:val="nil"/>
            </w:tcBorders>
          </w:tcPr>
          <w:p w14:paraId="3FCF453F" w14:textId="3162C721" w:rsidR="006A36B7" w:rsidRPr="00A63466" w:rsidRDefault="006A36B7" w:rsidP="006A36B7">
            <w:pPr>
              <w:spacing w:line="360" w:lineRule="auto"/>
              <w:jc w:val="both"/>
              <w:rPr>
                <w:rFonts w:cstheme="minorHAnsi"/>
                <w:sz w:val="16"/>
                <w:szCs w:val="16"/>
              </w:rPr>
            </w:pPr>
            <w:r w:rsidRPr="00A63466">
              <w:rPr>
                <w:rFonts w:cstheme="minorHAnsi"/>
                <w:sz w:val="16"/>
                <w:szCs w:val="16"/>
              </w:rPr>
              <w:t>U.K.</w:t>
            </w:r>
          </w:p>
        </w:tc>
        <w:tc>
          <w:tcPr>
            <w:tcW w:w="846" w:type="dxa"/>
            <w:tcBorders>
              <w:top w:val="nil"/>
              <w:left w:val="nil"/>
              <w:bottom w:val="nil"/>
              <w:right w:val="nil"/>
            </w:tcBorders>
          </w:tcPr>
          <w:p w14:paraId="0DA05450" w14:textId="6A1A85FB" w:rsidR="006A36B7" w:rsidRPr="00A63466" w:rsidRDefault="006A36B7" w:rsidP="006A36B7">
            <w:pPr>
              <w:spacing w:line="360" w:lineRule="auto"/>
              <w:jc w:val="both"/>
              <w:rPr>
                <w:rFonts w:cstheme="minorHAnsi"/>
                <w:sz w:val="16"/>
                <w:szCs w:val="16"/>
              </w:rPr>
            </w:pPr>
            <w:r w:rsidRPr="00A63466">
              <w:rPr>
                <w:rFonts w:cstheme="minorHAnsi"/>
                <w:sz w:val="16"/>
                <w:szCs w:val="16"/>
              </w:rPr>
              <w:t>English</w:t>
            </w:r>
          </w:p>
        </w:tc>
        <w:tc>
          <w:tcPr>
            <w:tcW w:w="885" w:type="dxa"/>
            <w:tcBorders>
              <w:top w:val="nil"/>
              <w:left w:val="nil"/>
              <w:bottom w:val="nil"/>
              <w:right w:val="nil"/>
            </w:tcBorders>
          </w:tcPr>
          <w:p w14:paraId="5ACF440C" w14:textId="34BE28D4" w:rsidR="006A36B7" w:rsidRPr="00A63466" w:rsidRDefault="006A36B7" w:rsidP="006A36B7">
            <w:pPr>
              <w:spacing w:line="360" w:lineRule="auto"/>
              <w:jc w:val="center"/>
              <w:rPr>
                <w:rFonts w:cstheme="minorHAnsi"/>
                <w:sz w:val="16"/>
                <w:szCs w:val="16"/>
              </w:rPr>
            </w:pPr>
            <w:r w:rsidRPr="00A63466">
              <w:rPr>
                <w:rFonts w:cstheme="minorHAnsi"/>
                <w:sz w:val="16"/>
                <w:szCs w:val="16"/>
              </w:rPr>
              <w:t>5</w:t>
            </w:r>
          </w:p>
        </w:tc>
        <w:tc>
          <w:tcPr>
            <w:tcW w:w="2410" w:type="dxa"/>
            <w:tcBorders>
              <w:top w:val="nil"/>
              <w:left w:val="nil"/>
              <w:bottom w:val="nil"/>
              <w:right w:val="nil"/>
            </w:tcBorders>
          </w:tcPr>
          <w:p w14:paraId="5C726908" w14:textId="64C91BEE" w:rsidR="006A36B7" w:rsidRPr="00A63466" w:rsidRDefault="006A36B7" w:rsidP="006A36B7">
            <w:pPr>
              <w:spacing w:line="360" w:lineRule="auto"/>
              <w:jc w:val="both"/>
              <w:rPr>
                <w:rFonts w:cstheme="minorHAnsi"/>
                <w:sz w:val="16"/>
                <w:szCs w:val="16"/>
              </w:rPr>
            </w:pPr>
            <w:r>
              <w:rPr>
                <w:rFonts w:cstheme="minorHAnsi"/>
                <w:sz w:val="16"/>
                <w:szCs w:val="16"/>
              </w:rPr>
              <w:t>District hospital, geriatric unit</w:t>
            </w:r>
          </w:p>
        </w:tc>
        <w:tc>
          <w:tcPr>
            <w:tcW w:w="2817" w:type="dxa"/>
            <w:tcBorders>
              <w:top w:val="nil"/>
              <w:left w:val="nil"/>
              <w:bottom w:val="nil"/>
              <w:right w:val="nil"/>
            </w:tcBorders>
          </w:tcPr>
          <w:p w14:paraId="2C344E98" w14:textId="7981619E" w:rsidR="006A36B7" w:rsidRPr="00A63466" w:rsidRDefault="006A36B7" w:rsidP="006A36B7">
            <w:pPr>
              <w:spacing w:line="360" w:lineRule="auto"/>
              <w:jc w:val="both"/>
              <w:rPr>
                <w:rFonts w:cstheme="minorHAnsi"/>
                <w:sz w:val="16"/>
                <w:szCs w:val="16"/>
              </w:rPr>
            </w:pPr>
            <w:r>
              <w:rPr>
                <w:rFonts w:cstheme="minorHAnsi"/>
                <w:sz w:val="16"/>
                <w:szCs w:val="16"/>
              </w:rPr>
              <w:t xml:space="preserve">Consecutive admissions, 1 consultant </w:t>
            </w:r>
          </w:p>
        </w:tc>
        <w:tc>
          <w:tcPr>
            <w:tcW w:w="2113" w:type="dxa"/>
            <w:tcBorders>
              <w:top w:val="nil"/>
              <w:left w:val="nil"/>
              <w:bottom w:val="nil"/>
              <w:right w:val="nil"/>
            </w:tcBorders>
          </w:tcPr>
          <w:p w14:paraId="6DB7EC44" w14:textId="26C8C325" w:rsidR="006A36B7" w:rsidRPr="00A63466" w:rsidRDefault="006A36B7" w:rsidP="006A36B7">
            <w:pPr>
              <w:spacing w:line="360" w:lineRule="auto"/>
              <w:jc w:val="both"/>
              <w:rPr>
                <w:rFonts w:cstheme="minorHAnsi"/>
                <w:sz w:val="16"/>
                <w:szCs w:val="16"/>
              </w:rPr>
            </w:pPr>
            <w:r w:rsidRPr="00A63466">
              <w:rPr>
                <w:rFonts w:cstheme="minorHAnsi"/>
                <w:sz w:val="16"/>
                <w:szCs w:val="16"/>
              </w:rPr>
              <w:t>Prospective observational</w:t>
            </w:r>
          </w:p>
        </w:tc>
        <w:tc>
          <w:tcPr>
            <w:tcW w:w="698" w:type="dxa"/>
            <w:tcBorders>
              <w:top w:val="nil"/>
              <w:left w:val="nil"/>
              <w:bottom w:val="nil"/>
              <w:right w:val="nil"/>
            </w:tcBorders>
          </w:tcPr>
          <w:p w14:paraId="43EFDEBE" w14:textId="18C1BA5B" w:rsidR="006A36B7" w:rsidRPr="00A63466" w:rsidRDefault="006A36B7" w:rsidP="006A36B7">
            <w:pPr>
              <w:spacing w:line="360" w:lineRule="auto"/>
              <w:jc w:val="both"/>
              <w:rPr>
                <w:rFonts w:cstheme="minorHAnsi"/>
                <w:sz w:val="16"/>
                <w:szCs w:val="16"/>
              </w:rPr>
            </w:pPr>
            <w:r w:rsidRPr="00A63466">
              <w:rPr>
                <w:rFonts w:cstheme="minorHAnsi"/>
                <w:sz w:val="16"/>
                <w:szCs w:val="16"/>
              </w:rPr>
              <w:t>500</w:t>
            </w:r>
          </w:p>
        </w:tc>
        <w:tc>
          <w:tcPr>
            <w:tcW w:w="700" w:type="dxa"/>
            <w:tcBorders>
              <w:top w:val="nil"/>
              <w:left w:val="nil"/>
              <w:bottom w:val="nil"/>
              <w:right w:val="nil"/>
            </w:tcBorders>
          </w:tcPr>
          <w:p w14:paraId="64410A8B" w14:textId="69231548" w:rsidR="006A36B7" w:rsidRPr="00A63466" w:rsidRDefault="006A36B7" w:rsidP="006A36B7">
            <w:pPr>
              <w:spacing w:line="360" w:lineRule="auto"/>
              <w:jc w:val="both"/>
              <w:rPr>
                <w:rFonts w:cstheme="minorHAnsi"/>
                <w:sz w:val="16"/>
                <w:szCs w:val="16"/>
              </w:rPr>
            </w:pPr>
            <w:r w:rsidRPr="00A63466">
              <w:rPr>
                <w:rFonts w:cstheme="minorHAnsi"/>
                <w:sz w:val="16"/>
                <w:szCs w:val="16"/>
              </w:rPr>
              <w:t>500</w:t>
            </w:r>
          </w:p>
        </w:tc>
        <w:tc>
          <w:tcPr>
            <w:tcW w:w="930" w:type="dxa"/>
            <w:tcBorders>
              <w:top w:val="nil"/>
              <w:left w:val="nil"/>
              <w:bottom w:val="nil"/>
              <w:right w:val="nil"/>
            </w:tcBorders>
          </w:tcPr>
          <w:p w14:paraId="2E3E6970" w14:textId="17062AEB" w:rsidR="006A36B7" w:rsidRPr="00A63466" w:rsidRDefault="006A36B7" w:rsidP="006A36B7">
            <w:pPr>
              <w:spacing w:line="360" w:lineRule="auto"/>
              <w:jc w:val="both"/>
              <w:rPr>
                <w:rFonts w:cstheme="minorHAnsi"/>
                <w:sz w:val="16"/>
                <w:szCs w:val="16"/>
              </w:rPr>
            </w:pPr>
            <w:r w:rsidRPr="00A63466">
              <w:rPr>
                <w:rFonts w:cstheme="minorHAnsi"/>
                <w:sz w:val="16"/>
                <w:szCs w:val="16"/>
              </w:rPr>
              <w:t>78.3</w:t>
            </w:r>
          </w:p>
        </w:tc>
        <w:tc>
          <w:tcPr>
            <w:tcW w:w="825" w:type="dxa"/>
            <w:tcBorders>
              <w:top w:val="nil"/>
              <w:left w:val="nil"/>
              <w:bottom w:val="nil"/>
              <w:right w:val="single" w:sz="4" w:space="0" w:color="auto"/>
            </w:tcBorders>
          </w:tcPr>
          <w:p w14:paraId="2B5FB997" w14:textId="246B515A" w:rsidR="006A36B7" w:rsidRPr="00A63466" w:rsidRDefault="006A36B7" w:rsidP="006A36B7">
            <w:pPr>
              <w:spacing w:line="360" w:lineRule="auto"/>
              <w:jc w:val="both"/>
              <w:rPr>
                <w:rFonts w:cstheme="minorHAnsi"/>
                <w:sz w:val="16"/>
                <w:szCs w:val="16"/>
              </w:rPr>
            </w:pPr>
            <w:r w:rsidRPr="00A63466">
              <w:rPr>
                <w:rFonts w:cstheme="minorHAnsi"/>
                <w:sz w:val="16"/>
                <w:szCs w:val="16"/>
              </w:rPr>
              <w:t>46% M</w:t>
            </w:r>
          </w:p>
        </w:tc>
      </w:tr>
      <w:tr w:rsidR="006A36B7" w:rsidRPr="00A63466" w14:paraId="739AE87A" w14:textId="77777777" w:rsidTr="006A36B7">
        <w:tc>
          <w:tcPr>
            <w:tcW w:w="1985" w:type="dxa"/>
            <w:tcBorders>
              <w:top w:val="nil"/>
              <w:left w:val="single" w:sz="4" w:space="0" w:color="auto"/>
              <w:bottom w:val="nil"/>
              <w:right w:val="nil"/>
            </w:tcBorders>
          </w:tcPr>
          <w:p w14:paraId="7BE6F134" w14:textId="7EA84C85" w:rsidR="006A36B7" w:rsidRPr="002B0140" w:rsidRDefault="006A36B7" w:rsidP="00080710">
            <w:pPr>
              <w:spacing w:line="360" w:lineRule="auto"/>
              <w:jc w:val="both"/>
              <w:rPr>
                <w:rFonts w:cstheme="minorHAnsi"/>
                <w:b/>
                <w:sz w:val="16"/>
                <w:szCs w:val="16"/>
              </w:rPr>
            </w:pPr>
            <w:r w:rsidRPr="002B0140">
              <w:rPr>
                <w:rFonts w:cstheme="minorHAnsi"/>
                <w:b/>
                <w:sz w:val="16"/>
                <w:szCs w:val="16"/>
              </w:rPr>
              <w:t xml:space="preserve">Mohebbi </w:t>
            </w:r>
            <w:r>
              <w:rPr>
                <w:rFonts w:cstheme="minorHAnsi"/>
                <w:b/>
                <w:noProof/>
                <w:sz w:val="16"/>
                <w:szCs w:val="16"/>
              </w:rPr>
              <w:t>[40]</w:t>
            </w:r>
          </w:p>
        </w:tc>
        <w:tc>
          <w:tcPr>
            <w:tcW w:w="541" w:type="dxa"/>
            <w:tcBorders>
              <w:top w:val="nil"/>
              <w:left w:val="nil"/>
              <w:bottom w:val="nil"/>
              <w:right w:val="nil"/>
            </w:tcBorders>
          </w:tcPr>
          <w:p w14:paraId="65C05385" w14:textId="1926D6EA" w:rsidR="006A36B7" w:rsidRPr="00A63466" w:rsidRDefault="006A36B7" w:rsidP="006A36B7">
            <w:pPr>
              <w:spacing w:line="360" w:lineRule="auto"/>
              <w:jc w:val="both"/>
              <w:rPr>
                <w:rFonts w:cstheme="minorHAnsi"/>
                <w:sz w:val="16"/>
                <w:szCs w:val="16"/>
              </w:rPr>
            </w:pPr>
            <w:r w:rsidRPr="00A63466">
              <w:rPr>
                <w:rFonts w:cstheme="minorHAnsi"/>
                <w:sz w:val="16"/>
                <w:szCs w:val="16"/>
              </w:rPr>
              <w:t>2010</w:t>
            </w:r>
          </w:p>
        </w:tc>
        <w:tc>
          <w:tcPr>
            <w:tcW w:w="1034" w:type="dxa"/>
            <w:tcBorders>
              <w:top w:val="nil"/>
              <w:left w:val="nil"/>
              <w:bottom w:val="nil"/>
              <w:right w:val="nil"/>
            </w:tcBorders>
          </w:tcPr>
          <w:p w14:paraId="1E510A6F" w14:textId="6F9BC4A7" w:rsidR="006A36B7" w:rsidRPr="00A63466" w:rsidRDefault="006A36B7" w:rsidP="006A36B7">
            <w:pPr>
              <w:spacing w:line="360" w:lineRule="auto"/>
              <w:jc w:val="both"/>
              <w:rPr>
                <w:rFonts w:cstheme="minorHAnsi"/>
                <w:sz w:val="16"/>
                <w:szCs w:val="16"/>
              </w:rPr>
            </w:pPr>
            <w:r w:rsidRPr="00A63466">
              <w:rPr>
                <w:rFonts w:cstheme="minorHAnsi"/>
                <w:sz w:val="16"/>
                <w:szCs w:val="16"/>
              </w:rPr>
              <w:t>Iran</w:t>
            </w:r>
          </w:p>
        </w:tc>
        <w:tc>
          <w:tcPr>
            <w:tcW w:w="846" w:type="dxa"/>
            <w:tcBorders>
              <w:top w:val="nil"/>
              <w:left w:val="nil"/>
              <w:bottom w:val="nil"/>
              <w:right w:val="nil"/>
            </w:tcBorders>
          </w:tcPr>
          <w:p w14:paraId="2609F421" w14:textId="03A502DA" w:rsidR="006A36B7" w:rsidRPr="00A63466" w:rsidRDefault="006A36B7" w:rsidP="006A36B7">
            <w:pPr>
              <w:spacing w:line="360" w:lineRule="auto"/>
              <w:jc w:val="both"/>
              <w:rPr>
                <w:rFonts w:cstheme="minorHAnsi"/>
                <w:sz w:val="16"/>
                <w:szCs w:val="16"/>
              </w:rPr>
            </w:pPr>
            <w:r w:rsidRPr="00A63466">
              <w:rPr>
                <w:rFonts w:cstheme="minorHAnsi"/>
                <w:sz w:val="16"/>
                <w:szCs w:val="16"/>
              </w:rPr>
              <w:t>English</w:t>
            </w:r>
          </w:p>
        </w:tc>
        <w:tc>
          <w:tcPr>
            <w:tcW w:w="885" w:type="dxa"/>
            <w:tcBorders>
              <w:top w:val="nil"/>
              <w:left w:val="nil"/>
              <w:bottom w:val="nil"/>
              <w:right w:val="nil"/>
            </w:tcBorders>
          </w:tcPr>
          <w:p w14:paraId="66E76B7B" w14:textId="7E310F79" w:rsidR="006A36B7" w:rsidRPr="00A63466" w:rsidRDefault="006A36B7" w:rsidP="006A36B7">
            <w:pPr>
              <w:spacing w:line="360" w:lineRule="auto"/>
              <w:jc w:val="center"/>
              <w:rPr>
                <w:rFonts w:cstheme="minorHAnsi"/>
                <w:sz w:val="16"/>
                <w:szCs w:val="16"/>
              </w:rPr>
            </w:pPr>
            <w:r w:rsidRPr="00A63466">
              <w:rPr>
                <w:rFonts w:cstheme="minorHAnsi"/>
                <w:sz w:val="16"/>
                <w:szCs w:val="16"/>
              </w:rPr>
              <w:t>8</w:t>
            </w:r>
          </w:p>
        </w:tc>
        <w:tc>
          <w:tcPr>
            <w:tcW w:w="2410" w:type="dxa"/>
            <w:tcBorders>
              <w:top w:val="nil"/>
              <w:left w:val="nil"/>
              <w:bottom w:val="nil"/>
              <w:right w:val="nil"/>
            </w:tcBorders>
          </w:tcPr>
          <w:p w14:paraId="57133130" w14:textId="07981176" w:rsidR="006A36B7" w:rsidRPr="00A63466" w:rsidRDefault="006A36B7" w:rsidP="006A36B7">
            <w:pPr>
              <w:spacing w:line="360" w:lineRule="auto"/>
              <w:jc w:val="both"/>
              <w:rPr>
                <w:rFonts w:cstheme="minorHAnsi"/>
                <w:sz w:val="16"/>
                <w:szCs w:val="16"/>
              </w:rPr>
            </w:pPr>
            <w:r>
              <w:rPr>
                <w:rFonts w:cstheme="minorHAnsi"/>
                <w:sz w:val="16"/>
                <w:szCs w:val="16"/>
              </w:rPr>
              <w:t>2 CCU wards</w:t>
            </w:r>
          </w:p>
        </w:tc>
        <w:tc>
          <w:tcPr>
            <w:tcW w:w="2817" w:type="dxa"/>
            <w:tcBorders>
              <w:top w:val="nil"/>
              <w:left w:val="nil"/>
              <w:bottom w:val="nil"/>
              <w:right w:val="nil"/>
            </w:tcBorders>
          </w:tcPr>
          <w:p w14:paraId="1652E0AC" w14:textId="355A956F" w:rsidR="006A36B7" w:rsidRPr="00A63466" w:rsidRDefault="006A36B7" w:rsidP="006A36B7">
            <w:pPr>
              <w:spacing w:line="360" w:lineRule="auto"/>
              <w:jc w:val="both"/>
              <w:rPr>
                <w:rFonts w:cstheme="minorHAnsi"/>
                <w:sz w:val="16"/>
                <w:szCs w:val="16"/>
              </w:rPr>
            </w:pPr>
            <w:r>
              <w:rPr>
                <w:rFonts w:cstheme="minorHAnsi"/>
                <w:sz w:val="16"/>
                <w:szCs w:val="16"/>
              </w:rPr>
              <w:t>Adults, ≥1 cardiovascular drug, excl. CPR</w:t>
            </w:r>
          </w:p>
        </w:tc>
        <w:tc>
          <w:tcPr>
            <w:tcW w:w="2113" w:type="dxa"/>
            <w:tcBorders>
              <w:top w:val="nil"/>
              <w:left w:val="nil"/>
              <w:bottom w:val="nil"/>
              <w:right w:val="nil"/>
            </w:tcBorders>
          </w:tcPr>
          <w:p w14:paraId="0481DEFC" w14:textId="6EC3CF4C" w:rsidR="006A36B7" w:rsidRPr="00A63466" w:rsidRDefault="006A36B7" w:rsidP="006A36B7">
            <w:pPr>
              <w:spacing w:line="360" w:lineRule="auto"/>
              <w:jc w:val="both"/>
              <w:rPr>
                <w:rFonts w:cstheme="minorHAnsi"/>
                <w:sz w:val="16"/>
                <w:szCs w:val="16"/>
              </w:rPr>
            </w:pPr>
            <w:r w:rsidRPr="00A63466">
              <w:rPr>
                <w:rFonts w:cstheme="minorHAnsi"/>
                <w:sz w:val="16"/>
                <w:szCs w:val="16"/>
              </w:rPr>
              <w:t>Prospective observational</w:t>
            </w:r>
          </w:p>
        </w:tc>
        <w:tc>
          <w:tcPr>
            <w:tcW w:w="698" w:type="dxa"/>
            <w:tcBorders>
              <w:top w:val="nil"/>
              <w:left w:val="nil"/>
              <w:bottom w:val="nil"/>
              <w:right w:val="nil"/>
            </w:tcBorders>
          </w:tcPr>
          <w:p w14:paraId="05541B61" w14:textId="1308D14C" w:rsidR="006A36B7" w:rsidRPr="00A63466" w:rsidRDefault="006A36B7" w:rsidP="006A36B7">
            <w:pPr>
              <w:spacing w:line="360" w:lineRule="auto"/>
              <w:jc w:val="both"/>
              <w:rPr>
                <w:rFonts w:cstheme="minorHAnsi"/>
                <w:sz w:val="16"/>
                <w:szCs w:val="16"/>
              </w:rPr>
            </w:pPr>
            <w:r w:rsidRPr="00A63466">
              <w:rPr>
                <w:rFonts w:cstheme="minorHAnsi"/>
                <w:sz w:val="16"/>
                <w:szCs w:val="16"/>
              </w:rPr>
              <w:t>677</w:t>
            </w:r>
          </w:p>
        </w:tc>
        <w:tc>
          <w:tcPr>
            <w:tcW w:w="700" w:type="dxa"/>
            <w:tcBorders>
              <w:top w:val="nil"/>
              <w:left w:val="nil"/>
              <w:bottom w:val="nil"/>
              <w:right w:val="nil"/>
            </w:tcBorders>
          </w:tcPr>
          <w:p w14:paraId="06AB03B3" w14:textId="3DA49AC5" w:rsidR="006A36B7" w:rsidRPr="00A63466" w:rsidRDefault="006A36B7" w:rsidP="006A36B7">
            <w:pPr>
              <w:spacing w:line="360" w:lineRule="auto"/>
              <w:jc w:val="both"/>
              <w:rPr>
                <w:rFonts w:cstheme="minorHAnsi"/>
                <w:sz w:val="16"/>
                <w:szCs w:val="16"/>
              </w:rPr>
            </w:pPr>
            <w:r w:rsidRPr="00A63466">
              <w:rPr>
                <w:rFonts w:cstheme="minorHAnsi"/>
                <w:sz w:val="16"/>
                <w:szCs w:val="16"/>
              </w:rPr>
              <w:t>204</w:t>
            </w:r>
          </w:p>
        </w:tc>
        <w:tc>
          <w:tcPr>
            <w:tcW w:w="930" w:type="dxa"/>
            <w:tcBorders>
              <w:top w:val="nil"/>
              <w:left w:val="nil"/>
              <w:bottom w:val="nil"/>
              <w:right w:val="nil"/>
            </w:tcBorders>
          </w:tcPr>
          <w:p w14:paraId="69B9AAFD" w14:textId="46A74B91" w:rsidR="006A36B7" w:rsidRPr="00A63466" w:rsidRDefault="006A36B7" w:rsidP="006A36B7">
            <w:pPr>
              <w:spacing w:line="360" w:lineRule="auto"/>
              <w:jc w:val="both"/>
              <w:rPr>
                <w:rFonts w:cstheme="minorHAnsi"/>
                <w:sz w:val="16"/>
                <w:szCs w:val="16"/>
              </w:rPr>
            </w:pPr>
            <w:r>
              <w:rPr>
                <w:rFonts w:cstheme="minorHAnsi"/>
                <w:sz w:val="16"/>
                <w:szCs w:val="16"/>
              </w:rPr>
              <w:t>-</w:t>
            </w:r>
          </w:p>
        </w:tc>
        <w:tc>
          <w:tcPr>
            <w:tcW w:w="825" w:type="dxa"/>
            <w:tcBorders>
              <w:top w:val="nil"/>
              <w:left w:val="nil"/>
              <w:bottom w:val="nil"/>
              <w:right w:val="single" w:sz="4" w:space="0" w:color="auto"/>
            </w:tcBorders>
          </w:tcPr>
          <w:p w14:paraId="12E19842" w14:textId="47724953" w:rsidR="006A36B7" w:rsidRPr="00A63466" w:rsidRDefault="006A36B7" w:rsidP="006A36B7">
            <w:pPr>
              <w:spacing w:line="360" w:lineRule="auto"/>
              <w:jc w:val="both"/>
              <w:rPr>
                <w:rFonts w:cstheme="minorHAnsi"/>
                <w:sz w:val="16"/>
                <w:szCs w:val="16"/>
              </w:rPr>
            </w:pPr>
            <w:r w:rsidRPr="00A63466">
              <w:rPr>
                <w:rFonts w:cstheme="minorHAnsi"/>
                <w:sz w:val="16"/>
                <w:szCs w:val="16"/>
              </w:rPr>
              <w:t>65% M</w:t>
            </w:r>
          </w:p>
        </w:tc>
      </w:tr>
      <w:tr w:rsidR="006A36B7" w:rsidRPr="00A63466" w14:paraId="5F62CAF5" w14:textId="77777777" w:rsidTr="006A36B7">
        <w:tc>
          <w:tcPr>
            <w:tcW w:w="1985" w:type="dxa"/>
            <w:tcBorders>
              <w:top w:val="nil"/>
              <w:left w:val="single" w:sz="4" w:space="0" w:color="auto"/>
              <w:bottom w:val="nil"/>
              <w:right w:val="nil"/>
            </w:tcBorders>
          </w:tcPr>
          <w:p w14:paraId="18D57B9F" w14:textId="3AEED4F2" w:rsidR="006A36B7" w:rsidRPr="002B0140" w:rsidRDefault="006A36B7" w:rsidP="006A36B7">
            <w:pPr>
              <w:spacing w:line="360" w:lineRule="auto"/>
              <w:jc w:val="both"/>
              <w:rPr>
                <w:rFonts w:cstheme="minorHAnsi"/>
                <w:b/>
                <w:sz w:val="16"/>
                <w:szCs w:val="16"/>
              </w:rPr>
            </w:pPr>
            <w:r w:rsidRPr="002B0140">
              <w:rPr>
                <w:rFonts w:cstheme="minorHAnsi"/>
                <w:b/>
                <w:sz w:val="16"/>
                <w:szCs w:val="16"/>
              </w:rPr>
              <w:t xml:space="preserve">Mugosa </w:t>
            </w:r>
            <w:r>
              <w:rPr>
                <w:rFonts w:cstheme="minorHAnsi"/>
                <w:b/>
                <w:noProof/>
                <w:sz w:val="16"/>
                <w:szCs w:val="16"/>
              </w:rPr>
              <w:t>[41]</w:t>
            </w:r>
          </w:p>
        </w:tc>
        <w:tc>
          <w:tcPr>
            <w:tcW w:w="541" w:type="dxa"/>
            <w:tcBorders>
              <w:top w:val="nil"/>
              <w:left w:val="nil"/>
              <w:bottom w:val="nil"/>
              <w:right w:val="nil"/>
            </w:tcBorders>
          </w:tcPr>
          <w:p w14:paraId="50F43A6F" w14:textId="72ADA27A" w:rsidR="006A36B7" w:rsidRPr="00A63466" w:rsidRDefault="006A36B7" w:rsidP="006A36B7">
            <w:pPr>
              <w:spacing w:line="360" w:lineRule="auto"/>
              <w:jc w:val="both"/>
              <w:rPr>
                <w:rFonts w:cstheme="minorHAnsi"/>
                <w:sz w:val="16"/>
                <w:szCs w:val="16"/>
              </w:rPr>
            </w:pPr>
            <w:r w:rsidRPr="00A63466">
              <w:rPr>
                <w:rFonts w:cstheme="minorHAnsi"/>
                <w:sz w:val="16"/>
                <w:szCs w:val="16"/>
              </w:rPr>
              <w:t>2015</w:t>
            </w:r>
          </w:p>
        </w:tc>
        <w:tc>
          <w:tcPr>
            <w:tcW w:w="1034" w:type="dxa"/>
            <w:tcBorders>
              <w:top w:val="nil"/>
              <w:left w:val="nil"/>
              <w:bottom w:val="nil"/>
              <w:right w:val="nil"/>
            </w:tcBorders>
          </w:tcPr>
          <w:p w14:paraId="44728C97" w14:textId="7F094436" w:rsidR="006A36B7" w:rsidRPr="00A63466" w:rsidRDefault="006A36B7" w:rsidP="006A36B7">
            <w:pPr>
              <w:spacing w:line="360" w:lineRule="auto"/>
              <w:jc w:val="both"/>
              <w:rPr>
                <w:rFonts w:cstheme="minorHAnsi"/>
                <w:sz w:val="16"/>
                <w:szCs w:val="16"/>
              </w:rPr>
            </w:pPr>
            <w:r w:rsidRPr="00A63466">
              <w:rPr>
                <w:rFonts w:cstheme="minorHAnsi"/>
                <w:sz w:val="16"/>
                <w:szCs w:val="16"/>
              </w:rPr>
              <w:t>Montenegro</w:t>
            </w:r>
          </w:p>
        </w:tc>
        <w:tc>
          <w:tcPr>
            <w:tcW w:w="846" w:type="dxa"/>
            <w:tcBorders>
              <w:top w:val="nil"/>
              <w:left w:val="nil"/>
              <w:bottom w:val="nil"/>
              <w:right w:val="nil"/>
            </w:tcBorders>
          </w:tcPr>
          <w:p w14:paraId="798855A4" w14:textId="0E6F5B34" w:rsidR="006A36B7" w:rsidRPr="00A63466" w:rsidRDefault="006A36B7" w:rsidP="006A36B7">
            <w:pPr>
              <w:spacing w:line="360" w:lineRule="auto"/>
              <w:jc w:val="both"/>
              <w:rPr>
                <w:rFonts w:cstheme="minorHAnsi"/>
                <w:sz w:val="16"/>
                <w:szCs w:val="16"/>
              </w:rPr>
            </w:pPr>
            <w:r w:rsidRPr="00A63466">
              <w:rPr>
                <w:rFonts w:cstheme="minorHAnsi"/>
                <w:sz w:val="16"/>
                <w:szCs w:val="16"/>
              </w:rPr>
              <w:t>English</w:t>
            </w:r>
          </w:p>
        </w:tc>
        <w:tc>
          <w:tcPr>
            <w:tcW w:w="885" w:type="dxa"/>
            <w:tcBorders>
              <w:top w:val="nil"/>
              <w:left w:val="nil"/>
              <w:bottom w:val="nil"/>
              <w:right w:val="nil"/>
            </w:tcBorders>
          </w:tcPr>
          <w:p w14:paraId="7E4A7E25" w14:textId="3B2B9995" w:rsidR="006A36B7" w:rsidRPr="00A63466" w:rsidRDefault="006A36B7" w:rsidP="006A36B7">
            <w:pPr>
              <w:spacing w:line="360" w:lineRule="auto"/>
              <w:jc w:val="center"/>
              <w:rPr>
                <w:rFonts w:cstheme="minorHAnsi"/>
                <w:sz w:val="16"/>
                <w:szCs w:val="16"/>
              </w:rPr>
            </w:pPr>
            <w:r w:rsidRPr="00A63466">
              <w:rPr>
                <w:rFonts w:cstheme="minorHAnsi"/>
                <w:sz w:val="16"/>
                <w:szCs w:val="16"/>
              </w:rPr>
              <w:t>6</w:t>
            </w:r>
          </w:p>
        </w:tc>
        <w:tc>
          <w:tcPr>
            <w:tcW w:w="2410" w:type="dxa"/>
            <w:tcBorders>
              <w:top w:val="nil"/>
              <w:left w:val="nil"/>
              <w:bottom w:val="nil"/>
              <w:right w:val="nil"/>
            </w:tcBorders>
          </w:tcPr>
          <w:p w14:paraId="0AD63E2A" w14:textId="52276F8E" w:rsidR="006A36B7" w:rsidRPr="00A63466" w:rsidRDefault="006A36B7" w:rsidP="006A36B7">
            <w:pPr>
              <w:spacing w:line="360" w:lineRule="auto"/>
              <w:jc w:val="both"/>
              <w:rPr>
                <w:rFonts w:cstheme="minorHAnsi"/>
                <w:sz w:val="16"/>
                <w:szCs w:val="16"/>
              </w:rPr>
            </w:pPr>
            <w:r>
              <w:rPr>
                <w:rFonts w:cstheme="minorHAnsi"/>
                <w:sz w:val="16"/>
                <w:szCs w:val="16"/>
              </w:rPr>
              <w:t>Critical care, cardiology centre</w:t>
            </w:r>
          </w:p>
        </w:tc>
        <w:tc>
          <w:tcPr>
            <w:tcW w:w="2817" w:type="dxa"/>
            <w:tcBorders>
              <w:top w:val="nil"/>
              <w:left w:val="nil"/>
              <w:bottom w:val="nil"/>
              <w:right w:val="nil"/>
            </w:tcBorders>
          </w:tcPr>
          <w:p w14:paraId="581B9A50" w14:textId="0CD73034" w:rsidR="006A36B7" w:rsidRPr="00A63466" w:rsidRDefault="006A36B7" w:rsidP="006A36B7">
            <w:pPr>
              <w:spacing w:line="360" w:lineRule="auto"/>
              <w:jc w:val="both"/>
              <w:rPr>
                <w:rFonts w:cstheme="minorHAnsi"/>
                <w:sz w:val="16"/>
                <w:szCs w:val="16"/>
              </w:rPr>
            </w:pPr>
            <w:r>
              <w:rPr>
                <w:rFonts w:cstheme="minorHAnsi"/>
                <w:sz w:val="16"/>
                <w:szCs w:val="16"/>
              </w:rPr>
              <w:t xml:space="preserve">Adults, ≥ 3 days, cognitively in-tact </w:t>
            </w:r>
          </w:p>
        </w:tc>
        <w:tc>
          <w:tcPr>
            <w:tcW w:w="2113" w:type="dxa"/>
            <w:tcBorders>
              <w:top w:val="nil"/>
              <w:left w:val="nil"/>
              <w:bottom w:val="nil"/>
              <w:right w:val="nil"/>
            </w:tcBorders>
          </w:tcPr>
          <w:p w14:paraId="35FBCCB9" w14:textId="19F05E69" w:rsidR="006A36B7" w:rsidRPr="00A63466" w:rsidRDefault="006A36B7" w:rsidP="006A36B7">
            <w:pPr>
              <w:spacing w:line="360" w:lineRule="auto"/>
              <w:jc w:val="both"/>
              <w:rPr>
                <w:rFonts w:cstheme="minorHAnsi"/>
                <w:sz w:val="16"/>
                <w:szCs w:val="16"/>
              </w:rPr>
            </w:pPr>
            <w:r w:rsidRPr="00A63466">
              <w:rPr>
                <w:rFonts w:cstheme="minorHAnsi"/>
                <w:sz w:val="16"/>
                <w:szCs w:val="16"/>
              </w:rPr>
              <w:t>Prospective observational</w:t>
            </w:r>
          </w:p>
        </w:tc>
        <w:tc>
          <w:tcPr>
            <w:tcW w:w="698" w:type="dxa"/>
            <w:tcBorders>
              <w:top w:val="nil"/>
              <w:left w:val="nil"/>
              <w:bottom w:val="nil"/>
              <w:right w:val="nil"/>
            </w:tcBorders>
          </w:tcPr>
          <w:p w14:paraId="17E9B0FF" w14:textId="4FF619D5" w:rsidR="006A36B7" w:rsidRPr="00A63466" w:rsidRDefault="006A36B7" w:rsidP="006A36B7">
            <w:pPr>
              <w:spacing w:line="360" w:lineRule="auto"/>
              <w:jc w:val="both"/>
              <w:rPr>
                <w:rFonts w:cstheme="minorHAnsi"/>
                <w:sz w:val="16"/>
                <w:szCs w:val="16"/>
              </w:rPr>
            </w:pPr>
            <w:r w:rsidRPr="00A63466">
              <w:rPr>
                <w:rFonts w:cstheme="minorHAnsi"/>
                <w:sz w:val="16"/>
                <w:szCs w:val="16"/>
              </w:rPr>
              <w:t>200</w:t>
            </w:r>
          </w:p>
        </w:tc>
        <w:tc>
          <w:tcPr>
            <w:tcW w:w="700" w:type="dxa"/>
            <w:tcBorders>
              <w:top w:val="nil"/>
              <w:left w:val="nil"/>
              <w:bottom w:val="nil"/>
              <w:right w:val="nil"/>
            </w:tcBorders>
          </w:tcPr>
          <w:p w14:paraId="7B37EDAA" w14:textId="5F93026B" w:rsidR="006A36B7" w:rsidRPr="00A63466" w:rsidRDefault="006A36B7" w:rsidP="006A36B7">
            <w:pPr>
              <w:spacing w:line="360" w:lineRule="auto"/>
              <w:jc w:val="both"/>
              <w:rPr>
                <w:rFonts w:cstheme="minorHAnsi"/>
                <w:sz w:val="16"/>
                <w:szCs w:val="16"/>
              </w:rPr>
            </w:pPr>
            <w:r w:rsidRPr="00A63466">
              <w:rPr>
                <w:rFonts w:cstheme="minorHAnsi"/>
                <w:sz w:val="16"/>
                <w:szCs w:val="16"/>
              </w:rPr>
              <w:t>64</w:t>
            </w:r>
          </w:p>
        </w:tc>
        <w:tc>
          <w:tcPr>
            <w:tcW w:w="930" w:type="dxa"/>
            <w:tcBorders>
              <w:top w:val="nil"/>
              <w:left w:val="nil"/>
              <w:bottom w:val="nil"/>
              <w:right w:val="nil"/>
            </w:tcBorders>
          </w:tcPr>
          <w:p w14:paraId="2BA59A74" w14:textId="040A9CD1" w:rsidR="006A36B7" w:rsidRPr="00A63466" w:rsidRDefault="006A36B7" w:rsidP="006A36B7">
            <w:pPr>
              <w:spacing w:line="360" w:lineRule="auto"/>
              <w:jc w:val="both"/>
              <w:rPr>
                <w:rFonts w:cstheme="minorHAnsi"/>
                <w:sz w:val="16"/>
                <w:szCs w:val="16"/>
              </w:rPr>
            </w:pPr>
            <w:r w:rsidRPr="00A63466">
              <w:rPr>
                <w:rFonts w:cstheme="minorHAnsi"/>
                <w:sz w:val="16"/>
                <w:szCs w:val="16"/>
              </w:rPr>
              <w:t>60.5 ± 10</w:t>
            </w:r>
          </w:p>
        </w:tc>
        <w:tc>
          <w:tcPr>
            <w:tcW w:w="825" w:type="dxa"/>
            <w:tcBorders>
              <w:top w:val="nil"/>
              <w:left w:val="nil"/>
              <w:bottom w:val="nil"/>
              <w:right w:val="single" w:sz="4" w:space="0" w:color="auto"/>
            </w:tcBorders>
          </w:tcPr>
          <w:p w14:paraId="0B232C2F" w14:textId="4611EB7F" w:rsidR="006A36B7" w:rsidRPr="00A63466" w:rsidRDefault="006A36B7" w:rsidP="006A36B7">
            <w:pPr>
              <w:spacing w:line="360" w:lineRule="auto"/>
              <w:jc w:val="both"/>
              <w:rPr>
                <w:rFonts w:cstheme="minorHAnsi"/>
                <w:sz w:val="16"/>
                <w:szCs w:val="16"/>
              </w:rPr>
            </w:pPr>
            <w:r w:rsidRPr="00A63466">
              <w:rPr>
                <w:rFonts w:cstheme="minorHAnsi"/>
                <w:sz w:val="16"/>
                <w:szCs w:val="16"/>
              </w:rPr>
              <w:t>69% M</w:t>
            </w:r>
          </w:p>
        </w:tc>
      </w:tr>
      <w:tr w:rsidR="006A36B7" w:rsidRPr="00A63466" w14:paraId="7122D943" w14:textId="77777777" w:rsidTr="006A36B7">
        <w:tc>
          <w:tcPr>
            <w:tcW w:w="1985" w:type="dxa"/>
            <w:tcBorders>
              <w:top w:val="nil"/>
              <w:left w:val="single" w:sz="4" w:space="0" w:color="auto"/>
              <w:bottom w:val="nil"/>
              <w:right w:val="nil"/>
            </w:tcBorders>
          </w:tcPr>
          <w:p w14:paraId="6C110892" w14:textId="248E78D7" w:rsidR="006A36B7" w:rsidRPr="002B0140" w:rsidRDefault="006A36B7" w:rsidP="00080710">
            <w:pPr>
              <w:spacing w:line="360" w:lineRule="auto"/>
              <w:jc w:val="both"/>
              <w:rPr>
                <w:rFonts w:cstheme="minorHAnsi"/>
                <w:b/>
                <w:sz w:val="16"/>
                <w:szCs w:val="16"/>
              </w:rPr>
            </w:pPr>
            <w:r w:rsidRPr="002B0140">
              <w:rPr>
                <w:rFonts w:cstheme="minorHAnsi"/>
                <w:b/>
                <w:sz w:val="16"/>
                <w:szCs w:val="16"/>
              </w:rPr>
              <w:t xml:space="preserve">O’Connor </w:t>
            </w:r>
            <w:r>
              <w:rPr>
                <w:rFonts w:cstheme="minorHAnsi"/>
                <w:b/>
                <w:noProof/>
                <w:sz w:val="16"/>
                <w:szCs w:val="16"/>
              </w:rPr>
              <w:t>[42]</w:t>
            </w:r>
          </w:p>
        </w:tc>
        <w:tc>
          <w:tcPr>
            <w:tcW w:w="541" w:type="dxa"/>
            <w:tcBorders>
              <w:top w:val="nil"/>
              <w:left w:val="nil"/>
              <w:bottom w:val="nil"/>
              <w:right w:val="nil"/>
            </w:tcBorders>
          </w:tcPr>
          <w:p w14:paraId="6482B4A2" w14:textId="50F9B032" w:rsidR="006A36B7" w:rsidRPr="00A63466" w:rsidRDefault="006A36B7" w:rsidP="006A36B7">
            <w:pPr>
              <w:spacing w:line="360" w:lineRule="auto"/>
              <w:jc w:val="both"/>
              <w:rPr>
                <w:rFonts w:cstheme="minorHAnsi"/>
                <w:sz w:val="16"/>
                <w:szCs w:val="16"/>
              </w:rPr>
            </w:pPr>
            <w:r w:rsidRPr="00A63466">
              <w:rPr>
                <w:rFonts w:cstheme="minorHAnsi"/>
                <w:sz w:val="16"/>
                <w:szCs w:val="16"/>
              </w:rPr>
              <w:t>2012</w:t>
            </w:r>
          </w:p>
        </w:tc>
        <w:tc>
          <w:tcPr>
            <w:tcW w:w="1034" w:type="dxa"/>
            <w:tcBorders>
              <w:top w:val="nil"/>
              <w:left w:val="nil"/>
              <w:bottom w:val="nil"/>
              <w:right w:val="nil"/>
            </w:tcBorders>
          </w:tcPr>
          <w:p w14:paraId="0558A4C4" w14:textId="605243B8" w:rsidR="006A36B7" w:rsidRPr="00A63466" w:rsidRDefault="006A36B7" w:rsidP="006A36B7">
            <w:pPr>
              <w:spacing w:line="360" w:lineRule="auto"/>
              <w:jc w:val="both"/>
              <w:rPr>
                <w:rFonts w:cstheme="minorHAnsi"/>
                <w:sz w:val="16"/>
                <w:szCs w:val="16"/>
              </w:rPr>
            </w:pPr>
            <w:r w:rsidRPr="00A63466">
              <w:rPr>
                <w:rFonts w:cstheme="minorHAnsi"/>
                <w:sz w:val="16"/>
                <w:szCs w:val="16"/>
              </w:rPr>
              <w:t>Ireland</w:t>
            </w:r>
          </w:p>
        </w:tc>
        <w:tc>
          <w:tcPr>
            <w:tcW w:w="846" w:type="dxa"/>
            <w:tcBorders>
              <w:top w:val="nil"/>
              <w:left w:val="nil"/>
              <w:bottom w:val="nil"/>
              <w:right w:val="nil"/>
            </w:tcBorders>
          </w:tcPr>
          <w:p w14:paraId="34B5949F" w14:textId="3A6F8C79" w:rsidR="006A36B7" w:rsidRPr="00A63466" w:rsidRDefault="006A36B7" w:rsidP="006A36B7">
            <w:pPr>
              <w:spacing w:line="360" w:lineRule="auto"/>
              <w:jc w:val="both"/>
              <w:rPr>
                <w:rFonts w:cstheme="minorHAnsi"/>
                <w:sz w:val="16"/>
                <w:szCs w:val="16"/>
              </w:rPr>
            </w:pPr>
            <w:r w:rsidRPr="00A63466">
              <w:rPr>
                <w:rFonts w:cstheme="minorHAnsi"/>
                <w:sz w:val="16"/>
                <w:szCs w:val="16"/>
              </w:rPr>
              <w:t>English</w:t>
            </w:r>
          </w:p>
        </w:tc>
        <w:tc>
          <w:tcPr>
            <w:tcW w:w="885" w:type="dxa"/>
            <w:tcBorders>
              <w:top w:val="nil"/>
              <w:left w:val="nil"/>
              <w:bottom w:val="nil"/>
              <w:right w:val="nil"/>
            </w:tcBorders>
          </w:tcPr>
          <w:p w14:paraId="3513720D" w14:textId="7DB8B8C4" w:rsidR="006A36B7" w:rsidRPr="00A63466" w:rsidRDefault="006A36B7" w:rsidP="006A36B7">
            <w:pPr>
              <w:spacing w:line="360" w:lineRule="auto"/>
              <w:jc w:val="center"/>
              <w:rPr>
                <w:rFonts w:cstheme="minorHAnsi"/>
                <w:sz w:val="16"/>
                <w:szCs w:val="16"/>
              </w:rPr>
            </w:pPr>
            <w:r w:rsidRPr="00A63466">
              <w:rPr>
                <w:rFonts w:cstheme="minorHAnsi"/>
                <w:sz w:val="16"/>
                <w:szCs w:val="16"/>
              </w:rPr>
              <w:t>12</w:t>
            </w:r>
          </w:p>
        </w:tc>
        <w:tc>
          <w:tcPr>
            <w:tcW w:w="2410" w:type="dxa"/>
            <w:tcBorders>
              <w:top w:val="nil"/>
              <w:left w:val="nil"/>
              <w:bottom w:val="nil"/>
              <w:right w:val="nil"/>
            </w:tcBorders>
          </w:tcPr>
          <w:p w14:paraId="460B31D7" w14:textId="48A07F96" w:rsidR="006A36B7" w:rsidRPr="00A63466" w:rsidRDefault="006A36B7" w:rsidP="006A36B7">
            <w:pPr>
              <w:spacing w:line="360" w:lineRule="auto"/>
              <w:jc w:val="both"/>
              <w:rPr>
                <w:rFonts w:cstheme="minorHAnsi"/>
                <w:sz w:val="16"/>
                <w:szCs w:val="16"/>
              </w:rPr>
            </w:pPr>
            <w:r>
              <w:rPr>
                <w:rFonts w:cstheme="minorHAnsi"/>
                <w:sz w:val="16"/>
                <w:szCs w:val="16"/>
              </w:rPr>
              <w:t>UH</w:t>
            </w:r>
          </w:p>
        </w:tc>
        <w:tc>
          <w:tcPr>
            <w:tcW w:w="2817" w:type="dxa"/>
            <w:tcBorders>
              <w:top w:val="nil"/>
              <w:left w:val="nil"/>
              <w:bottom w:val="nil"/>
              <w:right w:val="nil"/>
            </w:tcBorders>
          </w:tcPr>
          <w:p w14:paraId="3683EC22" w14:textId="3D7C6CA4" w:rsidR="006A36B7" w:rsidRPr="00A63466" w:rsidRDefault="006A36B7" w:rsidP="006A36B7">
            <w:pPr>
              <w:spacing w:line="360" w:lineRule="auto"/>
              <w:jc w:val="both"/>
              <w:rPr>
                <w:rFonts w:cstheme="minorHAnsi"/>
                <w:sz w:val="16"/>
                <w:szCs w:val="16"/>
              </w:rPr>
            </w:pPr>
            <w:r>
              <w:rPr>
                <w:rFonts w:cstheme="minorHAnsi"/>
                <w:sz w:val="16"/>
                <w:szCs w:val="16"/>
              </w:rPr>
              <w:t>≥ 65, consecutive ED admissions†</w:t>
            </w:r>
          </w:p>
        </w:tc>
        <w:tc>
          <w:tcPr>
            <w:tcW w:w="2113" w:type="dxa"/>
            <w:tcBorders>
              <w:top w:val="nil"/>
              <w:left w:val="nil"/>
              <w:bottom w:val="nil"/>
              <w:right w:val="nil"/>
            </w:tcBorders>
          </w:tcPr>
          <w:p w14:paraId="7E06A4D2" w14:textId="39ABD71E" w:rsidR="006A36B7" w:rsidRPr="00A63466" w:rsidRDefault="006A36B7" w:rsidP="006A36B7">
            <w:pPr>
              <w:spacing w:line="360" w:lineRule="auto"/>
              <w:jc w:val="both"/>
              <w:rPr>
                <w:rFonts w:cstheme="minorHAnsi"/>
                <w:sz w:val="16"/>
                <w:szCs w:val="16"/>
              </w:rPr>
            </w:pPr>
            <w:r w:rsidRPr="00A63466">
              <w:rPr>
                <w:rFonts w:cstheme="minorHAnsi"/>
                <w:sz w:val="16"/>
                <w:szCs w:val="16"/>
              </w:rPr>
              <w:t>Prospective observational</w:t>
            </w:r>
          </w:p>
        </w:tc>
        <w:tc>
          <w:tcPr>
            <w:tcW w:w="698" w:type="dxa"/>
            <w:tcBorders>
              <w:top w:val="nil"/>
              <w:left w:val="nil"/>
              <w:bottom w:val="nil"/>
              <w:right w:val="nil"/>
            </w:tcBorders>
          </w:tcPr>
          <w:p w14:paraId="5FEE0FA3" w14:textId="46B7E5DA" w:rsidR="006A36B7" w:rsidRPr="00A63466" w:rsidRDefault="006A36B7" w:rsidP="006A36B7">
            <w:pPr>
              <w:spacing w:line="360" w:lineRule="auto"/>
              <w:jc w:val="both"/>
              <w:rPr>
                <w:rFonts w:cstheme="minorHAnsi"/>
                <w:sz w:val="16"/>
                <w:szCs w:val="16"/>
              </w:rPr>
            </w:pPr>
            <w:r w:rsidRPr="00A63466">
              <w:rPr>
                <w:rFonts w:cstheme="minorHAnsi"/>
                <w:sz w:val="16"/>
                <w:szCs w:val="16"/>
              </w:rPr>
              <w:t>513</w:t>
            </w:r>
          </w:p>
        </w:tc>
        <w:tc>
          <w:tcPr>
            <w:tcW w:w="700" w:type="dxa"/>
            <w:tcBorders>
              <w:top w:val="nil"/>
              <w:left w:val="nil"/>
              <w:bottom w:val="nil"/>
              <w:right w:val="nil"/>
            </w:tcBorders>
          </w:tcPr>
          <w:p w14:paraId="4ADACA17" w14:textId="508A50C4" w:rsidR="006A36B7" w:rsidRPr="00A63466" w:rsidRDefault="006A36B7" w:rsidP="006A36B7">
            <w:pPr>
              <w:spacing w:line="360" w:lineRule="auto"/>
              <w:jc w:val="both"/>
              <w:rPr>
                <w:rFonts w:cstheme="minorHAnsi"/>
                <w:sz w:val="16"/>
                <w:szCs w:val="16"/>
              </w:rPr>
            </w:pPr>
            <w:r w:rsidRPr="00A63466">
              <w:rPr>
                <w:rFonts w:cstheme="minorHAnsi"/>
                <w:sz w:val="16"/>
                <w:szCs w:val="16"/>
              </w:rPr>
              <w:t>513</w:t>
            </w:r>
          </w:p>
        </w:tc>
        <w:tc>
          <w:tcPr>
            <w:tcW w:w="930" w:type="dxa"/>
            <w:tcBorders>
              <w:top w:val="nil"/>
              <w:left w:val="nil"/>
              <w:bottom w:val="nil"/>
              <w:right w:val="nil"/>
            </w:tcBorders>
          </w:tcPr>
          <w:p w14:paraId="4687A115" w14:textId="1E450718" w:rsidR="006A36B7" w:rsidRPr="00A63466" w:rsidRDefault="006A36B7" w:rsidP="006A36B7">
            <w:pPr>
              <w:spacing w:line="360" w:lineRule="auto"/>
              <w:jc w:val="both"/>
              <w:rPr>
                <w:rFonts w:cstheme="minorHAnsi"/>
                <w:sz w:val="16"/>
                <w:szCs w:val="16"/>
              </w:rPr>
            </w:pPr>
            <w:r w:rsidRPr="00A63466">
              <w:rPr>
                <w:rFonts w:cstheme="minorHAnsi"/>
                <w:sz w:val="16"/>
                <w:szCs w:val="16"/>
              </w:rPr>
              <w:t>77 (72-82)</w:t>
            </w:r>
          </w:p>
        </w:tc>
        <w:tc>
          <w:tcPr>
            <w:tcW w:w="825" w:type="dxa"/>
            <w:tcBorders>
              <w:top w:val="nil"/>
              <w:left w:val="nil"/>
              <w:bottom w:val="nil"/>
              <w:right w:val="single" w:sz="4" w:space="0" w:color="auto"/>
            </w:tcBorders>
          </w:tcPr>
          <w:p w14:paraId="5C3B7C77" w14:textId="6C372F1D" w:rsidR="006A36B7" w:rsidRPr="00A63466" w:rsidRDefault="006A36B7" w:rsidP="006A36B7">
            <w:pPr>
              <w:spacing w:line="360" w:lineRule="auto"/>
              <w:jc w:val="both"/>
              <w:rPr>
                <w:rFonts w:cstheme="minorHAnsi"/>
                <w:sz w:val="16"/>
                <w:szCs w:val="16"/>
              </w:rPr>
            </w:pPr>
            <w:r w:rsidRPr="00A63466">
              <w:rPr>
                <w:rFonts w:cstheme="minorHAnsi"/>
                <w:sz w:val="16"/>
                <w:szCs w:val="16"/>
              </w:rPr>
              <w:t>44% M</w:t>
            </w:r>
          </w:p>
        </w:tc>
      </w:tr>
      <w:tr w:rsidR="006A36B7" w:rsidRPr="00A63466" w14:paraId="5A221EB0" w14:textId="77777777" w:rsidTr="006A36B7">
        <w:tc>
          <w:tcPr>
            <w:tcW w:w="1985" w:type="dxa"/>
            <w:tcBorders>
              <w:top w:val="nil"/>
              <w:left w:val="single" w:sz="4" w:space="0" w:color="auto"/>
              <w:bottom w:val="nil"/>
              <w:right w:val="nil"/>
            </w:tcBorders>
          </w:tcPr>
          <w:p w14:paraId="39849DA7" w14:textId="1DE2C1D9" w:rsidR="006A36B7" w:rsidRPr="002B0140" w:rsidRDefault="006A36B7" w:rsidP="00080710">
            <w:pPr>
              <w:spacing w:line="360" w:lineRule="auto"/>
              <w:jc w:val="both"/>
              <w:rPr>
                <w:rFonts w:cstheme="minorHAnsi"/>
                <w:b/>
                <w:sz w:val="16"/>
                <w:szCs w:val="16"/>
              </w:rPr>
            </w:pPr>
            <w:r w:rsidRPr="002B0140">
              <w:rPr>
                <w:rFonts w:cstheme="minorHAnsi"/>
                <w:b/>
                <w:sz w:val="16"/>
                <w:szCs w:val="16"/>
              </w:rPr>
              <w:t xml:space="preserve">O’Connor </w:t>
            </w:r>
            <w:r>
              <w:rPr>
                <w:rFonts w:cstheme="minorHAnsi"/>
                <w:b/>
                <w:noProof/>
                <w:sz w:val="16"/>
                <w:szCs w:val="16"/>
              </w:rPr>
              <w:t>[43]</w:t>
            </w:r>
          </w:p>
        </w:tc>
        <w:tc>
          <w:tcPr>
            <w:tcW w:w="541" w:type="dxa"/>
            <w:tcBorders>
              <w:top w:val="nil"/>
              <w:left w:val="nil"/>
              <w:bottom w:val="nil"/>
              <w:right w:val="nil"/>
            </w:tcBorders>
          </w:tcPr>
          <w:p w14:paraId="2FA0D3EE" w14:textId="4C2341B1" w:rsidR="006A36B7" w:rsidRPr="00A63466" w:rsidRDefault="006A36B7" w:rsidP="006A36B7">
            <w:pPr>
              <w:spacing w:line="360" w:lineRule="auto"/>
              <w:jc w:val="both"/>
              <w:rPr>
                <w:rFonts w:cstheme="minorHAnsi"/>
                <w:sz w:val="16"/>
                <w:szCs w:val="16"/>
              </w:rPr>
            </w:pPr>
            <w:r w:rsidRPr="00A63466">
              <w:rPr>
                <w:rFonts w:cstheme="minorHAnsi"/>
                <w:sz w:val="16"/>
                <w:szCs w:val="16"/>
              </w:rPr>
              <w:t>2016</w:t>
            </w:r>
          </w:p>
        </w:tc>
        <w:tc>
          <w:tcPr>
            <w:tcW w:w="1034" w:type="dxa"/>
            <w:tcBorders>
              <w:top w:val="nil"/>
              <w:left w:val="nil"/>
              <w:bottom w:val="nil"/>
              <w:right w:val="nil"/>
            </w:tcBorders>
          </w:tcPr>
          <w:p w14:paraId="47EF2588" w14:textId="2BE42CC3" w:rsidR="006A36B7" w:rsidRPr="00A63466" w:rsidRDefault="006A36B7" w:rsidP="006A36B7">
            <w:pPr>
              <w:spacing w:line="360" w:lineRule="auto"/>
              <w:jc w:val="both"/>
              <w:rPr>
                <w:rFonts w:cstheme="minorHAnsi"/>
                <w:sz w:val="16"/>
                <w:szCs w:val="16"/>
              </w:rPr>
            </w:pPr>
            <w:r w:rsidRPr="00A63466">
              <w:rPr>
                <w:rFonts w:cstheme="minorHAnsi"/>
                <w:sz w:val="16"/>
                <w:szCs w:val="16"/>
              </w:rPr>
              <w:t>Ireland</w:t>
            </w:r>
          </w:p>
        </w:tc>
        <w:tc>
          <w:tcPr>
            <w:tcW w:w="846" w:type="dxa"/>
            <w:tcBorders>
              <w:top w:val="nil"/>
              <w:left w:val="nil"/>
              <w:bottom w:val="nil"/>
              <w:right w:val="nil"/>
            </w:tcBorders>
          </w:tcPr>
          <w:p w14:paraId="3C7FA49A" w14:textId="511948F9" w:rsidR="006A36B7" w:rsidRPr="00A63466" w:rsidRDefault="006A36B7" w:rsidP="006A36B7">
            <w:pPr>
              <w:spacing w:line="360" w:lineRule="auto"/>
              <w:jc w:val="both"/>
              <w:rPr>
                <w:rFonts w:cstheme="minorHAnsi"/>
                <w:sz w:val="16"/>
                <w:szCs w:val="16"/>
              </w:rPr>
            </w:pPr>
            <w:r w:rsidRPr="00A63466">
              <w:rPr>
                <w:rFonts w:cstheme="minorHAnsi"/>
                <w:sz w:val="16"/>
                <w:szCs w:val="16"/>
              </w:rPr>
              <w:t>English</w:t>
            </w:r>
          </w:p>
        </w:tc>
        <w:tc>
          <w:tcPr>
            <w:tcW w:w="885" w:type="dxa"/>
            <w:tcBorders>
              <w:top w:val="nil"/>
              <w:left w:val="nil"/>
              <w:bottom w:val="nil"/>
              <w:right w:val="nil"/>
            </w:tcBorders>
          </w:tcPr>
          <w:p w14:paraId="07DA8BC1" w14:textId="12AFB017" w:rsidR="006A36B7" w:rsidRPr="00A63466" w:rsidRDefault="006A36B7" w:rsidP="006A36B7">
            <w:pPr>
              <w:spacing w:line="360" w:lineRule="auto"/>
              <w:jc w:val="center"/>
              <w:rPr>
                <w:rFonts w:cstheme="minorHAnsi"/>
                <w:sz w:val="16"/>
                <w:szCs w:val="16"/>
              </w:rPr>
            </w:pPr>
            <w:r w:rsidRPr="00A63466">
              <w:rPr>
                <w:rFonts w:cstheme="minorHAnsi"/>
                <w:sz w:val="16"/>
                <w:szCs w:val="16"/>
              </w:rPr>
              <w:t>4</w:t>
            </w:r>
          </w:p>
        </w:tc>
        <w:tc>
          <w:tcPr>
            <w:tcW w:w="2410" w:type="dxa"/>
            <w:tcBorders>
              <w:top w:val="nil"/>
              <w:left w:val="nil"/>
              <w:bottom w:val="nil"/>
              <w:right w:val="nil"/>
            </w:tcBorders>
          </w:tcPr>
          <w:p w14:paraId="66301C7D" w14:textId="171F422B" w:rsidR="006A36B7" w:rsidRPr="00A63466" w:rsidRDefault="006A36B7" w:rsidP="006A36B7">
            <w:pPr>
              <w:spacing w:line="360" w:lineRule="auto"/>
              <w:jc w:val="both"/>
              <w:rPr>
                <w:rFonts w:cstheme="minorHAnsi"/>
                <w:sz w:val="16"/>
                <w:szCs w:val="16"/>
              </w:rPr>
            </w:pPr>
            <w:r>
              <w:rPr>
                <w:rFonts w:cstheme="minorHAnsi"/>
                <w:sz w:val="16"/>
                <w:szCs w:val="16"/>
              </w:rPr>
              <w:t>UH</w:t>
            </w:r>
          </w:p>
        </w:tc>
        <w:tc>
          <w:tcPr>
            <w:tcW w:w="2817" w:type="dxa"/>
            <w:tcBorders>
              <w:top w:val="nil"/>
              <w:left w:val="nil"/>
              <w:bottom w:val="nil"/>
              <w:right w:val="nil"/>
            </w:tcBorders>
          </w:tcPr>
          <w:p w14:paraId="5EC1DC26" w14:textId="459D42EA" w:rsidR="006A36B7" w:rsidRPr="00A63466" w:rsidRDefault="006A36B7" w:rsidP="006A36B7">
            <w:pPr>
              <w:spacing w:line="360" w:lineRule="auto"/>
              <w:jc w:val="both"/>
              <w:rPr>
                <w:rFonts w:cstheme="minorHAnsi"/>
                <w:sz w:val="16"/>
                <w:szCs w:val="16"/>
              </w:rPr>
            </w:pPr>
            <w:r>
              <w:rPr>
                <w:rFonts w:cstheme="minorHAnsi"/>
                <w:sz w:val="16"/>
                <w:szCs w:val="16"/>
              </w:rPr>
              <w:t>≥ 65, acute admissions†</w:t>
            </w:r>
          </w:p>
        </w:tc>
        <w:tc>
          <w:tcPr>
            <w:tcW w:w="2113" w:type="dxa"/>
            <w:tcBorders>
              <w:top w:val="nil"/>
              <w:left w:val="nil"/>
              <w:bottom w:val="nil"/>
              <w:right w:val="nil"/>
            </w:tcBorders>
          </w:tcPr>
          <w:p w14:paraId="4E27777E" w14:textId="773AEA5C" w:rsidR="006A36B7" w:rsidRPr="00A63466" w:rsidRDefault="006A36B7" w:rsidP="006A36B7">
            <w:pPr>
              <w:spacing w:line="360" w:lineRule="auto"/>
              <w:jc w:val="both"/>
              <w:rPr>
                <w:rFonts w:cstheme="minorHAnsi"/>
                <w:sz w:val="16"/>
                <w:szCs w:val="16"/>
              </w:rPr>
            </w:pPr>
            <w:r w:rsidRPr="00A63466">
              <w:rPr>
                <w:rFonts w:cstheme="minorHAnsi"/>
                <w:sz w:val="16"/>
                <w:szCs w:val="16"/>
              </w:rPr>
              <w:t>Randomised control trial</w:t>
            </w:r>
          </w:p>
        </w:tc>
        <w:tc>
          <w:tcPr>
            <w:tcW w:w="698" w:type="dxa"/>
            <w:tcBorders>
              <w:top w:val="nil"/>
              <w:left w:val="nil"/>
              <w:bottom w:val="nil"/>
              <w:right w:val="nil"/>
            </w:tcBorders>
          </w:tcPr>
          <w:p w14:paraId="5B2006DF" w14:textId="0DF11EA5" w:rsidR="006A36B7" w:rsidRPr="00A63466" w:rsidRDefault="006A36B7" w:rsidP="006A36B7">
            <w:pPr>
              <w:spacing w:line="360" w:lineRule="auto"/>
              <w:jc w:val="both"/>
              <w:rPr>
                <w:rFonts w:cstheme="minorHAnsi"/>
                <w:sz w:val="16"/>
                <w:szCs w:val="16"/>
              </w:rPr>
            </w:pPr>
            <w:r w:rsidRPr="00A63466">
              <w:rPr>
                <w:rFonts w:cstheme="minorHAnsi"/>
                <w:sz w:val="16"/>
                <w:szCs w:val="16"/>
              </w:rPr>
              <w:t>372</w:t>
            </w:r>
          </w:p>
        </w:tc>
        <w:tc>
          <w:tcPr>
            <w:tcW w:w="700" w:type="dxa"/>
            <w:tcBorders>
              <w:top w:val="nil"/>
              <w:left w:val="nil"/>
              <w:bottom w:val="nil"/>
              <w:right w:val="nil"/>
            </w:tcBorders>
          </w:tcPr>
          <w:p w14:paraId="76B47AA4" w14:textId="68A3BFBD" w:rsidR="006A36B7" w:rsidRPr="00A63466" w:rsidRDefault="006A36B7" w:rsidP="006A36B7">
            <w:pPr>
              <w:spacing w:line="360" w:lineRule="auto"/>
              <w:jc w:val="both"/>
              <w:rPr>
                <w:rFonts w:cstheme="minorHAnsi"/>
                <w:sz w:val="16"/>
                <w:szCs w:val="16"/>
              </w:rPr>
            </w:pPr>
            <w:r w:rsidRPr="00A63466">
              <w:rPr>
                <w:rFonts w:cstheme="minorHAnsi"/>
                <w:sz w:val="16"/>
                <w:szCs w:val="16"/>
              </w:rPr>
              <w:t>372</w:t>
            </w:r>
          </w:p>
        </w:tc>
        <w:tc>
          <w:tcPr>
            <w:tcW w:w="930" w:type="dxa"/>
            <w:tcBorders>
              <w:top w:val="nil"/>
              <w:left w:val="nil"/>
              <w:bottom w:val="nil"/>
              <w:right w:val="nil"/>
            </w:tcBorders>
          </w:tcPr>
          <w:p w14:paraId="04D1D96C" w14:textId="240D9157" w:rsidR="006A36B7" w:rsidRPr="00A63466" w:rsidRDefault="006A36B7" w:rsidP="006A36B7">
            <w:pPr>
              <w:spacing w:line="360" w:lineRule="auto"/>
              <w:jc w:val="both"/>
              <w:rPr>
                <w:rFonts w:cstheme="minorHAnsi"/>
                <w:sz w:val="16"/>
                <w:szCs w:val="16"/>
              </w:rPr>
            </w:pPr>
            <w:r w:rsidRPr="00A63466">
              <w:rPr>
                <w:rFonts w:cstheme="minorHAnsi"/>
                <w:sz w:val="16"/>
                <w:szCs w:val="16"/>
              </w:rPr>
              <w:t>78 (72-84)</w:t>
            </w:r>
          </w:p>
        </w:tc>
        <w:tc>
          <w:tcPr>
            <w:tcW w:w="825" w:type="dxa"/>
            <w:tcBorders>
              <w:top w:val="nil"/>
              <w:left w:val="nil"/>
              <w:bottom w:val="nil"/>
              <w:right w:val="single" w:sz="4" w:space="0" w:color="auto"/>
            </w:tcBorders>
          </w:tcPr>
          <w:p w14:paraId="018EB0D2" w14:textId="6A3530B7" w:rsidR="006A36B7" w:rsidRPr="00A63466" w:rsidRDefault="006A36B7" w:rsidP="006A36B7">
            <w:pPr>
              <w:spacing w:line="360" w:lineRule="auto"/>
              <w:jc w:val="both"/>
              <w:rPr>
                <w:rFonts w:cstheme="minorHAnsi"/>
                <w:sz w:val="16"/>
                <w:szCs w:val="16"/>
              </w:rPr>
            </w:pPr>
            <w:r w:rsidRPr="00A63466">
              <w:rPr>
                <w:rFonts w:cstheme="minorHAnsi"/>
                <w:sz w:val="16"/>
                <w:szCs w:val="16"/>
              </w:rPr>
              <w:t>50% M</w:t>
            </w:r>
          </w:p>
        </w:tc>
      </w:tr>
      <w:tr w:rsidR="006A36B7" w:rsidRPr="00A63466" w14:paraId="670DB1E2" w14:textId="77777777" w:rsidTr="006A36B7">
        <w:tc>
          <w:tcPr>
            <w:tcW w:w="1985" w:type="dxa"/>
            <w:tcBorders>
              <w:top w:val="nil"/>
              <w:left w:val="single" w:sz="4" w:space="0" w:color="auto"/>
              <w:bottom w:val="nil"/>
              <w:right w:val="nil"/>
            </w:tcBorders>
          </w:tcPr>
          <w:p w14:paraId="1C5073FF" w14:textId="01917557" w:rsidR="006A36B7" w:rsidRPr="002B0140" w:rsidRDefault="006A36B7" w:rsidP="006A36B7">
            <w:pPr>
              <w:spacing w:line="360" w:lineRule="auto"/>
              <w:jc w:val="both"/>
              <w:rPr>
                <w:rFonts w:cstheme="minorHAnsi"/>
                <w:b/>
                <w:sz w:val="16"/>
                <w:szCs w:val="16"/>
              </w:rPr>
            </w:pPr>
            <w:r w:rsidRPr="002B0140">
              <w:rPr>
                <w:rFonts w:cstheme="minorHAnsi"/>
                <w:b/>
                <w:sz w:val="16"/>
                <w:szCs w:val="16"/>
              </w:rPr>
              <w:t xml:space="preserve">Onder </w:t>
            </w:r>
            <w:r>
              <w:rPr>
                <w:rFonts w:cstheme="minorHAnsi"/>
                <w:b/>
                <w:noProof/>
                <w:sz w:val="16"/>
                <w:szCs w:val="16"/>
              </w:rPr>
              <w:t>[44]</w:t>
            </w:r>
          </w:p>
        </w:tc>
        <w:tc>
          <w:tcPr>
            <w:tcW w:w="541" w:type="dxa"/>
            <w:tcBorders>
              <w:top w:val="nil"/>
              <w:left w:val="nil"/>
              <w:bottom w:val="nil"/>
              <w:right w:val="nil"/>
            </w:tcBorders>
          </w:tcPr>
          <w:p w14:paraId="557EADF7" w14:textId="0915EEBB" w:rsidR="006A36B7" w:rsidRPr="00A63466" w:rsidRDefault="006A36B7" w:rsidP="006A36B7">
            <w:pPr>
              <w:spacing w:line="360" w:lineRule="auto"/>
              <w:jc w:val="both"/>
              <w:rPr>
                <w:rFonts w:cstheme="minorHAnsi"/>
                <w:sz w:val="16"/>
                <w:szCs w:val="16"/>
              </w:rPr>
            </w:pPr>
            <w:r w:rsidRPr="00A63466">
              <w:rPr>
                <w:rFonts w:cstheme="minorHAnsi"/>
                <w:sz w:val="16"/>
                <w:szCs w:val="16"/>
              </w:rPr>
              <w:t>201</w:t>
            </w:r>
            <w:r>
              <w:rPr>
                <w:rFonts w:cstheme="minorHAnsi"/>
                <w:sz w:val="16"/>
                <w:szCs w:val="16"/>
              </w:rPr>
              <w:t>0</w:t>
            </w:r>
          </w:p>
        </w:tc>
        <w:tc>
          <w:tcPr>
            <w:tcW w:w="1034" w:type="dxa"/>
            <w:tcBorders>
              <w:top w:val="nil"/>
              <w:left w:val="nil"/>
              <w:bottom w:val="nil"/>
              <w:right w:val="nil"/>
            </w:tcBorders>
          </w:tcPr>
          <w:p w14:paraId="77E4BCA3" w14:textId="21843124" w:rsidR="006A36B7" w:rsidRPr="00A63466" w:rsidRDefault="006A36B7" w:rsidP="006A36B7">
            <w:pPr>
              <w:spacing w:line="360" w:lineRule="auto"/>
              <w:jc w:val="both"/>
              <w:rPr>
                <w:rFonts w:cstheme="minorHAnsi"/>
                <w:sz w:val="16"/>
                <w:szCs w:val="16"/>
              </w:rPr>
            </w:pPr>
            <w:r w:rsidRPr="00A63466">
              <w:rPr>
                <w:rFonts w:cstheme="minorHAnsi"/>
                <w:sz w:val="16"/>
                <w:szCs w:val="16"/>
              </w:rPr>
              <w:t>Italy</w:t>
            </w:r>
          </w:p>
        </w:tc>
        <w:tc>
          <w:tcPr>
            <w:tcW w:w="846" w:type="dxa"/>
            <w:tcBorders>
              <w:top w:val="nil"/>
              <w:left w:val="nil"/>
              <w:bottom w:val="nil"/>
              <w:right w:val="nil"/>
            </w:tcBorders>
          </w:tcPr>
          <w:p w14:paraId="1D25A63D" w14:textId="422DF632" w:rsidR="006A36B7" w:rsidRPr="00A63466" w:rsidRDefault="006A36B7" w:rsidP="006A36B7">
            <w:pPr>
              <w:spacing w:line="360" w:lineRule="auto"/>
              <w:jc w:val="both"/>
              <w:rPr>
                <w:rFonts w:cstheme="minorHAnsi"/>
                <w:sz w:val="16"/>
                <w:szCs w:val="16"/>
              </w:rPr>
            </w:pPr>
            <w:r w:rsidRPr="00A63466">
              <w:rPr>
                <w:rFonts w:cstheme="minorHAnsi"/>
                <w:sz w:val="16"/>
                <w:szCs w:val="16"/>
              </w:rPr>
              <w:t>English</w:t>
            </w:r>
          </w:p>
        </w:tc>
        <w:tc>
          <w:tcPr>
            <w:tcW w:w="885" w:type="dxa"/>
            <w:tcBorders>
              <w:top w:val="nil"/>
              <w:left w:val="nil"/>
              <w:bottom w:val="nil"/>
              <w:right w:val="nil"/>
            </w:tcBorders>
          </w:tcPr>
          <w:p w14:paraId="486730BA" w14:textId="236315FD" w:rsidR="006A36B7" w:rsidRPr="00A63466" w:rsidRDefault="006A36B7" w:rsidP="006A36B7">
            <w:pPr>
              <w:spacing w:line="360" w:lineRule="auto"/>
              <w:jc w:val="center"/>
              <w:rPr>
                <w:rFonts w:cstheme="minorHAnsi"/>
                <w:sz w:val="16"/>
                <w:szCs w:val="16"/>
              </w:rPr>
            </w:pPr>
            <w:r w:rsidRPr="00A63466">
              <w:rPr>
                <w:rFonts w:cstheme="minorHAnsi"/>
                <w:sz w:val="16"/>
                <w:szCs w:val="16"/>
              </w:rPr>
              <w:t>19*</w:t>
            </w:r>
            <w:r>
              <w:rPr>
                <w:rFonts w:cstheme="minorHAnsi"/>
                <w:sz w:val="16"/>
                <w:szCs w:val="16"/>
              </w:rPr>
              <w:t>*</w:t>
            </w:r>
          </w:p>
        </w:tc>
        <w:tc>
          <w:tcPr>
            <w:tcW w:w="2410" w:type="dxa"/>
            <w:tcBorders>
              <w:top w:val="nil"/>
              <w:left w:val="nil"/>
              <w:bottom w:val="nil"/>
              <w:right w:val="nil"/>
            </w:tcBorders>
          </w:tcPr>
          <w:p w14:paraId="39C51CBF" w14:textId="416967EF" w:rsidR="006A36B7" w:rsidRPr="00A63466" w:rsidRDefault="006A36B7" w:rsidP="006A36B7">
            <w:pPr>
              <w:spacing w:line="360" w:lineRule="auto"/>
              <w:jc w:val="both"/>
              <w:rPr>
                <w:rFonts w:cstheme="minorHAnsi"/>
                <w:sz w:val="16"/>
                <w:szCs w:val="16"/>
              </w:rPr>
            </w:pPr>
            <w:r>
              <w:rPr>
                <w:rFonts w:cstheme="minorHAnsi"/>
                <w:sz w:val="16"/>
                <w:szCs w:val="16"/>
              </w:rPr>
              <w:t xml:space="preserve">83 centres, 4 European sites </w:t>
            </w:r>
          </w:p>
        </w:tc>
        <w:tc>
          <w:tcPr>
            <w:tcW w:w="2817" w:type="dxa"/>
            <w:tcBorders>
              <w:top w:val="nil"/>
              <w:left w:val="nil"/>
              <w:bottom w:val="nil"/>
              <w:right w:val="nil"/>
            </w:tcBorders>
          </w:tcPr>
          <w:p w14:paraId="59ECA8AC" w14:textId="77850B3F" w:rsidR="006A36B7" w:rsidRPr="00A63466" w:rsidRDefault="006A36B7" w:rsidP="006A36B7">
            <w:pPr>
              <w:spacing w:line="360" w:lineRule="auto"/>
              <w:jc w:val="both"/>
              <w:rPr>
                <w:rFonts w:cstheme="minorHAnsi"/>
                <w:sz w:val="16"/>
                <w:szCs w:val="16"/>
              </w:rPr>
            </w:pPr>
            <w:r>
              <w:rPr>
                <w:rFonts w:cstheme="minorHAnsi"/>
                <w:sz w:val="16"/>
                <w:szCs w:val="16"/>
              </w:rPr>
              <w:t xml:space="preserve">Study subset ≥ 65, hospitalised </w:t>
            </w:r>
          </w:p>
        </w:tc>
        <w:tc>
          <w:tcPr>
            <w:tcW w:w="2113" w:type="dxa"/>
            <w:tcBorders>
              <w:top w:val="nil"/>
              <w:left w:val="nil"/>
              <w:bottom w:val="nil"/>
              <w:right w:val="nil"/>
            </w:tcBorders>
          </w:tcPr>
          <w:p w14:paraId="670FADCB" w14:textId="2A3DD225" w:rsidR="006A36B7" w:rsidRPr="00A63466" w:rsidRDefault="006A36B7" w:rsidP="006A36B7">
            <w:pPr>
              <w:spacing w:line="360" w:lineRule="auto"/>
              <w:jc w:val="both"/>
              <w:rPr>
                <w:rFonts w:cstheme="minorHAnsi"/>
                <w:sz w:val="16"/>
                <w:szCs w:val="16"/>
              </w:rPr>
            </w:pPr>
            <w:r w:rsidRPr="00A63466">
              <w:rPr>
                <w:rFonts w:cstheme="minorHAnsi"/>
                <w:sz w:val="16"/>
                <w:szCs w:val="16"/>
              </w:rPr>
              <w:t>Prospective observational</w:t>
            </w:r>
          </w:p>
        </w:tc>
        <w:tc>
          <w:tcPr>
            <w:tcW w:w="698" w:type="dxa"/>
            <w:tcBorders>
              <w:top w:val="nil"/>
              <w:left w:val="nil"/>
              <w:bottom w:val="nil"/>
              <w:right w:val="nil"/>
            </w:tcBorders>
          </w:tcPr>
          <w:p w14:paraId="5F8B2062" w14:textId="54D0BE9E" w:rsidR="006A36B7" w:rsidRPr="00A63466" w:rsidRDefault="006A36B7" w:rsidP="006A36B7">
            <w:pPr>
              <w:spacing w:line="360" w:lineRule="auto"/>
              <w:jc w:val="both"/>
              <w:rPr>
                <w:rFonts w:cstheme="minorHAnsi"/>
                <w:sz w:val="16"/>
                <w:szCs w:val="16"/>
              </w:rPr>
            </w:pPr>
            <w:r w:rsidRPr="00A63466">
              <w:rPr>
                <w:rFonts w:cstheme="minorHAnsi"/>
                <w:sz w:val="16"/>
                <w:szCs w:val="16"/>
              </w:rPr>
              <w:t>6419</w:t>
            </w:r>
          </w:p>
        </w:tc>
        <w:tc>
          <w:tcPr>
            <w:tcW w:w="700" w:type="dxa"/>
            <w:tcBorders>
              <w:top w:val="nil"/>
              <w:left w:val="nil"/>
              <w:bottom w:val="nil"/>
              <w:right w:val="nil"/>
            </w:tcBorders>
          </w:tcPr>
          <w:p w14:paraId="77662F0F" w14:textId="228498CC" w:rsidR="006A36B7" w:rsidRPr="00A63466" w:rsidRDefault="006A36B7" w:rsidP="006A36B7">
            <w:pPr>
              <w:spacing w:line="360" w:lineRule="auto"/>
              <w:jc w:val="both"/>
              <w:rPr>
                <w:rFonts w:cstheme="minorHAnsi"/>
                <w:sz w:val="16"/>
                <w:szCs w:val="16"/>
              </w:rPr>
            </w:pPr>
            <w:r w:rsidRPr="00A63466">
              <w:rPr>
                <w:rFonts w:cstheme="minorHAnsi"/>
                <w:sz w:val="16"/>
                <w:szCs w:val="16"/>
              </w:rPr>
              <w:t>6419</w:t>
            </w:r>
          </w:p>
        </w:tc>
        <w:tc>
          <w:tcPr>
            <w:tcW w:w="930" w:type="dxa"/>
            <w:tcBorders>
              <w:top w:val="nil"/>
              <w:left w:val="nil"/>
              <w:bottom w:val="nil"/>
              <w:right w:val="nil"/>
            </w:tcBorders>
          </w:tcPr>
          <w:p w14:paraId="26283C06" w14:textId="366AE2A5" w:rsidR="006A36B7" w:rsidRPr="00A63466" w:rsidRDefault="006A36B7" w:rsidP="006A36B7">
            <w:pPr>
              <w:spacing w:line="360" w:lineRule="auto"/>
              <w:jc w:val="both"/>
              <w:rPr>
                <w:rFonts w:cstheme="minorHAnsi"/>
                <w:sz w:val="16"/>
                <w:szCs w:val="16"/>
              </w:rPr>
            </w:pPr>
            <w:r w:rsidRPr="00A63466">
              <w:rPr>
                <w:rFonts w:cstheme="minorHAnsi"/>
                <w:sz w:val="16"/>
                <w:szCs w:val="16"/>
              </w:rPr>
              <w:t>78 ± 7.9</w:t>
            </w:r>
          </w:p>
        </w:tc>
        <w:tc>
          <w:tcPr>
            <w:tcW w:w="825" w:type="dxa"/>
            <w:tcBorders>
              <w:top w:val="nil"/>
              <w:left w:val="nil"/>
              <w:bottom w:val="nil"/>
              <w:right w:val="single" w:sz="4" w:space="0" w:color="auto"/>
            </w:tcBorders>
          </w:tcPr>
          <w:p w14:paraId="70938978" w14:textId="60F08028" w:rsidR="006A36B7" w:rsidRPr="00A63466" w:rsidRDefault="006A36B7" w:rsidP="006A36B7">
            <w:pPr>
              <w:spacing w:line="360" w:lineRule="auto"/>
              <w:jc w:val="both"/>
              <w:rPr>
                <w:rFonts w:cstheme="minorHAnsi"/>
                <w:sz w:val="16"/>
                <w:szCs w:val="16"/>
              </w:rPr>
            </w:pPr>
            <w:r>
              <w:rPr>
                <w:rFonts w:cstheme="minorHAnsi"/>
                <w:sz w:val="16"/>
                <w:szCs w:val="16"/>
              </w:rPr>
              <w:t>-</w:t>
            </w:r>
          </w:p>
        </w:tc>
      </w:tr>
      <w:tr w:rsidR="006A36B7" w:rsidRPr="00A63466" w14:paraId="63A7F225" w14:textId="77777777" w:rsidTr="006A36B7">
        <w:tc>
          <w:tcPr>
            <w:tcW w:w="1985" w:type="dxa"/>
            <w:tcBorders>
              <w:top w:val="nil"/>
              <w:left w:val="single" w:sz="4" w:space="0" w:color="auto"/>
              <w:bottom w:val="nil"/>
              <w:right w:val="nil"/>
            </w:tcBorders>
          </w:tcPr>
          <w:p w14:paraId="219AF125" w14:textId="7D63F6EA" w:rsidR="006A36B7" w:rsidRPr="002B0140" w:rsidRDefault="006A36B7" w:rsidP="00080710">
            <w:pPr>
              <w:spacing w:line="360" w:lineRule="auto"/>
              <w:jc w:val="both"/>
              <w:rPr>
                <w:rFonts w:cstheme="minorHAnsi"/>
                <w:b/>
                <w:sz w:val="16"/>
                <w:szCs w:val="16"/>
              </w:rPr>
            </w:pPr>
            <w:r w:rsidRPr="002B0140">
              <w:rPr>
                <w:rFonts w:cstheme="minorHAnsi"/>
                <w:b/>
                <w:sz w:val="16"/>
                <w:szCs w:val="16"/>
              </w:rPr>
              <w:t xml:space="preserve">O’Sullivan </w:t>
            </w:r>
            <w:r>
              <w:rPr>
                <w:rFonts w:cstheme="minorHAnsi"/>
                <w:b/>
                <w:noProof/>
                <w:sz w:val="16"/>
                <w:szCs w:val="16"/>
              </w:rPr>
              <w:t>[45]</w:t>
            </w:r>
          </w:p>
        </w:tc>
        <w:tc>
          <w:tcPr>
            <w:tcW w:w="541" w:type="dxa"/>
            <w:tcBorders>
              <w:top w:val="nil"/>
              <w:left w:val="nil"/>
              <w:bottom w:val="nil"/>
              <w:right w:val="nil"/>
            </w:tcBorders>
          </w:tcPr>
          <w:p w14:paraId="5021E77D" w14:textId="632A15BE" w:rsidR="006A36B7" w:rsidRPr="00A63466" w:rsidRDefault="006A36B7" w:rsidP="006A36B7">
            <w:pPr>
              <w:spacing w:line="360" w:lineRule="auto"/>
              <w:jc w:val="both"/>
              <w:rPr>
                <w:rFonts w:cstheme="minorHAnsi"/>
                <w:sz w:val="16"/>
                <w:szCs w:val="16"/>
              </w:rPr>
            </w:pPr>
            <w:r w:rsidRPr="00A63466">
              <w:rPr>
                <w:rFonts w:cstheme="minorHAnsi"/>
                <w:sz w:val="16"/>
                <w:szCs w:val="16"/>
              </w:rPr>
              <w:t>2016</w:t>
            </w:r>
          </w:p>
        </w:tc>
        <w:tc>
          <w:tcPr>
            <w:tcW w:w="1034" w:type="dxa"/>
            <w:tcBorders>
              <w:top w:val="nil"/>
              <w:left w:val="nil"/>
              <w:bottom w:val="nil"/>
              <w:right w:val="nil"/>
            </w:tcBorders>
          </w:tcPr>
          <w:p w14:paraId="3FBA9874" w14:textId="77A74FAF" w:rsidR="006A36B7" w:rsidRPr="00A63466" w:rsidRDefault="006A36B7" w:rsidP="006A36B7">
            <w:pPr>
              <w:spacing w:line="360" w:lineRule="auto"/>
              <w:jc w:val="both"/>
              <w:rPr>
                <w:rFonts w:cstheme="minorHAnsi"/>
                <w:sz w:val="16"/>
                <w:szCs w:val="16"/>
              </w:rPr>
            </w:pPr>
            <w:r w:rsidRPr="00A63466">
              <w:rPr>
                <w:rFonts w:cstheme="minorHAnsi"/>
                <w:sz w:val="16"/>
                <w:szCs w:val="16"/>
              </w:rPr>
              <w:t>Ireland</w:t>
            </w:r>
          </w:p>
        </w:tc>
        <w:tc>
          <w:tcPr>
            <w:tcW w:w="846" w:type="dxa"/>
            <w:tcBorders>
              <w:top w:val="nil"/>
              <w:left w:val="nil"/>
              <w:bottom w:val="nil"/>
              <w:right w:val="nil"/>
            </w:tcBorders>
          </w:tcPr>
          <w:p w14:paraId="74775F26" w14:textId="75E9D8FC" w:rsidR="006A36B7" w:rsidRPr="00A63466" w:rsidRDefault="006A36B7" w:rsidP="006A36B7">
            <w:pPr>
              <w:spacing w:line="360" w:lineRule="auto"/>
              <w:jc w:val="both"/>
              <w:rPr>
                <w:rFonts w:cstheme="minorHAnsi"/>
                <w:sz w:val="16"/>
                <w:szCs w:val="16"/>
              </w:rPr>
            </w:pPr>
            <w:r w:rsidRPr="00A63466">
              <w:rPr>
                <w:rFonts w:cstheme="minorHAnsi"/>
                <w:sz w:val="16"/>
                <w:szCs w:val="16"/>
              </w:rPr>
              <w:t>English</w:t>
            </w:r>
          </w:p>
        </w:tc>
        <w:tc>
          <w:tcPr>
            <w:tcW w:w="885" w:type="dxa"/>
            <w:tcBorders>
              <w:top w:val="nil"/>
              <w:left w:val="nil"/>
              <w:bottom w:val="nil"/>
              <w:right w:val="nil"/>
            </w:tcBorders>
          </w:tcPr>
          <w:p w14:paraId="228A19CF" w14:textId="1F395065" w:rsidR="006A36B7" w:rsidRPr="00A63466" w:rsidRDefault="006A36B7" w:rsidP="006A36B7">
            <w:pPr>
              <w:spacing w:line="360" w:lineRule="auto"/>
              <w:jc w:val="center"/>
              <w:rPr>
                <w:rFonts w:cstheme="minorHAnsi"/>
                <w:sz w:val="16"/>
                <w:szCs w:val="16"/>
              </w:rPr>
            </w:pPr>
            <w:r w:rsidRPr="00A63466">
              <w:rPr>
                <w:rFonts w:cstheme="minorHAnsi"/>
                <w:sz w:val="16"/>
                <w:szCs w:val="16"/>
              </w:rPr>
              <w:t>13</w:t>
            </w:r>
          </w:p>
        </w:tc>
        <w:tc>
          <w:tcPr>
            <w:tcW w:w="2410" w:type="dxa"/>
            <w:tcBorders>
              <w:top w:val="nil"/>
              <w:left w:val="nil"/>
              <w:bottom w:val="nil"/>
              <w:right w:val="nil"/>
            </w:tcBorders>
          </w:tcPr>
          <w:p w14:paraId="270CEE58" w14:textId="03168E24" w:rsidR="006A36B7" w:rsidRPr="00A63466" w:rsidRDefault="006A36B7" w:rsidP="006A36B7">
            <w:pPr>
              <w:spacing w:line="360" w:lineRule="auto"/>
              <w:jc w:val="both"/>
              <w:rPr>
                <w:rFonts w:cstheme="minorHAnsi"/>
                <w:sz w:val="16"/>
                <w:szCs w:val="16"/>
              </w:rPr>
            </w:pPr>
            <w:r>
              <w:rPr>
                <w:rFonts w:cstheme="minorHAnsi"/>
                <w:sz w:val="16"/>
                <w:szCs w:val="16"/>
              </w:rPr>
              <w:t>UH</w:t>
            </w:r>
          </w:p>
        </w:tc>
        <w:tc>
          <w:tcPr>
            <w:tcW w:w="2817" w:type="dxa"/>
            <w:tcBorders>
              <w:top w:val="nil"/>
              <w:left w:val="nil"/>
              <w:bottom w:val="nil"/>
              <w:right w:val="nil"/>
            </w:tcBorders>
          </w:tcPr>
          <w:p w14:paraId="36207F22" w14:textId="6BA586E0" w:rsidR="006A36B7" w:rsidRPr="00A63466" w:rsidRDefault="006A36B7" w:rsidP="006A36B7">
            <w:pPr>
              <w:spacing w:line="360" w:lineRule="auto"/>
              <w:jc w:val="both"/>
              <w:rPr>
                <w:rFonts w:cstheme="minorHAnsi"/>
                <w:sz w:val="16"/>
                <w:szCs w:val="16"/>
              </w:rPr>
            </w:pPr>
            <w:r>
              <w:rPr>
                <w:rFonts w:cstheme="minorHAnsi"/>
                <w:sz w:val="16"/>
                <w:szCs w:val="16"/>
              </w:rPr>
              <w:t>≥ 65, acute medical/surgical admissions</w:t>
            </w:r>
          </w:p>
        </w:tc>
        <w:tc>
          <w:tcPr>
            <w:tcW w:w="2113" w:type="dxa"/>
            <w:tcBorders>
              <w:top w:val="nil"/>
              <w:left w:val="nil"/>
              <w:bottom w:val="nil"/>
              <w:right w:val="nil"/>
            </w:tcBorders>
          </w:tcPr>
          <w:p w14:paraId="17BA1B0A" w14:textId="7E5FAEFE" w:rsidR="006A36B7" w:rsidRPr="00A63466" w:rsidRDefault="006A36B7" w:rsidP="006A36B7">
            <w:pPr>
              <w:spacing w:line="360" w:lineRule="auto"/>
              <w:jc w:val="both"/>
              <w:rPr>
                <w:rFonts w:cstheme="minorHAnsi"/>
                <w:sz w:val="16"/>
                <w:szCs w:val="16"/>
              </w:rPr>
            </w:pPr>
            <w:r w:rsidRPr="00A63466">
              <w:rPr>
                <w:rFonts w:cstheme="minorHAnsi"/>
                <w:sz w:val="16"/>
                <w:szCs w:val="16"/>
              </w:rPr>
              <w:t>Randomised control trial</w:t>
            </w:r>
          </w:p>
        </w:tc>
        <w:tc>
          <w:tcPr>
            <w:tcW w:w="698" w:type="dxa"/>
            <w:tcBorders>
              <w:top w:val="nil"/>
              <w:left w:val="nil"/>
              <w:bottom w:val="nil"/>
              <w:right w:val="nil"/>
            </w:tcBorders>
          </w:tcPr>
          <w:p w14:paraId="59AC0062" w14:textId="05EF2C41" w:rsidR="006A36B7" w:rsidRPr="00A63466" w:rsidRDefault="006A36B7" w:rsidP="006A36B7">
            <w:pPr>
              <w:spacing w:line="360" w:lineRule="auto"/>
              <w:jc w:val="both"/>
              <w:rPr>
                <w:rFonts w:cstheme="minorHAnsi"/>
                <w:sz w:val="16"/>
                <w:szCs w:val="16"/>
              </w:rPr>
            </w:pPr>
            <w:r w:rsidRPr="00A63466">
              <w:rPr>
                <w:rFonts w:cstheme="minorHAnsi"/>
                <w:sz w:val="16"/>
                <w:szCs w:val="16"/>
              </w:rPr>
              <w:t>376</w:t>
            </w:r>
          </w:p>
        </w:tc>
        <w:tc>
          <w:tcPr>
            <w:tcW w:w="700" w:type="dxa"/>
            <w:tcBorders>
              <w:top w:val="nil"/>
              <w:left w:val="nil"/>
              <w:bottom w:val="nil"/>
              <w:right w:val="nil"/>
            </w:tcBorders>
          </w:tcPr>
          <w:p w14:paraId="3697A0D2" w14:textId="46147231" w:rsidR="006A36B7" w:rsidRPr="00A63466" w:rsidRDefault="006A36B7" w:rsidP="006A36B7">
            <w:pPr>
              <w:spacing w:line="360" w:lineRule="auto"/>
              <w:jc w:val="both"/>
              <w:rPr>
                <w:rFonts w:cstheme="minorHAnsi"/>
                <w:sz w:val="16"/>
                <w:szCs w:val="16"/>
              </w:rPr>
            </w:pPr>
            <w:r w:rsidRPr="00A63466">
              <w:rPr>
                <w:rFonts w:cstheme="minorHAnsi"/>
                <w:sz w:val="16"/>
                <w:szCs w:val="16"/>
              </w:rPr>
              <w:t>376</w:t>
            </w:r>
          </w:p>
        </w:tc>
        <w:tc>
          <w:tcPr>
            <w:tcW w:w="930" w:type="dxa"/>
            <w:tcBorders>
              <w:top w:val="nil"/>
              <w:left w:val="nil"/>
              <w:bottom w:val="nil"/>
              <w:right w:val="nil"/>
            </w:tcBorders>
          </w:tcPr>
          <w:p w14:paraId="72015D5F" w14:textId="7FC0F7D6" w:rsidR="006A36B7" w:rsidRPr="00A63466" w:rsidRDefault="006A36B7" w:rsidP="006A36B7">
            <w:pPr>
              <w:spacing w:line="360" w:lineRule="auto"/>
              <w:jc w:val="both"/>
              <w:rPr>
                <w:rFonts w:cstheme="minorHAnsi"/>
                <w:sz w:val="16"/>
                <w:szCs w:val="16"/>
              </w:rPr>
            </w:pPr>
            <w:r w:rsidRPr="00A63466">
              <w:rPr>
                <w:rFonts w:cstheme="minorHAnsi"/>
                <w:sz w:val="16"/>
                <w:szCs w:val="16"/>
              </w:rPr>
              <w:t>78 (72-84)</w:t>
            </w:r>
          </w:p>
        </w:tc>
        <w:tc>
          <w:tcPr>
            <w:tcW w:w="825" w:type="dxa"/>
            <w:tcBorders>
              <w:top w:val="nil"/>
              <w:left w:val="nil"/>
              <w:bottom w:val="nil"/>
              <w:right w:val="single" w:sz="4" w:space="0" w:color="auto"/>
            </w:tcBorders>
          </w:tcPr>
          <w:p w14:paraId="3967F17C" w14:textId="46A0BE4A" w:rsidR="006A36B7" w:rsidRPr="00A63466" w:rsidRDefault="006A36B7" w:rsidP="006A36B7">
            <w:pPr>
              <w:spacing w:line="360" w:lineRule="auto"/>
              <w:jc w:val="both"/>
              <w:rPr>
                <w:rFonts w:cstheme="minorHAnsi"/>
                <w:sz w:val="16"/>
                <w:szCs w:val="16"/>
              </w:rPr>
            </w:pPr>
            <w:r w:rsidRPr="00A63466">
              <w:rPr>
                <w:rFonts w:cstheme="minorHAnsi"/>
                <w:sz w:val="16"/>
                <w:szCs w:val="16"/>
              </w:rPr>
              <w:t>51% M</w:t>
            </w:r>
          </w:p>
        </w:tc>
      </w:tr>
      <w:tr w:rsidR="006A36B7" w:rsidRPr="00A63466" w14:paraId="1B47885E" w14:textId="77777777" w:rsidTr="006A36B7">
        <w:tc>
          <w:tcPr>
            <w:tcW w:w="1985" w:type="dxa"/>
            <w:tcBorders>
              <w:top w:val="nil"/>
              <w:left w:val="single" w:sz="4" w:space="0" w:color="auto"/>
              <w:bottom w:val="nil"/>
              <w:right w:val="nil"/>
            </w:tcBorders>
          </w:tcPr>
          <w:p w14:paraId="65715343" w14:textId="78EBBD8C" w:rsidR="006A36B7" w:rsidRPr="002B0140" w:rsidRDefault="006A36B7" w:rsidP="00080710">
            <w:pPr>
              <w:spacing w:line="360" w:lineRule="auto"/>
              <w:jc w:val="both"/>
              <w:rPr>
                <w:rFonts w:cstheme="minorHAnsi"/>
                <w:b/>
                <w:sz w:val="16"/>
                <w:szCs w:val="16"/>
              </w:rPr>
            </w:pPr>
            <w:r w:rsidRPr="002B0140">
              <w:rPr>
                <w:rFonts w:cstheme="minorHAnsi"/>
                <w:b/>
                <w:sz w:val="16"/>
                <w:szCs w:val="16"/>
              </w:rPr>
              <w:t xml:space="preserve">Reichel </w:t>
            </w:r>
            <w:r>
              <w:rPr>
                <w:rFonts w:cstheme="minorHAnsi"/>
                <w:b/>
                <w:noProof/>
                <w:sz w:val="16"/>
                <w:szCs w:val="16"/>
              </w:rPr>
              <w:t>[46]</w:t>
            </w:r>
          </w:p>
        </w:tc>
        <w:tc>
          <w:tcPr>
            <w:tcW w:w="541" w:type="dxa"/>
            <w:tcBorders>
              <w:top w:val="nil"/>
              <w:left w:val="nil"/>
              <w:bottom w:val="nil"/>
              <w:right w:val="nil"/>
            </w:tcBorders>
          </w:tcPr>
          <w:p w14:paraId="47943058" w14:textId="4C034658" w:rsidR="006A36B7" w:rsidRPr="00A63466" w:rsidRDefault="006A36B7" w:rsidP="006A36B7">
            <w:pPr>
              <w:spacing w:line="360" w:lineRule="auto"/>
              <w:jc w:val="both"/>
              <w:rPr>
                <w:rFonts w:cstheme="minorHAnsi"/>
                <w:sz w:val="16"/>
                <w:szCs w:val="16"/>
              </w:rPr>
            </w:pPr>
            <w:r w:rsidRPr="00A63466">
              <w:rPr>
                <w:rFonts w:cstheme="minorHAnsi"/>
                <w:sz w:val="16"/>
                <w:szCs w:val="16"/>
              </w:rPr>
              <w:t>1965</w:t>
            </w:r>
          </w:p>
        </w:tc>
        <w:tc>
          <w:tcPr>
            <w:tcW w:w="1034" w:type="dxa"/>
            <w:tcBorders>
              <w:top w:val="nil"/>
              <w:left w:val="nil"/>
              <w:bottom w:val="nil"/>
              <w:right w:val="nil"/>
            </w:tcBorders>
          </w:tcPr>
          <w:p w14:paraId="1B0F753D" w14:textId="2351EFA6" w:rsidR="006A36B7" w:rsidRPr="00A63466" w:rsidRDefault="006A36B7" w:rsidP="006A36B7">
            <w:pPr>
              <w:spacing w:line="360" w:lineRule="auto"/>
              <w:jc w:val="both"/>
              <w:rPr>
                <w:rFonts w:cstheme="minorHAnsi"/>
                <w:sz w:val="16"/>
                <w:szCs w:val="16"/>
              </w:rPr>
            </w:pPr>
            <w:r w:rsidRPr="00A63466">
              <w:rPr>
                <w:rFonts w:cstheme="minorHAnsi"/>
                <w:sz w:val="16"/>
                <w:szCs w:val="16"/>
              </w:rPr>
              <w:t>U.S.A.</w:t>
            </w:r>
          </w:p>
        </w:tc>
        <w:tc>
          <w:tcPr>
            <w:tcW w:w="846" w:type="dxa"/>
            <w:tcBorders>
              <w:top w:val="nil"/>
              <w:left w:val="nil"/>
              <w:bottom w:val="nil"/>
              <w:right w:val="nil"/>
            </w:tcBorders>
          </w:tcPr>
          <w:p w14:paraId="3B1173C3" w14:textId="60E74216" w:rsidR="006A36B7" w:rsidRPr="00A63466" w:rsidRDefault="006A36B7" w:rsidP="006A36B7">
            <w:pPr>
              <w:spacing w:line="360" w:lineRule="auto"/>
              <w:jc w:val="both"/>
              <w:rPr>
                <w:rFonts w:cstheme="minorHAnsi"/>
                <w:sz w:val="16"/>
                <w:szCs w:val="16"/>
              </w:rPr>
            </w:pPr>
            <w:r w:rsidRPr="00A63466">
              <w:rPr>
                <w:rFonts w:cstheme="minorHAnsi"/>
                <w:sz w:val="16"/>
                <w:szCs w:val="16"/>
              </w:rPr>
              <w:t>English</w:t>
            </w:r>
          </w:p>
        </w:tc>
        <w:tc>
          <w:tcPr>
            <w:tcW w:w="885" w:type="dxa"/>
            <w:tcBorders>
              <w:top w:val="nil"/>
              <w:left w:val="nil"/>
              <w:bottom w:val="nil"/>
              <w:right w:val="nil"/>
            </w:tcBorders>
          </w:tcPr>
          <w:p w14:paraId="2792C813" w14:textId="7F25B7FE" w:rsidR="006A36B7" w:rsidRPr="00A63466" w:rsidRDefault="006A36B7" w:rsidP="006A36B7">
            <w:pPr>
              <w:spacing w:line="360" w:lineRule="auto"/>
              <w:jc w:val="center"/>
              <w:rPr>
                <w:rFonts w:cstheme="minorHAnsi"/>
                <w:sz w:val="16"/>
                <w:szCs w:val="16"/>
              </w:rPr>
            </w:pPr>
            <w:r>
              <w:rPr>
                <w:rFonts w:cstheme="minorHAnsi"/>
                <w:sz w:val="16"/>
                <w:szCs w:val="16"/>
              </w:rPr>
              <w:t>8</w:t>
            </w:r>
          </w:p>
        </w:tc>
        <w:tc>
          <w:tcPr>
            <w:tcW w:w="2410" w:type="dxa"/>
            <w:tcBorders>
              <w:top w:val="nil"/>
              <w:left w:val="nil"/>
              <w:bottom w:val="nil"/>
              <w:right w:val="nil"/>
            </w:tcBorders>
          </w:tcPr>
          <w:p w14:paraId="45123846" w14:textId="590CB2F2" w:rsidR="006A36B7" w:rsidRPr="00A63466" w:rsidRDefault="006A36B7" w:rsidP="006A36B7">
            <w:pPr>
              <w:spacing w:line="360" w:lineRule="auto"/>
              <w:jc w:val="both"/>
              <w:rPr>
                <w:rFonts w:cstheme="minorHAnsi"/>
                <w:sz w:val="16"/>
                <w:szCs w:val="16"/>
              </w:rPr>
            </w:pPr>
            <w:r>
              <w:rPr>
                <w:rFonts w:cstheme="minorHAnsi"/>
                <w:sz w:val="16"/>
                <w:szCs w:val="16"/>
              </w:rPr>
              <w:t xml:space="preserve">County general hospital </w:t>
            </w:r>
          </w:p>
        </w:tc>
        <w:tc>
          <w:tcPr>
            <w:tcW w:w="2817" w:type="dxa"/>
            <w:tcBorders>
              <w:top w:val="nil"/>
              <w:left w:val="nil"/>
              <w:bottom w:val="nil"/>
              <w:right w:val="nil"/>
            </w:tcBorders>
          </w:tcPr>
          <w:p w14:paraId="6705B82F" w14:textId="10A12714" w:rsidR="006A36B7" w:rsidRPr="00A63466" w:rsidRDefault="006A36B7" w:rsidP="006A36B7">
            <w:pPr>
              <w:spacing w:line="360" w:lineRule="auto"/>
              <w:jc w:val="both"/>
              <w:rPr>
                <w:rFonts w:cstheme="minorHAnsi"/>
                <w:sz w:val="16"/>
                <w:szCs w:val="16"/>
              </w:rPr>
            </w:pPr>
            <w:r>
              <w:rPr>
                <w:rFonts w:cstheme="minorHAnsi"/>
                <w:sz w:val="16"/>
                <w:szCs w:val="16"/>
              </w:rPr>
              <w:t>≥ 65, admissions</w:t>
            </w:r>
          </w:p>
        </w:tc>
        <w:tc>
          <w:tcPr>
            <w:tcW w:w="2113" w:type="dxa"/>
            <w:tcBorders>
              <w:top w:val="nil"/>
              <w:left w:val="nil"/>
              <w:bottom w:val="nil"/>
              <w:right w:val="nil"/>
            </w:tcBorders>
          </w:tcPr>
          <w:p w14:paraId="6177CC59" w14:textId="37C94697" w:rsidR="006A36B7" w:rsidRPr="00A63466" w:rsidRDefault="006A36B7" w:rsidP="006A36B7">
            <w:pPr>
              <w:spacing w:line="360" w:lineRule="auto"/>
              <w:jc w:val="both"/>
              <w:rPr>
                <w:rFonts w:cstheme="minorHAnsi"/>
                <w:sz w:val="16"/>
                <w:szCs w:val="16"/>
              </w:rPr>
            </w:pPr>
            <w:r w:rsidRPr="00A63466">
              <w:rPr>
                <w:rFonts w:cstheme="minorHAnsi"/>
                <w:sz w:val="16"/>
                <w:szCs w:val="16"/>
              </w:rPr>
              <w:t>Prospective observational</w:t>
            </w:r>
          </w:p>
        </w:tc>
        <w:tc>
          <w:tcPr>
            <w:tcW w:w="698" w:type="dxa"/>
            <w:tcBorders>
              <w:top w:val="nil"/>
              <w:left w:val="nil"/>
              <w:bottom w:val="nil"/>
              <w:right w:val="nil"/>
            </w:tcBorders>
          </w:tcPr>
          <w:p w14:paraId="4BE7540A" w14:textId="399F8778" w:rsidR="006A36B7" w:rsidRPr="00A63466" w:rsidRDefault="006A36B7" w:rsidP="006A36B7">
            <w:pPr>
              <w:spacing w:line="360" w:lineRule="auto"/>
              <w:jc w:val="both"/>
              <w:rPr>
                <w:rFonts w:cstheme="minorHAnsi"/>
                <w:sz w:val="16"/>
                <w:szCs w:val="16"/>
              </w:rPr>
            </w:pPr>
            <w:r w:rsidRPr="00A63466">
              <w:rPr>
                <w:rFonts w:cstheme="minorHAnsi"/>
                <w:sz w:val="16"/>
                <w:szCs w:val="16"/>
              </w:rPr>
              <w:t>500</w:t>
            </w:r>
          </w:p>
        </w:tc>
        <w:tc>
          <w:tcPr>
            <w:tcW w:w="700" w:type="dxa"/>
            <w:tcBorders>
              <w:top w:val="nil"/>
              <w:left w:val="nil"/>
              <w:bottom w:val="nil"/>
              <w:right w:val="nil"/>
            </w:tcBorders>
          </w:tcPr>
          <w:p w14:paraId="048FD815" w14:textId="55A6C464" w:rsidR="006A36B7" w:rsidRPr="00A63466" w:rsidRDefault="006A36B7" w:rsidP="006A36B7">
            <w:pPr>
              <w:spacing w:line="360" w:lineRule="auto"/>
              <w:jc w:val="both"/>
              <w:rPr>
                <w:rFonts w:cstheme="minorHAnsi"/>
                <w:sz w:val="16"/>
                <w:szCs w:val="16"/>
              </w:rPr>
            </w:pPr>
            <w:r w:rsidRPr="00A63466">
              <w:rPr>
                <w:rFonts w:cstheme="minorHAnsi"/>
                <w:sz w:val="16"/>
                <w:szCs w:val="16"/>
              </w:rPr>
              <w:t>500</w:t>
            </w:r>
          </w:p>
        </w:tc>
        <w:tc>
          <w:tcPr>
            <w:tcW w:w="930" w:type="dxa"/>
            <w:tcBorders>
              <w:top w:val="nil"/>
              <w:left w:val="nil"/>
              <w:bottom w:val="nil"/>
              <w:right w:val="nil"/>
            </w:tcBorders>
          </w:tcPr>
          <w:p w14:paraId="1D6145F1" w14:textId="4FA025CA" w:rsidR="006A36B7" w:rsidRPr="00A63466" w:rsidRDefault="006A36B7" w:rsidP="006A36B7">
            <w:pPr>
              <w:spacing w:line="360" w:lineRule="auto"/>
              <w:jc w:val="both"/>
              <w:rPr>
                <w:rFonts w:cstheme="minorHAnsi"/>
                <w:sz w:val="16"/>
                <w:szCs w:val="16"/>
              </w:rPr>
            </w:pPr>
            <w:r w:rsidRPr="00A63466">
              <w:rPr>
                <w:rFonts w:cstheme="minorHAnsi"/>
                <w:sz w:val="16"/>
                <w:szCs w:val="16"/>
              </w:rPr>
              <w:t>77.9</w:t>
            </w:r>
          </w:p>
        </w:tc>
        <w:tc>
          <w:tcPr>
            <w:tcW w:w="825" w:type="dxa"/>
            <w:tcBorders>
              <w:top w:val="nil"/>
              <w:left w:val="nil"/>
              <w:bottom w:val="nil"/>
              <w:right w:val="single" w:sz="4" w:space="0" w:color="auto"/>
            </w:tcBorders>
          </w:tcPr>
          <w:p w14:paraId="37C4FDC0" w14:textId="665527A1" w:rsidR="006A36B7" w:rsidRPr="00A63466" w:rsidRDefault="006A36B7" w:rsidP="006A36B7">
            <w:pPr>
              <w:spacing w:line="360" w:lineRule="auto"/>
              <w:jc w:val="both"/>
              <w:rPr>
                <w:rFonts w:cstheme="minorHAnsi"/>
                <w:sz w:val="16"/>
                <w:szCs w:val="16"/>
              </w:rPr>
            </w:pPr>
            <w:r w:rsidRPr="00A63466">
              <w:rPr>
                <w:rFonts w:cstheme="minorHAnsi"/>
                <w:sz w:val="16"/>
                <w:szCs w:val="16"/>
              </w:rPr>
              <w:t>43% M</w:t>
            </w:r>
          </w:p>
        </w:tc>
      </w:tr>
      <w:tr w:rsidR="006A36B7" w:rsidRPr="00A63466" w14:paraId="6B2CB94E" w14:textId="77777777" w:rsidTr="006A36B7">
        <w:tc>
          <w:tcPr>
            <w:tcW w:w="1985" w:type="dxa"/>
            <w:tcBorders>
              <w:top w:val="nil"/>
              <w:left w:val="single" w:sz="4" w:space="0" w:color="auto"/>
              <w:bottom w:val="nil"/>
              <w:right w:val="nil"/>
            </w:tcBorders>
          </w:tcPr>
          <w:p w14:paraId="6B7CA187" w14:textId="6DDFFD57" w:rsidR="006A36B7" w:rsidRPr="002B0140" w:rsidRDefault="006A36B7" w:rsidP="006A36B7">
            <w:pPr>
              <w:spacing w:line="360" w:lineRule="auto"/>
              <w:jc w:val="both"/>
              <w:rPr>
                <w:rFonts w:cstheme="minorHAnsi"/>
                <w:b/>
                <w:sz w:val="16"/>
                <w:szCs w:val="16"/>
              </w:rPr>
            </w:pPr>
            <w:r w:rsidRPr="002B0140">
              <w:rPr>
                <w:rFonts w:cstheme="minorHAnsi"/>
                <w:b/>
                <w:sz w:val="16"/>
                <w:szCs w:val="16"/>
              </w:rPr>
              <w:t xml:space="preserve">Tangiisuran </w:t>
            </w:r>
            <w:r>
              <w:rPr>
                <w:rFonts w:cstheme="minorHAnsi"/>
                <w:b/>
                <w:noProof/>
                <w:sz w:val="16"/>
                <w:szCs w:val="16"/>
              </w:rPr>
              <w:t>[47]</w:t>
            </w:r>
          </w:p>
        </w:tc>
        <w:tc>
          <w:tcPr>
            <w:tcW w:w="541" w:type="dxa"/>
            <w:tcBorders>
              <w:top w:val="nil"/>
              <w:left w:val="nil"/>
              <w:bottom w:val="nil"/>
              <w:right w:val="nil"/>
            </w:tcBorders>
          </w:tcPr>
          <w:p w14:paraId="274D9854" w14:textId="1AF05075" w:rsidR="006A36B7" w:rsidRPr="00A63466" w:rsidRDefault="006A36B7" w:rsidP="006A36B7">
            <w:pPr>
              <w:spacing w:line="360" w:lineRule="auto"/>
              <w:jc w:val="both"/>
              <w:rPr>
                <w:rFonts w:cstheme="minorHAnsi"/>
                <w:sz w:val="16"/>
                <w:szCs w:val="16"/>
              </w:rPr>
            </w:pPr>
            <w:r w:rsidRPr="00A63466">
              <w:rPr>
                <w:rFonts w:cstheme="minorHAnsi"/>
                <w:sz w:val="16"/>
                <w:szCs w:val="16"/>
              </w:rPr>
              <w:t>2012</w:t>
            </w:r>
          </w:p>
        </w:tc>
        <w:tc>
          <w:tcPr>
            <w:tcW w:w="1034" w:type="dxa"/>
            <w:tcBorders>
              <w:top w:val="nil"/>
              <w:left w:val="nil"/>
              <w:bottom w:val="nil"/>
              <w:right w:val="nil"/>
            </w:tcBorders>
          </w:tcPr>
          <w:p w14:paraId="66D991B9" w14:textId="5D5FCA93" w:rsidR="006A36B7" w:rsidRPr="00A63466" w:rsidRDefault="006A36B7" w:rsidP="006A36B7">
            <w:pPr>
              <w:spacing w:line="360" w:lineRule="auto"/>
              <w:jc w:val="both"/>
              <w:rPr>
                <w:rFonts w:cstheme="minorHAnsi"/>
                <w:sz w:val="16"/>
                <w:szCs w:val="16"/>
              </w:rPr>
            </w:pPr>
            <w:r w:rsidRPr="00A63466">
              <w:rPr>
                <w:rFonts w:cstheme="minorHAnsi"/>
                <w:sz w:val="16"/>
                <w:szCs w:val="16"/>
              </w:rPr>
              <w:t>U.K.</w:t>
            </w:r>
          </w:p>
        </w:tc>
        <w:tc>
          <w:tcPr>
            <w:tcW w:w="846" w:type="dxa"/>
            <w:tcBorders>
              <w:top w:val="nil"/>
              <w:left w:val="nil"/>
              <w:bottom w:val="nil"/>
              <w:right w:val="nil"/>
            </w:tcBorders>
          </w:tcPr>
          <w:p w14:paraId="43B863C9" w14:textId="5663C9C5" w:rsidR="006A36B7" w:rsidRPr="00A63466" w:rsidRDefault="006A36B7" w:rsidP="006A36B7">
            <w:pPr>
              <w:spacing w:line="360" w:lineRule="auto"/>
              <w:jc w:val="both"/>
              <w:rPr>
                <w:rFonts w:cstheme="minorHAnsi"/>
                <w:sz w:val="16"/>
                <w:szCs w:val="16"/>
              </w:rPr>
            </w:pPr>
            <w:r w:rsidRPr="00A63466">
              <w:rPr>
                <w:rFonts w:cstheme="minorHAnsi"/>
                <w:sz w:val="16"/>
                <w:szCs w:val="16"/>
              </w:rPr>
              <w:t>English</w:t>
            </w:r>
          </w:p>
        </w:tc>
        <w:tc>
          <w:tcPr>
            <w:tcW w:w="885" w:type="dxa"/>
            <w:tcBorders>
              <w:top w:val="nil"/>
              <w:left w:val="nil"/>
              <w:bottom w:val="nil"/>
              <w:right w:val="nil"/>
            </w:tcBorders>
          </w:tcPr>
          <w:p w14:paraId="13D90059" w14:textId="65108ED8" w:rsidR="006A36B7" w:rsidRPr="00A63466" w:rsidRDefault="006A36B7" w:rsidP="006A36B7">
            <w:pPr>
              <w:spacing w:line="360" w:lineRule="auto"/>
              <w:jc w:val="center"/>
              <w:rPr>
                <w:rFonts w:cstheme="minorHAnsi"/>
                <w:sz w:val="16"/>
                <w:szCs w:val="16"/>
              </w:rPr>
            </w:pPr>
            <w:r w:rsidRPr="00A63466">
              <w:rPr>
                <w:rFonts w:cstheme="minorHAnsi"/>
                <w:sz w:val="16"/>
                <w:szCs w:val="16"/>
              </w:rPr>
              <w:t>6</w:t>
            </w:r>
          </w:p>
        </w:tc>
        <w:tc>
          <w:tcPr>
            <w:tcW w:w="2410" w:type="dxa"/>
            <w:tcBorders>
              <w:top w:val="nil"/>
              <w:left w:val="nil"/>
              <w:bottom w:val="nil"/>
              <w:right w:val="nil"/>
            </w:tcBorders>
          </w:tcPr>
          <w:p w14:paraId="06EF0025" w14:textId="370A7D8C" w:rsidR="006A36B7" w:rsidRPr="00A63466" w:rsidRDefault="006A36B7" w:rsidP="006A36B7">
            <w:pPr>
              <w:spacing w:line="360" w:lineRule="auto"/>
              <w:jc w:val="both"/>
              <w:rPr>
                <w:rFonts w:cstheme="minorHAnsi"/>
                <w:sz w:val="16"/>
                <w:szCs w:val="16"/>
              </w:rPr>
            </w:pPr>
            <w:r>
              <w:rPr>
                <w:rFonts w:cstheme="minorHAnsi"/>
                <w:sz w:val="16"/>
                <w:szCs w:val="16"/>
              </w:rPr>
              <w:t>UHs, 4 care of elderly wards</w:t>
            </w:r>
          </w:p>
        </w:tc>
        <w:tc>
          <w:tcPr>
            <w:tcW w:w="2817" w:type="dxa"/>
            <w:tcBorders>
              <w:top w:val="nil"/>
              <w:left w:val="nil"/>
              <w:bottom w:val="nil"/>
              <w:right w:val="nil"/>
            </w:tcBorders>
          </w:tcPr>
          <w:p w14:paraId="19E54C8F" w14:textId="12E60E74" w:rsidR="006A36B7" w:rsidRPr="00A63466" w:rsidRDefault="006A36B7" w:rsidP="006A36B7">
            <w:pPr>
              <w:spacing w:line="360" w:lineRule="auto"/>
              <w:jc w:val="both"/>
              <w:rPr>
                <w:rFonts w:cstheme="minorHAnsi"/>
                <w:sz w:val="16"/>
                <w:szCs w:val="16"/>
              </w:rPr>
            </w:pPr>
            <w:r>
              <w:rPr>
                <w:rFonts w:cstheme="minorHAnsi"/>
                <w:sz w:val="16"/>
                <w:szCs w:val="16"/>
              </w:rPr>
              <w:t>≥ 80***</w:t>
            </w:r>
          </w:p>
        </w:tc>
        <w:tc>
          <w:tcPr>
            <w:tcW w:w="2113" w:type="dxa"/>
            <w:tcBorders>
              <w:top w:val="nil"/>
              <w:left w:val="nil"/>
              <w:bottom w:val="nil"/>
              <w:right w:val="nil"/>
            </w:tcBorders>
          </w:tcPr>
          <w:p w14:paraId="0CB6B782" w14:textId="6515031F" w:rsidR="006A36B7" w:rsidRPr="00A63466" w:rsidRDefault="006A36B7" w:rsidP="006A36B7">
            <w:pPr>
              <w:spacing w:line="360" w:lineRule="auto"/>
              <w:jc w:val="both"/>
              <w:rPr>
                <w:rFonts w:cstheme="minorHAnsi"/>
                <w:sz w:val="16"/>
                <w:szCs w:val="16"/>
              </w:rPr>
            </w:pPr>
            <w:r w:rsidRPr="00A63466">
              <w:rPr>
                <w:rFonts w:cstheme="minorHAnsi"/>
                <w:sz w:val="16"/>
                <w:szCs w:val="16"/>
              </w:rPr>
              <w:t>Prospective observational</w:t>
            </w:r>
          </w:p>
        </w:tc>
        <w:tc>
          <w:tcPr>
            <w:tcW w:w="698" w:type="dxa"/>
            <w:tcBorders>
              <w:top w:val="nil"/>
              <w:left w:val="nil"/>
              <w:bottom w:val="nil"/>
              <w:right w:val="nil"/>
            </w:tcBorders>
          </w:tcPr>
          <w:p w14:paraId="58AABA7C" w14:textId="4E4DEE87" w:rsidR="006A36B7" w:rsidRPr="00A63466" w:rsidRDefault="006A36B7" w:rsidP="006A36B7">
            <w:pPr>
              <w:spacing w:line="360" w:lineRule="auto"/>
              <w:jc w:val="both"/>
              <w:rPr>
                <w:rFonts w:cstheme="minorHAnsi"/>
                <w:sz w:val="16"/>
                <w:szCs w:val="16"/>
              </w:rPr>
            </w:pPr>
            <w:r w:rsidRPr="00A63466">
              <w:rPr>
                <w:rFonts w:cstheme="minorHAnsi"/>
                <w:sz w:val="16"/>
                <w:szCs w:val="16"/>
              </w:rPr>
              <w:t>560**</w:t>
            </w:r>
          </w:p>
        </w:tc>
        <w:tc>
          <w:tcPr>
            <w:tcW w:w="700" w:type="dxa"/>
            <w:tcBorders>
              <w:top w:val="nil"/>
              <w:left w:val="nil"/>
              <w:bottom w:val="nil"/>
              <w:right w:val="nil"/>
            </w:tcBorders>
          </w:tcPr>
          <w:p w14:paraId="28C11318" w14:textId="75D1691B" w:rsidR="006A36B7" w:rsidRPr="00A63466" w:rsidRDefault="006A36B7" w:rsidP="006A36B7">
            <w:pPr>
              <w:spacing w:line="360" w:lineRule="auto"/>
              <w:jc w:val="both"/>
              <w:rPr>
                <w:rFonts w:cstheme="minorHAnsi"/>
                <w:sz w:val="16"/>
                <w:szCs w:val="16"/>
              </w:rPr>
            </w:pPr>
            <w:r w:rsidRPr="00A63466">
              <w:rPr>
                <w:rFonts w:cstheme="minorHAnsi"/>
                <w:sz w:val="16"/>
                <w:szCs w:val="16"/>
              </w:rPr>
              <w:t>560**</w:t>
            </w:r>
          </w:p>
        </w:tc>
        <w:tc>
          <w:tcPr>
            <w:tcW w:w="930" w:type="dxa"/>
            <w:tcBorders>
              <w:top w:val="nil"/>
              <w:left w:val="nil"/>
              <w:bottom w:val="nil"/>
              <w:right w:val="nil"/>
            </w:tcBorders>
          </w:tcPr>
          <w:p w14:paraId="120656B7" w14:textId="1AF39790" w:rsidR="006A36B7" w:rsidRPr="00A63466" w:rsidRDefault="006A36B7" w:rsidP="006A36B7">
            <w:pPr>
              <w:spacing w:line="360" w:lineRule="auto"/>
              <w:jc w:val="both"/>
              <w:rPr>
                <w:rFonts w:cstheme="minorHAnsi"/>
                <w:sz w:val="16"/>
                <w:szCs w:val="16"/>
              </w:rPr>
            </w:pPr>
            <w:r w:rsidRPr="00A63466">
              <w:rPr>
                <w:rFonts w:cstheme="minorHAnsi"/>
                <w:sz w:val="16"/>
                <w:szCs w:val="16"/>
              </w:rPr>
              <w:t>87 ± 5.6</w:t>
            </w:r>
          </w:p>
        </w:tc>
        <w:tc>
          <w:tcPr>
            <w:tcW w:w="825" w:type="dxa"/>
            <w:tcBorders>
              <w:top w:val="nil"/>
              <w:left w:val="nil"/>
              <w:bottom w:val="nil"/>
              <w:right w:val="single" w:sz="4" w:space="0" w:color="auto"/>
            </w:tcBorders>
          </w:tcPr>
          <w:p w14:paraId="1839598A" w14:textId="2F36A7E1" w:rsidR="006A36B7" w:rsidRPr="00A63466" w:rsidRDefault="006A36B7" w:rsidP="006A36B7">
            <w:pPr>
              <w:spacing w:line="360" w:lineRule="auto"/>
              <w:jc w:val="both"/>
              <w:rPr>
                <w:rFonts w:cstheme="minorHAnsi"/>
                <w:sz w:val="16"/>
                <w:szCs w:val="16"/>
              </w:rPr>
            </w:pPr>
            <w:r w:rsidRPr="00A63466">
              <w:rPr>
                <w:rFonts w:cstheme="minorHAnsi"/>
                <w:sz w:val="16"/>
                <w:szCs w:val="16"/>
              </w:rPr>
              <w:t>37% M</w:t>
            </w:r>
          </w:p>
        </w:tc>
      </w:tr>
      <w:tr w:rsidR="006A36B7" w:rsidRPr="00A63466" w14:paraId="1D37F2B7" w14:textId="77777777" w:rsidTr="006A36B7">
        <w:tc>
          <w:tcPr>
            <w:tcW w:w="1985" w:type="dxa"/>
            <w:tcBorders>
              <w:top w:val="nil"/>
              <w:left w:val="single" w:sz="4" w:space="0" w:color="auto"/>
              <w:bottom w:val="single" w:sz="4" w:space="0" w:color="auto"/>
              <w:right w:val="nil"/>
            </w:tcBorders>
          </w:tcPr>
          <w:p w14:paraId="0EAF9E05" w14:textId="52A4CDE6" w:rsidR="006A36B7" w:rsidRPr="002B0140" w:rsidRDefault="006A36B7" w:rsidP="006A36B7">
            <w:pPr>
              <w:spacing w:line="360" w:lineRule="auto"/>
              <w:jc w:val="both"/>
              <w:rPr>
                <w:rFonts w:cstheme="minorHAnsi"/>
                <w:b/>
                <w:sz w:val="16"/>
                <w:szCs w:val="16"/>
              </w:rPr>
            </w:pPr>
            <w:r w:rsidRPr="002B0140">
              <w:rPr>
                <w:rFonts w:cstheme="minorHAnsi"/>
                <w:b/>
                <w:sz w:val="16"/>
                <w:szCs w:val="16"/>
              </w:rPr>
              <w:t xml:space="preserve">Tangiisuran </w:t>
            </w:r>
            <w:r>
              <w:rPr>
                <w:rFonts w:cstheme="minorHAnsi"/>
                <w:b/>
                <w:noProof/>
                <w:sz w:val="16"/>
                <w:szCs w:val="16"/>
              </w:rPr>
              <w:t>[48]</w:t>
            </w:r>
          </w:p>
        </w:tc>
        <w:tc>
          <w:tcPr>
            <w:tcW w:w="541" w:type="dxa"/>
            <w:tcBorders>
              <w:top w:val="nil"/>
              <w:left w:val="nil"/>
              <w:bottom w:val="single" w:sz="4" w:space="0" w:color="auto"/>
              <w:right w:val="nil"/>
            </w:tcBorders>
          </w:tcPr>
          <w:p w14:paraId="024DD6E6" w14:textId="46E8FAC4" w:rsidR="006A36B7" w:rsidRPr="00A63466" w:rsidRDefault="006A36B7" w:rsidP="006A36B7">
            <w:pPr>
              <w:spacing w:line="360" w:lineRule="auto"/>
              <w:jc w:val="both"/>
              <w:rPr>
                <w:rFonts w:cstheme="minorHAnsi"/>
                <w:sz w:val="16"/>
                <w:szCs w:val="16"/>
              </w:rPr>
            </w:pPr>
            <w:r w:rsidRPr="00A63466">
              <w:rPr>
                <w:rFonts w:cstheme="minorHAnsi"/>
                <w:sz w:val="16"/>
                <w:szCs w:val="16"/>
              </w:rPr>
              <w:t>2014</w:t>
            </w:r>
          </w:p>
        </w:tc>
        <w:tc>
          <w:tcPr>
            <w:tcW w:w="1034" w:type="dxa"/>
            <w:tcBorders>
              <w:top w:val="nil"/>
              <w:left w:val="nil"/>
              <w:bottom w:val="single" w:sz="4" w:space="0" w:color="auto"/>
              <w:right w:val="nil"/>
            </w:tcBorders>
          </w:tcPr>
          <w:p w14:paraId="7F39E80E" w14:textId="4285D6F4" w:rsidR="006A36B7" w:rsidRPr="00A63466" w:rsidRDefault="006A36B7" w:rsidP="006A36B7">
            <w:pPr>
              <w:spacing w:line="360" w:lineRule="auto"/>
              <w:jc w:val="both"/>
              <w:rPr>
                <w:rFonts w:cstheme="minorHAnsi"/>
                <w:sz w:val="16"/>
                <w:szCs w:val="16"/>
              </w:rPr>
            </w:pPr>
            <w:r w:rsidRPr="00A63466">
              <w:rPr>
                <w:rFonts w:cstheme="minorHAnsi"/>
                <w:sz w:val="16"/>
                <w:szCs w:val="16"/>
              </w:rPr>
              <w:t>U.K.</w:t>
            </w:r>
          </w:p>
        </w:tc>
        <w:tc>
          <w:tcPr>
            <w:tcW w:w="846" w:type="dxa"/>
            <w:tcBorders>
              <w:top w:val="nil"/>
              <w:left w:val="nil"/>
              <w:bottom w:val="single" w:sz="4" w:space="0" w:color="auto"/>
              <w:right w:val="nil"/>
            </w:tcBorders>
          </w:tcPr>
          <w:p w14:paraId="6B884B42" w14:textId="203E01C6" w:rsidR="006A36B7" w:rsidRPr="00A63466" w:rsidRDefault="006A36B7" w:rsidP="006A36B7">
            <w:pPr>
              <w:spacing w:line="360" w:lineRule="auto"/>
              <w:jc w:val="both"/>
              <w:rPr>
                <w:rFonts w:cstheme="minorHAnsi"/>
                <w:sz w:val="16"/>
                <w:szCs w:val="16"/>
              </w:rPr>
            </w:pPr>
            <w:r w:rsidRPr="00A63466">
              <w:rPr>
                <w:rFonts w:cstheme="minorHAnsi"/>
                <w:sz w:val="16"/>
                <w:szCs w:val="16"/>
              </w:rPr>
              <w:t>English</w:t>
            </w:r>
          </w:p>
        </w:tc>
        <w:tc>
          <w:tcPr>
            <w:tcW w:w="885" w:type="dxa"/>
            <w:tcBorders>
              <w:top w:val="nil"/>
              <w:left w:val="nil"/>
              <w:bottom w:val="single" w:sz="4" w:space="0" w:color="auto"/>
              <w:right w:val="nil"/>
            </w:tcBorders>
          </w:tcPr>
          <w:p w14:paraId="66BC2294" w14:textId="7903165A" w:rsidR="006A36B7" w:rsidRPr="00A63466" w:rsidRDefault="006A36B7" w:rsidP="006A36B7">
            <w:pPr>
              <w:spacing w:line="360" w:lineRule="auto"/>
              <w:jc w:val="center"/>
              <w:rPr>
                <w:rFonts w:cstheme="minorHAnsi"/>
                <w:sz w:val="16"/>
                <w:szCs w:val="16"/>
              </w:rPr>
            </w:pPr>
            <w:r w:rsidRPr="00A63466">
              <w:rPr>
                <w:rFonts w:cstheme="minorHAnsi"/>
                <w:sz w:val="16"/>
                <w:szCs w:val="16"/>
              </w:rPr>
              <w:t>6</w:t>
            </w:r>
          </w:p>
        </w:tc>
        <w:tc>
          <w:tcPr>
            <w:tcW w:w="2410" w:type="dxa"/>
            <w:tcBorders>
              <w:top w:val="nil"/>
              <w:left w:val="nil"/>
              <w:bottom w:val="single" w:sz="4" w:space="0" w:color="auto"/>
              <w:right w:val="nil"/>
            </w:tcBorders>
          </w:tcPr>
          <w:p w14:paraId="5A876E7E" w14:textId="30DCC32C" w:rsidR="006A36B7" w:rsidRPr="00A63466" w:rsidRDefault="006A36B7" w:rsidP="006A36B7">
            <w:pPr>
              <w:spacing w:line="360" w:lineRule="auto"/>
              <w:jc w:val="both"/>
              <w:rPr>
                <w:rFonts w:cstheme="minorHAnsi"/>
                <w:sz w:val="16"/>
                <w:szCs w:val="16"/>
              </w:rPr>
            </w:pPr>
            <w:r>
              <w:rPr>
                <w:rFonts w:cstheme="minorHAnsi"/>
                <w:sz w:val="16"/>
                <w:szCs w:val="16"/>
              </w:rPr>
              <w:t>UHs, 4 care of elderly wards</w:t>
            </w:r>
          </w:p>
        </w:tc>
        <w:tc>
          <w:tcPr>
            <w:tcW w:w="2817" w:type="dxa"/>
            <w:tcBorders>
              <w:top w:val="nil"/>
              <w:left w:val="nil"/>
              <w:bottom w:val="single" w:sz="4" w:space="0" w:color="auto"/>
              <w:right w:val="nil"/>
            </w:tcBorders>
          </w:tcPr>
          <w:p w14:paraId="18A6B2BD" w14:textId="1A877A03" w:rsidR="006A36B7" w:rsidRPr="00A63466" w:rsidRDefault="006A36B7" w:rsidP="006A36B7">
            <w:pPr>
              <w:spacing w:line="360" w:lineRule="auto"/>
              <w:jc w:val="both"/>
              <w:rPr>
                <w:rFonts w:cstheme="minorHAnsi"/>
                <w:sz w:val="16"/>
                <w:szCs w:val="16"/>
              </w:rPr>
            </w:pPr>
            <w:r>
              <w:rPr>
                <w:rFonts w:cstheme="minorHAnsi"/>
                <w:sz w:val="16"/>
                <w:szCs w:val="16"/>
              </w:rPr>
              <w:t>≥ 65</w:t>
            </w:r>
          </w:p>
        </w:tc>
        <w:tc>
          <w:tcPr>
            <w:tcW w:w="2113" w:type="dxa"/>
            <w:tcBorders>
              <w:top w:val="nil"/>
              <w:left w:val="nil"/>
              <w:bottom w:val="single" w:sz="4" w:space="0" w:color="auto"/>
              <w:right w:val="nil"/>
            </w:tcBorders>
          </w:tcPr>
          <w:p w14:paraId="4E23C3C4" w14:textId="22588ED4" w:rsidR="006A36B7" w:rsidRPr="00A63466" w:rsidRDefault="006A36B7" w:rsidP="006A36B7">
            <w:pPr>
              <w:spacing w:line="360" w:lineRule="auto"/>
              <w:jc w:val="both"/>
              <w:rPr>
                <w:rFonts w:cstheme="minorHAnsi"/>
                <w:sz w:val="16"/>
                <w:szCs w:val="16"/>
              </w:rPr>
            </w:pPr>
            <w:r w:rsidRPr="00A63466">
              <w:rPr>
                <w:rFonts w:cstheme="minorHAnsi"/>
                <w:sz w:val="16"/>
                <w:szCs w:val="16"/>
              </w:rPr>
              <w:t>Prospective observational</w:t>
            </w:r>
          </w:p>
        </w:tc>
        <w:tc>
          <w:tcPr>
            <w:tcW w:w="698" w:type="dxa"/>
            <w:tcBorders>
              <w:top w:val="nil"/>
              <w:left w:val="nil"/>
              <w:bottom w:val="single" w:sz="4" w:space="0" w:color="auto"/>
              <w:right w:val="nil"/>
            </w:tcBorders>
          </w:tcPr>
          <w:p w14:paraId="5E2F87E0" w14:textId="77777777" w:rsidR="006A36B7" w:rsidRPr="00A63466" w:rsidRDefault="006A36B7" w:rsidP="006A36B7">
            <w:pPr>
              <w:spacing w:line="360" w:lineRule="auto"/>
              <w:jc w:val="both"/>
              <w:rPr>
                <w:rFonts w:cstheme="minorHAnsi"/>
                <w:sz w:val="16"/>
                <w:szCs w:val="16"/>
              </w:rPr>
            </w:pPr>
            <w:r w:rsidRPr="00A63466">
              <w:rPr>
                <w:rFonts w:cstheme="minorHAnsi"/>
                <w:sz w:val="16"/>
                <w:szCs w:val="16"/>
              </w:rPr>
              <w:t>1173</w:t>
            </w:r>
          </w:p>
          <w:p w14:paraId="4D1A1E81" w14:textId="25715D06" w:rsidR="006A36B7" w:rsidRPr="00844B25" w:rsidRDefault="006A36B7" w:rsidP="006A36B7">
            <w:pPr>
              <w:spacing w:line="360" w:lineRule="auto"/>
              <w:jc w:val="both"/>
              <w:rPr>
                <w:rFonts w:cstheme="minorHAnsi"/>
                <w:i/>
                <w:sz w:val="16"/>
                <w:szCs w:val="16"/>
              </w:rPr>
            </w:pPr>
            <w:r w:rsidRPr="00844B25">
              <w:rPr>
                <w:rFonts w:cstheme="minorHAnsi"/>
                <w:i/>
                <w:sz w:val="16"/>
                <w:szCs w:val="16"/>
              </w:rPr>
              <w:t>690</w:t>
            </w:r>
            <w:r w:rsidRPr="00844B25">
              <w:rPr>
                <w:rFonts w:cstheme="minorHAnsi"/>
                <w:i/>
                <w:sz w:val="16"/>
                <w:szCs w:val="16"/>
                <w:vertAlign w:val="superscript"/>
              </w:rPr>
              <w:t>d</w:t>
            </w:r>
            <w:r w:rsidRPr="00844B25">
              <w:rPr>
                <w:rFonts w:cstheme="minorHAnsi"/>
                <w:i/>
                <w:sz w:val="16"/>
                <w:szCs w:val="16"/>
              </w:rPr>
              <w:t>, 483</w:t>
            </w:r>
            <w:r w:rsidRPr="00844B25">
              <w:rPr>
                <w:rFonts w:cstheme="minorHAnsi"/>
                <w:i/>
                <w:sz w:val="16"/>
                <w:szCs w:val="16"/>
                <w:vertAlign w:val="superscript"/>
              </w:rPr>
              <w:t>v</w:t>
            </w:r>
          </w:p>
        </w:tc>
        <w:tc>
          <w:tcPr>
            <w:tcW w:w="700" w:type="dxa"/>
            <w:tcBorders>
              <w:top w:val="nil"/>
              <w:left w:val="nil"/>
              <w:bottom w:val="single" w:sz="4" w:space="0" w:color="auto"/>
              <w:right w:val="nil"/>
            </w:tcBorders>
          </w:tcPr>
          <w:p w14:paraId="28F6E32B" w14:textId="77777777" w:rsidR="006A36B7" w:rsidRPr="00A63466" w:rsidRDefault="006A36B7" w:rsidP="006A36B7">
            <w:pPr>
              <w:spacing w:line="360" w:lineRule="auto"/>
              <w:jc w:val="both"/>
              <w:rPr>
                <w:rFonts w:cstheme="minorHAnsi"/>
                <w:sz w:val="16"/>
                <w:szCs w:val="16"/>
              </w:rPr>
            </w:pPr>
            <w:r w:rsidRPr="00A63466">
              <w:rPr>
                <w:rFonts w:cstheme="minorHAnsi"/>
                <w:sz w:val="16"/>
                <w:szCs w:val="16"/>
              </w:rPr>
              <w:t>1173</w:t>
            </w:r>
          </w:p>
          <w:p w14:paraId="7E110EB4" w14:textId="5278BA1A" w:rsidR="006A36B7" w:rsidRPr="00844B25" w:rsidRDefault="006A36B7" w:rsidP="006A36B7">
            <w:pPr>
              <w:spacing w:line="360" w:lineRule="auto"/>
              <w:jc w:val="both"/>
              <w:rPr>
                <w:rFonts w:cstheme="minorHAnsi"/>
                <w:i/>
                <w:sz w:val="16"/>
                <w:szCs w:val="16"/>
              </w:rPr>
            </w:pPr>
            <w:r w:rsidRPr="00844B25">
              <w:rPr>
                <w:rFonts w:cstheme="minorHAnsi"/>
                <w:i/>
                <w:sz w:val="16"/>
                <w:szCs w:val="16"/>
              </w:rPr>
              <w:t>690</w:t>
            </w:r>
            <w:r w:rsidRPr="00844B25">
              <w:rPr>
                <w:rFonts w:cstheme="minorHAnsi"/>
                <w:i/>
                <w:sz w:val="16"/>
                <w:szCs w:val="16"/>
                <w:vertAlign w:val="superscript"/>
              </w:rPr>
              <w:t>d</w:t>
            </w:r>
            <w:r w:rsidRPr="00844B25">
              <w:rPr>
                <w:rFonts w:cstheme="minorHAnsi"/>
                <w:i/>
                <w:sz w:val="16"/>
                <w:szCs w:val="16"/>
              </w:rPr>
              <w:t>, 483</w:t>
            </w:r>
            <w:r w:rsidRPr="00844B25">
              <w:rPr>
                <w:rFonts w:cstheme="minorHAnsi"/>
                <w:i/>
                <w:sz w:val="16"/>
                <w:szCs w:val="16"/>
                <w:vertAlign w:val="superscript"/>
              </w:rPr>
              <w:t>v</w:t>
            </w:r>
          </w:p>
        </w:tc>
        <w:tc>
          <w:tcPr>
            <w:tcW w:w="930" w:type="dxa"/>
            <w:tcBorders>
              <w:top w:val="nil"/>
              <w:left w:val="nil"/>
              <w:bottom w:val="single" w:sz="4" w:space="0" w:color="auto"/>
              <w:right w:val="nil"/>
            </w:tcBorders>
          </w:tcPr>
          <w:p w14:paraId="7EEBBFF0" w14:textId="03419770" w:rsidR="006A36B7" w:rsidRPr="00A63466" w:rsidRDefault="006A36B7" w:rsidP="006A36B7">
            <w:pPr>
              <w:spacing w:line="360" w:lineRule="auto"/>
              <w:jc w:val="both"/>
              <w:rPr>
                <w:rFonts w:cstheme="minorHAnsi"/>
                <w:sz w:val="16"/>
                <w:szCs w:val="16"/>
              </w:rPr>
            </w:pPr>
            <w:r w:rsidRPr="00A63466">
              <w:rPr>
                <w:rFonts w:cstheme="minorHAnsi"/>
                <w:sz w:val="16"/>
                <w:szCs w:val="16"/>
              </w:rPr>
              <w:t>80(75-86)</w:t>
            </w:r>
            <w:r w:rsidRPr="00A63466">
              <w:rPr>
                <w:rFonts w:cstheme="minorHAnsi"/>
                <w:sz w:val="16"/>
                <w:szCs w:val="16"/>
                <w:vertAlign w:val="superscript"/>
              </w:rPr>
              <w:t>d</w:t>
            </w:r>
          </w:p>
          <w:p w14:paraId="6F6E1968" w14:textId="065B5884" w:rsidR="006A36B7" w:rsidRPr="00A63466" w:rsidRDefault="006A36B7" w:rsidP="006A36B7">
            <w:pPr>
              <w:spacing w:line="360" w:lineRule="auto"/>
              <w:jc w:val="both"/>
              <w:rPr>
                <w:rFonts w:cstheme="minorHAnsi"/>
                <w:sz w:val="16"/>
                <w:szCs w:val="16"/>
              </w:rPr>
            </w:pPr>
            <w:r w:rsidRPr="00A63466">
              <w:rPr>
                <w:rFonts w:cstheme="minorHAnsi"/>
                <w:sz w:val="16"/>
                <w:szCs w:val="16"/>
              </w:rPr>
              <w:t>85(81-89)</w:t>
            </w:r>
            <w:r w:rsidRPr="00A63466">
              <w:rPr>
                <w:rFonts w:cstheme="minorHAnsi"/>
                <w:sz w:val="16"/>
                <w:szCs w:val="16"/>
                <w:vertAlign w:val="superscript"/>
              </w:rPr>
              <w:t>v</w:t>
            </w:r>
          </w:p>
        </w:tc>
        <w:tc>
          <w:tcPr>
            <w:tcW w:w="825" w:type="dxa"/>
            <w:tcBorders>
              <w:top w:val="nil"/>
              <w:left w:val="nil"/>
              <w:bottom w:val="single" w:sz="4" w:space="0" w:color="auto"/>
              <w:right w:val="single" w:sz="4" w:space="0" w:color="auto"/>
            </w:tcBorders>
          </w:tcPr>
          <w:p w14:paraId="77772CC4" w14:textId="6401EB91" w:rsidR="006A36B7" w:rsidRPr="00A63466" w:rsidRDefault="006A36B7" w:rsidP="006A36B7">
            <w:pPr>
              <w:spacing w:line="360" w:lineRule="auto"/>
              <w:jc w:val="both"/>
              <w:rPr>
                <w:rFonts w:cstheme="minorHAnsi"/>
                <w:sz w:val="16"/>
                <w:szCs w:val="16"/>
              </w:rPr>
            </w:pPr>
            <w:r w:rsidRPr="00A63466">
              <w:rPr>
                <w:rFonts w:cstheme="minorHAnsi"/>
                <w:sz w:val="16"/>
                <w:szCs w:val="16"/>
              </w:rPr>
              <w:t>39% M</w:t>
            </w:r>
            <w:r w:rsidRPr="00A63466">
              <w:rPr>
                <w:rFonts w:cstheme="minorHAnsi"/>
                <w:sz w:val="16"/>
                <w:szCs w:val="16"/>
                <w:vertAlign w:val="superscript"/>
              </w:rPr>
              <w:t>d</w:t>
            </w:r>
          </w:p>
          <w:p w14:paraId="6DD19B19" w14:textId="34DDDF60" w:rsidR="006A36B7" w:rsidRPr="00A63466" w:rsidRDefault="006A36B7" w:rsidP="006A36B7">
            <w:pPr>
              <w:spacing w:line="360" w:lineRule="auto"/>
              <w:jc w:val="both"/>
              <w:rPr>
                <w:rFonts w:cstheme="minorHAnsi"/>
                <w:sz w:val="16"/>
                <w:szCs w:val="16"/>
              </w:rPr>
            </w:pPr>
            <w:r w:rsidRPr="00A63466">
              <w:rPr>
                <w:rFonts w:cstheme="minorHAnsi"/>
                <w:sz w:val="16"/>
                <w:szCs w:val="16"/>
              </w:rPr>
              <w:t>42.2% M</w:t>
            </w:r>
            <w:r w:rsidRPr="00A63466">
              <w:rPr>
                <w:rFonts w:cstheme="minorHAnsi"/>
                <w:sz w:val="16"/>
                <w:szCs w:val="16"/>
                <w:vertAlign w:val="superscript"/>
              </w:rPr>
              <w:t>v</w:t>
            </w:r>
          </w:p>
        </w:tc>
      </w:tr>
      <w:tr w:rsidR="006A36B7" w:rsidRPr="00A63466" w14:paraId="2CFA2305" w14:textId="77777777" w:rsidTr="006A36B7">
        <w:tc>
          <w:tcPr>
            <w:tcW w:w="15780" w:type="dxa"/>
            <w:gridSpan w:val="12"/>
            <w:tcBorders>
              <w:top w:val="single" w:sz="4" w:space="0" w:color="auto"/>
            </w:tcBorders>
          </w:tcPr>
          <w:p w14:paraId="0AB3C0DA" w14:textId="090B6065" w:rsidR="006A36B7" w:rsidRPr="008C25A5" w:rsidRDefault="006A36B7" w:rsidP="008C25A5">
            <w:pPr>
              <w:spacing w:line="360" w:lineRule="auto"/>
              <w:jc w:val="both"/>
              <w:rPr>
                <w:rFonts w:cstheme="minorHAnsi"/>
                <w:i/>
                <w:sz w:val="16"/>
                <w:szCs w:val="16"/>
              </w:rPr>
            </w:pPr>
            <w:r w:rsidRPr="008C25A5">
              <w:rPr>
                <w:rFonts w:cstheme="minorHAnsi"/>
                <w:i/>
                <w:sz w:val="16"/>
                <w:szCs w:val="16"/>
              </w:rPr>
              <w:t xml:space="preserve">* months, ICU – Intensive care unit, GIM – general internal medicine, UH – University Hospital, PIM – Potentially inappropriate medication, excl. – excluded, CCU – coronary care unit, ED – Emergency department, </w:t>
            </w:r>
            <w:r w:rsidR="008C25A5" w:rsidRPr="008C25A5">
              <w:rPr>
                <w:rFonts w:cstheme="minorHAnsi"/>
                <w:sz w:val="16"/>
                <w:szCs w:val="16"/>
                <w:vertAlign w:val="superscript"/>
              </w:rPr>
              <w:t>§</w:t>
            </w:r>
            <w:r w:rsidR="008C25A5" w:rsidRPr="008C25A5">
              <w:rPr>
                <w:rFonts w:cstheme="minorHAnsi"/>
                <w:i/>
                <w:sz w:val="16"/>
                <w:szCs w:val="16"/>
              </w:rPr>
              <w:t xml:space="preserve"> - ADRs at presentation and in-hospital, </w:t>
            </w:r>
            <w:r w:rsidRPr="008C25A5">
              <w:rPr>
                <w:rFonts w:cstheme="minorHAnsi"/>
                <w:i/>
                <w:sz w:val="16"/>
                <w:szCs w:val="16"/>
              </w:rPr>
              <w:t xml:space="preserve">¥ - excluded physical and cognitive impairment † – excluded ICU, palliative, clinical pharmacology, psychiatry, geriatric medicine, ** combined duration over (1988, 1991, 1993, 1995, 1997),  ***subset of population described in 2014 paper, </w:t>
            </w:r>
            <w:r w:rsidRPr="008C25A5">
              <w:rPr>
                <w:rFonts w:cstheme="minorHAnsi"/>
                <w:i/>
                <w:sz w:val="16"/>
                <w:szCs w:val="16"/>
                <w:vertAlign w:val="superscript"/>
              </w:rPr>
              <w:t>d</w:t>
            </w:r>
            <w:r w:rsidRPr="008C25A5">
              <w:rPr>
                <w:rFonts w:cstheme="minorHAnsi"/>
                <w:i/>
                <w:sz w:val="16"/>
                <w:szCs w:val="16"/>
              </w:rPr>
              <w:t xml:space="preserve"> – development cohort, </w:t>
            </w:r>
            <w:r w:rsidRPr="008C25A5">
              <w:rPr>
                <w:rFonts w:cstheme="minorHAnsi"/>
                <w:i/>
                <w:sz w:val="16"/>
                <w:szCs w:val="16"/>
                <w:vertAlign w:val="superscript"/>
              </w:rPr>
              <w:t>v</w:t>
            </w:r>
            <w:r w:rsidRPr="008C25A5">
              <w:rPr>
                <w:rFonts w:cstheme="minorHAnsi"/>
                <w:i/>
                <w:sz w:val="16"/>
                <w:szCs w:val="16"/>
              </w:rPr>
              <w:t xml:space="preserve"> – validation cohort</w:t>
            </w:r>
          </w:p>
        </w:tc>
      </w:tr>
    </w:tbl>
    <w:p w14:paraId="45F30ED3" w14:textId="32145263" w:rsidR="00B24E78" w:rsidRDefault="00B24E78" w:rsidP="00B24E78">
      <w:pPr>
        <w:tabs>
          <w:tab w:val="left" w:pos="1717"/>
        </w:tabs>
        <w:spacing w:line="360" w:lineRule="auto"/>
        <w:jc w:val="both"/>
      </w:pPr>
      <w:r>
        <w:lastRenderedPageBreak/>
        <w:tab/>
      </w:r>
    </w:p>
    <w:p w14:paraId="443A0DC3" w14:textId="60AB11C7" w:rsidR="00925D80" w:rsidRPr="00B24E78" w:rsidRDefault="00925D80" w:rsidP="00B24E78">
      <w:pPr>
        <w:tabs>
          <w:tab w:val="left" w:pos="1717"/>
        </w:tabs>
        <w:sectPr w:rsidR="00925D80" w:rsidRPr="00B24E78" w:rsidSect="00E3009B">
          <w:pgSz w:w="16838" w:h="11906" w:orient="landscape"/>
          <w:pgMar w:top="720" w:right="720" w:bottom="720" w:left="720" w:header="709" w:footer="709" w:gutter="0"/>
          <w:cols w:space="708"/>
          <w:docGrid w:linePitch="360"/>
        </w:sectPr>
      </w:pPr>
    </w:p>
    <w:p w14:paraId="56F62FC0" w14:textId="4D4A33CB" w:rsidR="00B56303" w:rsidRDefault="00391C9C" w:rsidP="00E65D46">
      <w:pPr>
        <w:rPr>
          <w:b/>
        </w:rPr>
      </w:pPr>
      <w:r w:rsidRPr="00391C9C">
        <w:rPr>
          <w:b/>
        </w:rPr>
        <w:lastRenderedPageBreak/>
        <w:t xml:space="preserve">3.3. </w:t>
      </w:r>
      <w:r w:rsidR="00B56303" w:rsidRPr="00391C9C">
        <w:rPr>
          <w:b/>
        </w:rPr>
        <w:t xml:space="preserve">Study Quality </w:t>
      </w:r>
    </w:p>
    <w:p w14:paraId="32B1DA4C" w14:textId="1FEA35AC" w:rsidR="004B2FC3" w:rsidRPr="00391C9C" w:rsidRDefault="005773EA" w:rsidP="00E65D46">
      <w:pPr>
        <w:rPr>
          <w:b/>
        </w:rPr>
      </w:pPr>
      <w:r>
        <w:t>23 studies were assessed for quality using modified Newcastle-Ottawa Scale.</w:t>
      </w:r>
      <w:r w:rsidR="00D85E15">
        <w:t xml:space="preserve"> 2 ROBINS (RCT)</w:t>
      </w:r>
    </w:p>
    <w:tbl>
      <w:tblPr>
        <w:tblW w:w="7480" w:type="dxa"/>
        <w:tblLook w:val="04A0" w:firstRow="1" w:lastRow="0" w:firstColumn="1" w:lastColumn="0" w:noHBand="0" w:noVBand="1"/>
      </w:tblPr>
      <w:tblGrid>
        <w:gridCol w:w="2497"/>
        <w:gridCol w:w="663"/>
        <w:gridCol w:w="2200"/>
        <w:gridCol w:w="2120"/>
      </w:tblGrid>
      <w:tr w:rsidR="004B2FC3" w:rsidRPr="0098719D" w14:paraId="5E7E022D" w14:textId="77777777" w:rsidTr="009C2692">
        <w:trPr>
          <w:trHeight w:val="290"/>
        </w:trPr>
        <w:tc>
          <w:tcPr>
            <w:tcW w:w="748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77359ABB" w14:textId="6B455F68" w:rsidR="004B2FC3" w:rsidRPr="004B2FC3" w:rsidRDefault="004B2FC3" w:rsidP="004B2FC3">
            <w:pPr>
              <w:spacing w:after="0" w:line="240" w:lineRule="auto"/>
              <w:rPr>
                <w:rFonts w:ascii="Calibri" w:eastAsia="Times New Roman" w:hAnsi="Calibri" w:cs="Calibri"/>
                <w:b/>
                <w:bCs/>
                <w:color w:val="000000"/>
                <w:u w:val="single"/>
                <w:lang w:eastAsia="en-GB"/>
              </w:rPr>
            </w:pPr>
            <w:commentRangeStart w:id="13"/>
            <w:r w:rsidRPr="004B2FC3">
              <w:rPr>
                <w:rFonts w:ascii="Calibri" w:eastAsia="Times New Roman" w:hAnsi="Calibri" w:cs="Calibri"/>
                <w:b/>
                <w:bCs/>
                <w:color w:val="000000"/>
                <w:u w:val="single"/>
                <w:lang w:eastAsia="en-GB"/>
              </w:rPr>
              <w:t>Table</w:t>
            </w:r>
            <w:commentRangeEnd w:id="13"/>
            <w:r w:rsidR="00AC44A9">
              <w:rPr>
                <w:rStyle w:val="CommentReference"/>
              </w:rPr>
              <w:commentReference w:id="13"/>
            </w:r>
            <w:r w:rsidRPr="004B2FC3">
              <w:rPr>
                <w:rFonts w:ascii="Calibri" w:eastAsia="Times New Roman" w:hAnsi="Calibri" w:cs="Calibri"/>
                <w:b/>
                <w:bCs/>
                <w:color w:val="000000"/>
                <w:u w:val="single"/>
                <w:lang w:eastAsia="en-GB"/>
              </w:rPr>
              <w:t>: Study Quality Assessment using modified Newcastle-Ottawa Scale</w:t>
            </w:r>
          </w:p>
        </w:tc>
      </w:tr>
      <w:tr w:rsidR="0098719D" w:rsidRPr="0098719D" w14:paraId="1815C9B6" w14:textId="77777777" w:rsidTr="00AB30EA">
        <w:trPr>
          <w:trHeight w:val="290"/>
        </w:trPr>
        <w:tc>
          <w:tcPr>
            <w:tcW w:w="24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DAEA2C" w14:textId="74259889" w:rsidR="0098719D" w:rsidRPr="0098719D" w:rsidRDefault="0098719D" w:rsidP="0098719D">
            <w:pPr>
              <w:spacing w:after="0" w:line="240" w:lineRule="auto"/>
              <w:rPr>
                <w:rFonts w:ascii="Calibri" w:eastAsia="Times New Roman" w:hAnsi="Calibri" w:cs="Calibri"/>
                <w:b/>
                <w:bCs/>
                <w:color w:val="000000"/>
                <w:lang w:eastAsia="en-GB"/>
              </w:rPr>
            </w:pPr>
            <w:r w:rsidRPr="0098719D">
              <w:rPr>
                <w:rFonts w:ascii="Calibri" w:eastAsia="Times New Roman" w:hAnsi="Calibri" w:cs="Calibri"/>
                <w:b/>
                <w:bCs/>
                <w:color w:val="000000"/>
                <w:lang w:eastAsia="en-GB"/>
              </w:rPr>
              <w:t>Author</w:t>
            </w:r>
          </w:p>
        </w:tc>
        <w:tc>
          <w:tcPr>
            <w:tcW w:w="663" w:type="dxa"/>
            <w:tcBorders>
              <w:top w:val="single" w:sz="4" w:space="0" w:color="auto"/>
              <w:left w:val="nil"/>
              <w:bottom w:val="single" w:sz="4" w:space="0" w:color="auto"/>
              <w:right w:val="single" w:sz="4" w:space="0" w:color="auto"/>
            </w:tcBorders>
            <w:shd w:val="clear" w:color="auto" w:fill="auto"/>
            <w:vAlign w:val="center"/>
            <w:hideMark/>
          </w:tcPr>
          <w:p w14:paraId="0B566331" w14:textId="77777777" w:rsidR="0098719D" w:rsidRPr="0098719D" w:rsidRDefault="0098719D" w:rsidP="0098719D">
            <w:pPr>
              <w:spacing w:after="0" w:line="240" w:lineRule="auto"/>
              <w:jc w:val="center"/>
              <w:rPr>
                <w:rFonts w:ascii="Calibri" w:eastAsia="Times New Roman" w:hAnsi="Calibri" w:cs="Calibri"/>
                <w:b/>
                <w:bCs/>
                <w:color w:val="000000"/>
                <w:lang w:eastAsia="en-GB"/>
              </w:rPr>
            </w:pPr>
            <w:r w:rsidRPr="0098719D">
              <w:rPr>
                <w:rFonts w:ascii="Calibri" w:eastAsia="Times New Roman" w:hAnsi="Calibri" w:cs="Calibri"/>
                <w:b/>
                <w:bCs/>
                <w:color w:val="000000"/>
                <w:lang w:eastAsia="en-GB"/>
              </w:rPr>
              <w:t>Year</w:t>
            </w:r>
          </w:p>
        </w:tc>
        <w:tc>
          <w:tcPr>
            <w:tcW w:w="2200" w:type="dxa"/>
            <w:tcBorders>
              <w:top w:val="single" w:sz="4" w:space="0" w:color="auto"/>
              <w:left w:val="nil"/>
              <w:bottom w:val="single" w:sz="4" w:space="0" w:color="auto"/>
              <w:right w:val="single" w:sz="4" w:space="0" w:color="auto"/>
            </w:tcBorders>
            <w:shd w:val="clear" w:color="auto" w:fill="auto"/>
            <w:noWrap/>
            <w:vAlign w:val="center"/>
            <w:hideMark/>
          </w:tcPr>
          <w:p w14:paraId="26AD0840" w14:textId="77777777" w:rsidR="004B2FC3" w:rsidRDefault="0098719D" w:rsidP="0098719D">
            <w:pPr>
              <w:spacing w:after="0" w:line="240" w:lineRule="auto"/>
              <w:jc w:val="center"/>
              <w:rPr>
                <w:rFonts w:ascii="Calibri" w:eastAsia="Times New Roman" w:hAnsi="Calibri" w:cs="Calibri"/>
                <w:b/>
                <w:bCs/>
                <w:color w:val="000000"/>
                <w:lang w:eastAsia="en-GB"/>
              </w:rPr>
            </w:pPr>
            <w:r w:rsidRPr="0098719D">
              <w:rPr>
                <w:rFonts w:ascii="Calibri" w:eastAsia="Times New Roman" w:hAnsi="Calibri" w:cs="Calibri"/>
                <w:b/>
                <w:bCs/>
                <w:color w:val="000000"/>
                <w:lang w:eastAsia="en-GB"/>
              </w:rPr>
              <w:t xml:space="preserve">Selection </w:t>
            </w:r>
          </w:p>
          <w:p w14:paraId="0C28140A" w14:textId="139DC576" w:rsidR="0098719D" w:rsidRPr="0098719D" w:rsidRDefault="0098719D" w:rsidP="0098719D">
            <w:pPr>
              <w:spacing w:after="0" w:line="240" w:lineRule="auto"/>
              <w:jc w:val="center"/>
              <w:rPr>
                <w:rFonts w:ascii="Calibri" w:eastAsia="Times New Roman" w:hAnsi="Calibri" w:cs="Calibri"/>
                <w:b/>
                <w:bCs/>
                <w:color w:val="000000"/>
                <w:lang w:eastAsia="en-GB"/>
              </w:rPr>
            </w:pPr>
            <w:r w:rsidRPr="0098719D">
              <w:rPr>
                <w:rFonts w:ascii="Calibri" w:eastAsia="Times New Roman" w:hAnsi="Calibri" w:cs="Calibri"/>
                <w:b/>
                <w:bCs/>
                <w:color w:val="000000"/>
                <w:lang w:eastAsia="en-GB"/>
              </w:rPr>
              <w:t>(Max 4 stars)</w:t>
            </w:r>
          </w:p>
        </w:tc>
        <w:tc>
          <w:tcPr>
            <w:tcW w:w="2120" w:type="dxa"/>
            <w:tcBorders>
              <w:top w:val="single" w:sz="4" w:space="0" w:color="auto"/>
              <w:left w:val="nil"/>
              <w:bottom w:val="single" w:sz="4" w:space="0" w:color="auto"/>
              <w:right w:val="single" w:sz="4" w:space="0" w:color="auto"/>
            </w:tcBorders>
            <w:shd w:val="clear" w:color="auto" w:fill="auto"/>
            <w:noWrap/>
            <w:vAlign w:val="center"/>
            <w:hideMark/>
          </w:tcPr>
          <w:p w14:paraId="3192B3D9" w14:textId="77777777" w:rsidR="004B2FC3" w:rsidRDefault="0098719D" w:rsidP="0098719D">
            <w:pPr>
              <w:spacing w:after="0" w:line="240" w:lineRule="auto"/>
              <w:jc w:val="center"/>
              <w:rPr>
                <w:rFonts w:ascii="Calibri" w:eastAsia="Times New Roman" w:hAnsi="Calibri" w:cs="Calibri"/>
                <w:b/>
                <w:bCs/>
                <w:color w:val="000000"/>
                <w:lang w:eastAsia="en-GB"/>
              </w:rPr>
            </w:pPr>
            <w:r w:rsidRPr="0098719D">
              <w:rPr>
                <w:rFonts w:ascii="Calibri" w:eastAsia="Times New Roman" w:hAnsi="Calibri" w:cs="Calibri"/>
                <w:b/>
                <w:bCs/>
                <w:color w:val="000000"/>
                <w:lang w:eastAsia="en-GB"/>
              </w:rPr>
              <w:t xml:space="preserve">Outcome </w:t>
            </w:r>
          </w:p>
          <w:p w14:paraId="789570D0" w14:textId="19CEE778" w:rsidR="0098719D" w:rsidRPr="0098719D" w:rsidRDefault="0098719D" w:rsidP="0098719D">
            <w:pPr>
              <w:spacing w:after="0" w:line="240" w:lineRule="auto"/>
              <w:jc w:val="center"/>
              <w:rPr>
                <w:rFonts w:ascii="Calibri" w:eastAsia="Times New Roman" w:hAnsi="Calibri" w:cs="Calibri"/>
                <w:b/>
                <w:bCs/>
                <w:color w:val="000000"/>
                <w:lang w:eastAsia="en-GB"/>
              </w:rPr>
            </w:pPr>
            <w:r w:rsidRPr="0098719D">
              <w:rPr>
                <w:rFonts w:ascii="Calibri" w:eastAsia="Times New Roman" w:hAnsi="Calibri" w:cs="Calibri"/>
                <w:b/>
                <w:bCs/>
                <w:color w:val="000000"/>
                <w:lang w:eastAsia="en-GB"/>
              </w:rPr>
              <w:t>(Max 3 stars)</w:t>
            </w:r>
          </w:p>
        </w:tc>
      </w:tr>
      <w:tr w:rsidR="0098719D" w:rsidRPr="0098719D" w14:paraId="3F310BBE" w14:textId="77777777" w:rsidTr="004B2FC3">
        <w:trPr>
          <w:trHeight w:val="290"/>
        </w:trPr>
        <w:tc>
          <w:tcPr>
            <w:tcW w:w="2497" w:type="dxa"/>
            <w:tcBorders>
              <w:top w:val="nil"/>
              <w:left w:val="single" w:sz="4" w:space="0" w:color="auto"/>
              <w:bottom w:val="single" w:sz="4" w:space="0" w:color="auto"/>
              <w:right w:val="single" w:sz="4" w:space="0" w:color="auto"/>
            </w:tcBorders>
            <w:shd w:val="clear" w:color="auto" w:fill="auto"/>
            <w:vAlign w:val="center"/>
            <w:hideMark/>
          </w:tcPr>
          <w:p w14:paraId="16E7FF32" w14:textId="77777777" w:rsidR="0098719D" w:rsidRPr="0098719D" w:rsidRDefault="0098719D" w:rsidP="0098719D">
            <w:pPr>
              <w:spacing w:after="0" w:line="240" w:lineRule="auto"/>
              <w:rPr>
                <w:rFonts w:ascii="Calibri" w:eastAsia="Times New Roman" w:hAnsi="Calibri" w:cs="Calibri"/>
                <w:color w:val="000000"/>
                <w:lang w:eastAsia="en-GB"/>
              </w:rPr>
            </w:pPr>
            <w:r w:rsidRPr="0098719D">
              <w:rPr>
                <w:rFonts w:ascii="Calibri" w:eastAsia="Times New Roman" w:hAnsi="Calibri" w:cs="Calibri"/>
                <w:color w:val="000000"/>
                <w:lang w:eastAsia="en-GB"/>
              </w:rPr>
              <w:t>Ayub / Da Silva</w:t>
            </w:r>
          </w:p>
        </w:tc>
        <w:tc>
          <w:tcPr>
            <w:tcW w:w="663" w:type="dxa"/>
            <w:tcBorders>
              <w:top w:val="nil"/>
              <w:left w:val="nil"/>
              <w:bottom w:val="single" w:sz="4" w:space="0" w:color="auto"/>
              <w:right w:val="single" w:sz="4" w:space="0" w:color="auto"/>
            </w:tcBorders>
            <w:shd w:val="clear" w:color="auto" w:fill="auto"/>
            <w:vAlign w:val="center"/>
            <w:hideMark/>
          </w:tcPr>
          <w:p w14:paraId="5D35DDDB" w14:textId="77777777" w:rsidR="0098719D" w:rsidRPr="0098719D" w:rsidRDefault="0098719D" w:rsidP="0098719D">
            <w:pPr>
              <w:spacing w:after="0" w:line="240" w:lineRule="auto"/>
              <w:jc w:val="center"/>
              <w:rPr>
                <w:rFonts w:ascii="Calibri" w:eastAsia="Times New Roman" w:hAnsi="Calibri" w:cs="Calibri"/>
                <w:color w:val="000000"/>
                <w:lang w:eastAsia="en-GB"/>
              </w:rPr>
            </w:pPr>
            <w:r w:rsidRPr="0098719D">
              <w:rPr>
                <w:rFonts w:ascii="Calibri" w:eastAsia="Times New Roman" w:hAnsi="Calibri" w:cs="Calibri"/>
                <w:color w:val="000000"/>
                <w:lang w:eastAsia="en-GB"/>
              </w:rPr>
              <w:t>2009</w:t>
            </w:r>
          </w:p>
        </w:tc>
        <w:tc>
          <w:tcPr>
            <w:tcW w:w="2200" w:type="dxa"/>
            <w:tcBorders>
              <w:top w:val="nil"/>
              <w:left w:val="nil"/>
              <w:bottom w:val="single" w:sz="4" w:space="0" w:color="auto"/>
              <w:right w:val="single" w:sz="4" w:space="0" w:color="auto"/>
            </w:tcBorders>
            <w:shd w:val="clear" w:color="auto" w:fill="auto"/>
            <w:vAlign w:val="center"/>
            <w:hideMark/>
          </w:tcPr>
          <w:p w14:paraId="768CF957" w14:textId="77777777" w:rsidR="0098719D" w:rsidRPr="0098719D" w:rsidRDefault="0098719D" w:rsidP="0098719D">
            <w:pPr>
              <w:spacing w:after="0" w:line="240" w:lineRule="auto"/>
              <w:jc w:val="center"/>
              <w:rPr>
                <w:rFonts w:ascii="Calibri" w:eastAsia="Times New Roman" w:hAnsi="Calibri" w:cs="Calibri"/>
                <w:color w:val="000000"/>
                <w:lang w:eastAsia="en-GB"/>
              </w:rPr>
            </w:pPr>
            <w:r w:rsidRPr="0098719D">
              <w:rPr>
                <w:rFonts w:ascii="Calibri" w:eastAsia="Times New Roman" w:hAnsi="Calibri" w:cs="Calibri"/>
                <w:color w:val="000000"/>
                <w:lang w:eastAsia="en-GB"/>
              </w:rPr>
              <w:t>****</w:t>
            </w:r>
          </w:p>
        </w:tc>
        <w:tc>
          <w:tcPr>
            <w:tcW w:w="2120" w:type="dxa"/>
            <w:tcBorders>
              <w:top w:val="nil"/>
              <w:left w:val="nil"/>
              <w:bottom w:val="single" w:sz="4" w:space="0" w:color="auto"/>
              <w:right w:val="single" w:sz="4" w:space="0" w:color="auto"/>
            </w:tcBorders>
            <w:shd w:val="clear" w:color="auto" w:fill="auto"/>
            <w:noWrap/>
            <w:vAlign w:val="center"/>
            <w:hideMark/>
          </w:tcPr>
          <w:p w14:paraId="19467632" w14:textId="77777777" w:rsidR="0098719D" w:rsidRPr="0098719D" w:rsidRDefault="0098719D" w:rsidP="0098719D">
            <w:pPr>
              <w:spacing w:after="0" w:line="240" w:lineRule="auto"/>
              <w:jc w:val="center"/>
              <w:rPr>
                <w:rFonts w:ascii="Calibri" w:eastAsia="Times New Roman" w:hAnsi="Calibri" w:cs="Calibri"/>
                <w:color w:val="000000"/>
                <w:lang w:eastAsia="en-GB"/>
              </w:rPr>
            </w:pPr>
            <w:r w:rsidRPr="0098719D">
              <w:rPr>
                <w:rFonts w:ascii="Calibri" w:eastAsia="Times New Roman" w:hAnsi="Calibri" w:cs="Calibri"/>
                <w:color w:val="000000"/>
                <w:lang w:eastAsia="en-GB"/>
              </w:rPr>
              <w:t>***</w:t>
            </w:r>
          </w:p>
        </w:tc>
      </w:tr>
      <w:tr w:rsidR="0098719D" w:rsidRPr="0098719D" w14:paraId="75F648B2" w14:textId="77777777" w:rsidTr="004B2FC3">
        <w:trPr>
          <w:trHeight w:val="290"/>
        </w:trPr>
        <w:tc>
          <w:tcPr>
            <w:tcW w:w="2497" w:type="dxa"/>
            <w:tcBorders>
              <w:top w:val="nil"/>
              <w:left w:val="single" w:sz="4" w:space="0" w:color="auto"/>
              <w:bottom w:val="single" w:sz="4" w:space="0" w:color="auto"/>
              <w:right w:val="single" w:sz="4" w:space="0" w:color="auto"/>
            </w:tcBorders>
            <w:shd w:val="clear" w:color="auto" w:fill="auto"/>
            <w:vAlign w:val="center"/>
            <w:hideMark/>
          </w:tcPr>
          <w:p w14:paraId="579C5EF9" w14:textId="77777777" w:rsidR="0098719D" w:rsidRPr="0098719D" w:rsidRDefault="0098719D" w:rsidP="0098719D">
            <w:pPr>
              <w:spacing w:after="0" w:line="240" w:lineRule="auto"/>
              <w:rPr>
                <w:rFonts w:ascii="Calibri" w:eastAsia="Times New Roman" w:hAnsi="Calibri" w:cs="Calibri"/>
                <w:color w:val="000000"/>
                <w:lang w:eastAsia="en-GB"/>
              </w:rPr>
            </w:pPr>
            <w:r w:rsidRPr="0098719D">
              <w:rPr>
                <w:rFonts w:ascii="Calibri" w:eastAsia="Times New Roman" w:hAnsi="Calibri" w:cs="Calibri"/>
                <w:color w:val="000000"/>
                <w:lang w:eastAsia="en-GB"/>
              </w:rPr>
              <w:t xml:space="preserve">Bowman </w:t>
            </w:r>
          </w:p>
        </w:tc>
        <w:tc>
          <w:tcPr>
            <w:tcW w:w="663" w:type="dxa"/>
            <w:tcBorders>
              <w:top w:val="nil"/>
              <w:left w:val="nil"/>
              <w:bottom w:val="single" w:sz="4" w:space="0" w:color="auto"/>
              <w:right w:val="single" w:sz="4" w:space="0" w:color="auto"/>
            </w:tcBorders>
            <w:shd w:val="clear" w:color="auto" w:fill="auto"/>
            <w:vAlign w:val="center"/>
            <w:hideMark/>
          </w:tcPr>
          <w:p w14:paraId="24F46654" w14:textId="77777777" w:rsidR="0098719D" w:rsidRPr="0098719D" w:rsidRDefault="0098719D" w:rsidP="0098719D">
            <w:pPr>
              <w:spacing w:after="0" w:line="240" w:lineRule="auto"/>
              <w:jc w:val="center"/>
              <w:rPr>
                <w:rFonts w:ascii="Calibri" w:eastAsia="Times New Roman" w:hAnsi="Calibri" w:cs="Calibri"/>
                <w:color w:val="000000"/>
                <w:lang w:eastAsia="en-GB"/>
              </w:rPr>
            </w:pPr>
            <w:r w:rsidRPr="0098719D">
              <w:rPr>
                <w:rFonts w:ascii="Calibri" w:eastAsia="Times New Roman" w:hAnsi="Calibri" w:cs="Calibri"/>
                <w:color w:val="000000"/>
                <w:lang w:eastAsia="en-GB"/>
              </w:rPr>
              <w:t>1996</w:t>
            </w:r>
          </w:p>
        </w:tc>
        <w:tc>
          <w:tcPr>
            <w:tcW w:w="2200" w:type="dxa"/>
            <w:tcBorders>
              <w:top w:val="nil"/>
              <w:left w:val="nil"/>
              <w:bottom w:val="single" w:sz="4" w:space="0" w:color="auto"/>
              <w:right w:val="single" w:sz="4" w:space="0" w:color="auto"/>
            </w:tcBorders>
            <w:shd w:val="clear" w:color="auto" w:fill="auto"/>
            <w:vAlign w:val="center"/>
            <w:hideMark/>
          </w:tcPr>
          <w:p w14:paraId="4F065F42" w14:textId="77777777" w:rsidR="0098719D" w:rsidRPr="0098719D" w:rsidRDefault="0098719D" w:rsidP="0098719D">
            <w:pPr>
              <w:spacing w:after="0" w:line="240" w:lineRule="auto"/>
              <w:jc w:val="center"/>
              <w:rPr>
                <w:rFonts w:ascii="Calibri" w:eastAsia="Times New Roman" w:hAnsi="Calibri" w:cs="Calibri"/>
                <w:color w:val="000000"/>
                <w:lang w:eastAsia="en-GB"/>
              </w:rPr>
            </w:pPr>
            <w:r w:rsidRPr="0098719D">
              <w:rPr>
                <w:rFonts w:ascii="Calibri" w:eastAsia="Times New Roman" w:hAnsi="Calibri" w:cs="Calibri"/>
                <w:color w:val="000000"/>
                <w:lang w:eastAsia="en-GB"/>
              </w:rPr>
              <w:t>****</w:t>
            </w:r>
          </w:p>
        </w:tc>
        <w:tc>
          <w:tcPr>
            <w:tcW w:w="2120" w:type="dxa"/>
            <w:tcBorders>
              <w:top w:val="nil"/>
              <w:left w:val="nil"/>
              <w:bottom w:val="single" w:sz="4" w:space="0" w:color="auto"/>
              <w:right w:val="single" w:sz="4" w:space="0" w:color="auto"/>
            </w:tcBorders>
            <w:shd w:val="clear" w:color="auto" w:fill="auto"/>
            <w:noWrap/>
            <w:vAlign w:val="center"/>
            <w:hideMark/>
          </w:tcPr>
          <w:p w14:paraId="42815067" w14:textId="77777777" w:rsidR="0098719D" w:rsidRPr="0098719D" w:rsidRDefault="0098719D" w:rsidP="0098719D">
            <w:pPr>
              <w:spacing w:after="0" w:line="240" w:lineRule="auto"/>
              <w:jc w:val="center"/>
              <w:rPr>
                <w:rFonts w:ascii="Calibri" w:eastAsia="Times New Roman" w:hAnsi="Calibri" w:cs="Calibri"/>
                <w:color w:val="000000"/>
                <w:lang w:eastAsia="en-GB"/>
              </w:rPr>
            </w:pPr>
            <w:r w:rsidRPr="0098719D">
              <w:rPr>
                <w:rFonts w:ascii="Calibri" w:eastAsia="Times New Roman" w:hAnsi="Calibri" w:cs="Calibri"/>
                <w:color w:val="000000"/>
                <w:lang w:eastAsia="en-GB"/>
              </w:rPr>
              <w:t>***</w:t>
            </w:r>
          </w:p>
        </w:tc>
      </w:tr>
      <w:tr w:rsidR="0098719D" w:rsidRPr="0098719D" w14:paraId="6BD99CFC" w14:textId="77777777" w:rsidTr="004B2FC3">
        <w:trPr>
          <w:trHeight w:val="290"/>
        </w:trPr>
        <w:tc>
          <w:tcPr>
            <w:tcW w:w="2497" w:type="dxa"/>
            <w:tcBorders>
              <w:top w:val="nil"/>
              <w:left w:val="single" w:sz="4" w:space="0" w:color="auto"/>
              <w:bottom w:val="single" w:sz="4" w:space="0" w:color="auto"/>
              <w:right w:val="single" w:sz="4" w:space="0" w:color="auto"/>
            </w:tcBorders>
            <w:shd w:val="clear" w:color="auto" w:fill="auto"/>
            <w:vAlign w:val="center"/>
            <w:hideMark/>
          </w:tcPr>
          <w:p w14:paraId="044FC73C" w14:textId="77777777" w:rsidR="0098719D" w:rsidRPr="0098719D" w:rsidRDefault="0098719D" w:rsidP="0098719D">
            <w:pPr>
              <w:spacing w:after="0" w:line="240" w:lineRule="auto"/>
              <w:rPr>
                <w:rFonts w:ascii="Calibri" w:eastAsia="Times New Roman" w:hAnsi="Calibri" w:cs="Calibri"/>
                <w:color w:val="000000"/>
                <w:lang w:eastAsia="en-GB"/>
              </w:rPr>
            </w:pPr>
            <w:r w:rsidRPr="0098719D">
              <w:rPr>
                <w:rFonts w:ascii="Calibri" w:eastAsia="Times New Roman" w:hAnsi="Calibri" w:cs="Calibri"/>
                <w:color w:val="000000"/>
                <w:lang w:eastAsia="en-GB"/>
              </w:rPr>
              <w:t>Caldron-Ospina</w:t>
            </w:r>
          </w:p>
        </w:tc>
        <w:tc>
          <w:tcPr>
            <w:tcW w:w="663" w:type="dxa"/>
            <w:tcBorders>
              <w:top w:val="nil"/>
              <w:left w:val="nil"/>
              <w:bottom w:val="single" w:sz="4" w:space="0" w:color="auto"/>
              <w:right w:val="single" w:sz="4" w:space="0" w:color="auto"/>
            </w:tcBorders>
            <w:shd w:val="clear" w:color="auto" w:fill="auto"/>
            <w:vAlign w:val="center"/>
            <w:hideMark/>
          </w:tcPr>
          <w:p w14:paraId="039AF1F0" w14:textId="77777777" w:rsidR="0098719D" w:rsidRPr="0098719D" w:rsidRDefault="0098719D" w:rsidP="0098719D">
            <w:pPr>
              <w:spacing w:after="0" w:line="240" w:lineRule="auto"/>
              <w:jc w:val="center"/>
              <w:rPr>
                <w:rFonts w:ascii="Calibri" w:eastAsia="Times New Roman" w:hAnsi="Calibri" w:cs="Calibri"/>
                <w:color w:val="000000"/>
                <w:lang w:eastAsia="en-GB"/>
              </w:rPr>
            </w:pPr>
            <w:r w:rsidRPr="0098719D">
              <w:rPr>
                <w:rFonts w:ascii="Calibri" w:eastAsia="Times New Roman" w:hAnsi="Calibri" w:cs="Calibri"/>
                <w:color w:val="000000"/>
                <w:lang w:eastAsia="en-GB"/>
              </w:rPr>
              <w:t>2010</w:t>
            </w:r>
          </w:p>
        </w:tc>
        <w:tc>
          <w:tcPr>
            <w:tcW w:w="2200" w:type="dxa"/>
            <w:tcBorders>
              <w:top w:val="nil"/>
              <w:left w:val="nil"/>
              <w:bottom w:val="single" w:sz="4" w:space="0" w:color="auto"/>
              <w:right w:val="single" w:sz="4" w:space="0" w:color="auto"/>
            </w:tcBorders>
            <w:shd w:val="clear" w:color="auto" w:fill="auto"/>
            <w:vAlign w:val="center"/>
            <w:hideMark/>
          </w:tcPr>
          <w:p w14:paraId="6A402CF2" w14:textId="77777777" w:rsidR="0098719D" w:rsidRPr="0098719D" w:rsidRDefault="0098719D" w:rsidP="0098719D">
            <w:pPr>
              <w:spacing w:after="0" w:line="240" w:lineRule="auto"/>
              <w:jc w:val="center"/>
              <w:rPr>
                <w:rFonts w:ascii="Calibri" w:eastAsia="Times New Roman" w:hAnsi="Calibri" w:cs="Calibri"/>
                <w:color w:val="000000"/>
                <w:lang w:eastAsia="en-GB"/>
              </w:rPr>
            </w:pPr>
            <w:r w:rsidRPr="0098719D">
              <w:rPr>
                <w:rFonts w:ascii="Calibri" w:eastAsia="Times New Roman" w:hAnsi="Calibri" w:cs="Calibri"/>
                <w:color w:val="000000"/>
                <w:lang w:eastAsia="en-GB"/>
              </w:rPr>
              <w:t>****</w:t>
            </w:r>
          </w:p>
        </w:tc>
        <w:tc>
          <w:tcPr>
            <w:tcW w:w="2120" w:type="dxa"/>
            <w:tcBorders>
              <w:top w:val="nil"/>
              <w:left w:val="nil"/>
              <w:bottom w:val="single" w:sz="4" w:space="0" w:color="auto"/>
              <w:right w:val="single" w:sz="4" w:space="0" w:color="auto"/>
            </w:tcBorders>
            <w:shd w:val="clear" w:color="auto" w:fill="auto"/>
            <w:noWrap/>
            <w:vAlign w:val="center"/>
            <w:hideMark/>
          </w:tcPr>
          <w:p w14:paraId="3B0938ED" w14:textId="77777777" w:rsidR="0098719D" w:rsidRPr="0098719D" w:rsidRDefault="0098719D" w:rsidP="0098719D">
            <w:pPr>
              <w:spacing w:after="0" w:line="240" w:lineRule="auto"/>
              <w:jc w:val="center"/>
              <w:rPr>
                <w:rFonts w:ascii="Calibri" w:eastAsia="Times New Roman" w:hAnsi="Calibri" w:cs="Calibri"/>
                <w:color w:val="000000"/>
                <w:lang w:eastAsia="en-GB"/>
              </w:rPr>
            </w:pPr>
            <w:r w:rsidRPr="0098719D">
              <w:rPr>
                <w:rFonts w:ascii="Calibri" w:eastAsia="Times New Roman" w:hAnsi="Calibri" w:cs="Calibri"/>
                <w:color w:val="000000"/>
                <w:lang w:eastAsia="en-GB"/>
              </w:rPr>
              <w:t>*-*</w:t>
            </w:r>
          </w:p>
        </w:tc>
      </w:tr>
      <w:tr w:rsidR="00AC44A9" w:rsidRPr="0098719D" w14:paraId="0FBFD57E" w14:textId="77777777" w:rsidTr="004B2FC3">
        <w:trPr>
          <w:trHeight w:val="290"/>
        </w:trPr>
        <w:tc>
          <w:tcPr>
            <w:tcW w:w="2497" w:type="dxa"/>
            <w:tcBorders>
              <w:top w:val="nil"/>
              <w:left w:val="single" w:sz="4" w:space="0" w:color="auto"/>
              <w:bottom w:val="single" w:sz="4" w:space="0" w:color="auto"/>
              <w:right w:val="single" w:sz="4" w:space="0" w:color="auto"/>
            </w:tcBorders>
            <w:shd w:val="clear" w:color="auto" w:fill="auto"/>
            <w:vAlign w:val="center"/>
          </w:tcPr>
          <w:p w14:paraId="259086C6" w14:textId="269B36F2" w:rsidR="00AC44A9" w:rsidRPr="00F4615C" w:rsidRDefault="00AC44A9" w:rsidP="0098719D">
            <w:pPr>
              <w:spacing w:after="0" w:line="240" w:lineRule="auto"/>
              <w:rPr>
                <w:rFonts w:ascii="Calibri" w:eastAsia="Times New Roman" w:hAnsi="Calibri" w:cs="Calibri"/>
                <w:i/>
                <w:color w:val="000000"/>
                <w:lang w:eastAsia="en-GB"/>
              </w:rPr>
            </w:pPr>
            <w:r w:rsidRPr="00F4615C">
              <w:rPr>
                <w:rFonts w:ascii="Calibri" w:eastAsia="Times New Roman" w:hAnsi="Calibri" w:cs="Calibri"/>
                <w:i/>
                <w:color w:val="000000"/>
                <w:lang w:eastAsia="en-GB"/>
              </w:rPr>
              <w:t>Choeng</w:t>
            </w:r>
          </w:p>
        </w:tc>
        <w:tc>
          <w:tcPr>
            <w:tcW w:w="663" w:type="dxa"/>
            <w:tcBorders>
              <w:top w:val="nil"/>
              <w:left w:val="nil"/>
              <w:bottom w:val="single" w:sz="4" w:space="0" w:color="auto"/>
              <w:right w:val="single" w:sz="4" w:space="0" w:color="auto"/>
            </w:tcBorders>
            <w:shd w:val="clear" w:color="auto" w:fill="auto"/>
            <w:vAlign w:val="center"/>
          </w:tcPr>
          <w:p w14:paraId="348F2D7A" w14:textId="40C1E429" w:rsidR="00AC44A9" w:rsidRPr="00F4615C" w:rsidRDefault="00AC44A9" w:rsidP="0098719D">
            <w:pPr>
              <w:spacing w:after="0" w:line="240" w:lineRule="auto"/>
              <w:jc w:val="center"/>
              <w:rPr>
                <w:rFonts w:ascii="Calibri" w:eastAsia="Times New Roman" w:hAnsi="Calibri" w:cs="Calibri"/>
                <w:i/>
                <w:color w:val="000000"/>
                <w:lang w:eastAsia="en-GB"/>
              </w:rPr>
            </w:pPr>
            <w:r w:rsidRPr="00F4615C">
              <w:rPr>
                <w:rFonts w:ascii="Calibri" w:eastAsia="Times New Roman" w:hAnsi="Calibri" w:cs="Calibri"/>
                <w:i/>
                <w:color w:val="000000"/>
                <w:lang w:eastAsia="en-GB"/>
              </w:rPr>
              <w:t>2018</w:t>
            </w:r>
          </w:p>
        </w:tc>
        <w:tc>
          <w:tcPr>
            <w:tcW w:w="2200" w:type="dxa"/>
            <w:tcBorders>
              <w:top w:val="nil"/>
              <w:left w:val="nil"/>
              <w:bottom w:val="single" w:sz="4" w:space="0" w:color="auto"/>
              <w:right w:val="single" w:sz="4" w:space="0" w:color="auto"/>
            </w:tcBorders>
            <w:shd w:val="clear" w:color="auto" w:fill="auto"/>
            <w:vAlign w:val="center"/>
          </w:tcPr>
          <w:p w14:paraId="73D06919" w14:textId="5FBF4259" w:rsidR="00AC44A9" w:rsidRPr="00F4615C" w:rsidRDefault="00AC44A9" w:rsidP="0098719D">
            <w:pPr>
              <w:spacing w:after="0" w:line="240" w:lineRule="auto"/>
              <w:jc w:val="center"/>
              <w:rPr>
                <w:rFonts w:ascii="Calibri" w:eastAsia="Times New Roman" w:hAnsi="Calibri" w:cs="Calibri"/>
                <w:i/>
                <w:color w:val="000000"/>
                <w:lang w:eastAsia="en-GB"/>
              </w:rPr>
            </w:pPr>
            <w:r w:rsidRPr="00F4615C">
              <w:rPr>
                <w:rFonts w:ascii="Calibri" w:eastAsia="Times New Roman" w:hAnsi="Calibri" w:cs="Calibri"/>
                <w:i/>
                <w:color w:val="000000"/>
                <w:lang w:eastAsia="en-GB"/>
              </w:rPr>
              <w:t>***-</w:t>
            </w:r>
          </w:p>
        </w:tc>
        <w:tc>
          <w:tcPr>
            <w:tcW w:w="2120" w:type="dxa"/>
            <w:tcBorders>
              <w:top w:val="nil"/>
              <w:left w:val="nil"/>
              <w:bottom w:val="single" w:sz="4" w:space="0" w:color="auto"/>
              <w:right w:val="single" w:sz="4" w:space="0" w:color="auto"/>
            </w:tcBorders>
            <w:shd w:val="clear" w:color="auto" w:fill="auto"/>
            <w:noWrap/>
            <w:vAlign w:val="center"/>
          </w:tcPr>
          <w:p w14:paraId="1D5CE4BD" w14:textId="00DB1271" w:rsidR="00AC44A9" w:rsidRPr="00F4615C" w:rsidRDefault="00AC44A9" w:rsidP="0098719D">
            <w:pPr>
              <w:spacing w:after="0" w:line="240" w:lineRule="auto"/>
              <w:jc w:val="center"/>
              <w:rPr>
                <w:rFonts w:ascii="Calibri" w:eastAsia="Times New Roman" w:hAnsi="Calibri" w:cs="Calibri"/>
                <w:i/>
                <w:color w:val="000000"/>
                <w:lang w:eastAsia="en-GB"/>
              </w:rPr>
            </w:pPr>
            <w:r w:rsidRPr="00F4615C">
              <w:rPr>
                <w:rFonts w:ascii="Calibri" w:eastAsia="Times New Roman" w:hAnsi="Calibri" w:cs="Calibri"/>
                <w:i/>
                <w:color w:val="000000"/>
                <w:lang w:eastAsia="en-GB"/>
              </w:rPr>
              <w:t>***</w:t>
            </w:r>
          </w:p>
        </w:tc>
      </w:tr>
      <w:tr w:rsidR="0098719D" w:rsidRPr="0098719D" w14:paraId="06ECECA1" w14:textId="77777777" w:rsidTr="004B2FC3">
        <w:trPr>
          <w:trHeight w:val="290"/>
        </w:trPr>
        <w:tc>
          <w:tcPr>
            <w:tcW w:w="2497" w:type="dxa"/>
            <w:tcBorders>
              <w:top w:val="nil"/>
              <w:left w:val="single" w:sz="4" w:space="0" w:color="auto"/>
              <w:bottom w:val="single" w:sz="4" w:space="0" w:color="auto"/>
              <w:right w:val="single" w:sz="4" w:space="0" w:color="auto"/>
            </w:tcBorders>
            <w:shd w:val="clear" w:color="auto" w:fill="auto"/>
            <w:vAlign w:val="center"/>
            <w:hideMark/>
          </w:tcPr>
          <w:p w14:paraId="166854ED" w14:textId="77777777" w:rsidR="0098719D" w:rsidRPr="0098719D" w:rsidRDefault="0098719D" w:rsidP="0098719D">
            <w:pPr>
              <w:spacing w:after="0" w:line="240" w:lineRule="auto"/>
              <w:rPr>
                <w:rFonts w:ascii="Calibri" w:eastAsia="Times New Roman" w:hAnsi="Calibri" w:cs="Calibri"/>
                <w:i/>
                <w:iCs/>
                <w:color w:val="000000"/>
                <w:lang w:eastAsia="en-GB"/>
              </w:rPr>
            </w:pPr>
            <w:r w:rsidRPr="0098719D">
              <w:rPr>
                <w:rFonts w:ascii="Calibri" w:eastAsia="Times New Roman" w:hAnsi="Calibri" w:cs="Calibri"/>
                <w:i/>
                <w:iCs/>
                <w:color w:val="000000"/>
                <w:lang w:eastAsia="en-GB"/>
              </w:rPr>
              <w:t>Conforti</w:t>
            </w:r>
          </w:p>
        </w:tc>
        <w:tc>
          <w:tcPr>
            <w:tcW w:w="663" w:type="dxa"/>
            <w:tcBorders>
              <w:top w:val="nil"/>
              <w:left w:val="nil"/>
              <w:bottom w:val="single" w:sz="4" w:space="0" w:color="auto"/>
              <w:right w:val="single" w:sz="4" w:space="0" w:color="auto"/>
            </w:tcBorders>
            <w:shd w:val="clear" w:color="auto" w:fill="auto"/>
            <w:vAlign w:val="center"/>
            <w:hideMark/>
          </w:tcPr>
          <w:p w14:paraId="3B8ED8CC" w14:textId="77777777" w:rsidR="0098719D" w:rsidRPr="0098719D" w:rsidRDefault="0098719D" w:rsidP="0098719D">
            <w:pPr>
              <w:spacing w:after="0" w:line="240" w:lineRule="auto"/>
              <w:jc w:val="center"/>
              <w:rPr>
                <w:rFonts w:ascii="Calibri" w:eastAsia="Times New Roman" w:hAnsi="Calibri" w:cs="Calibri"/>
                <w:color w:val="000000"/>
                <w:lang w:eastAsia="en-GB"/>
              </w:rPr>
            </w:pPr>
            <w:r w:rsidRPr="0098719D">
              <w:rPr>
                <w:rFonts w:ascii="Calibri" w:eastAsia="Times New Roman" w:hAnsi="Calibri" w:cs="Calibri"/>
                <w:color w:val="000000"/>
                <w:lang w:eastAsia="en-GB"/>
              </w:rPr>
              <w:t>2012</w:t>
            </w:r>
          </w:p>
        </w:tc>
        <w:tc>
          <w:tcPr>
            <w:tcW w:w="2200" w:type="dxa"/>
            <w:tcBorders>
              <w:top w:val="nil"/>
              <w:left w:val="nil"/>
              <w:bottom w:val="single" w:sz="4" w:space="0" w:color="auto"/>
              <w:right w:val="single" w:sz="4" w:space="0" w:color="auto"/>
            </w:tcBorders>
            <w:shd w:val="clear" w:color="auto" w:fill="auto"/>
            <w:vAlign w:val="center"/>
            <w:hideMark/>
          </w:tcPr>
          <w:p w14:paraId="721FD5A2" w14:textId="77777777" w:rsidR="0098719D" w:rsidRPr="0098719D" w:rsidRDefault="0098719D" w:rsidP="0098719D">
            <w:pPr>
              <w:spacing w:after="0" w:line="240" w:lineRule="auto"/>
              <w:jc w:val="center"/>
              <w:rPr>
                <w:rFonts w:ascii="Calibri" w:eastAsia="Times New Roman" w:hAnsi="Calibri" w:cs="Calibri"/>
                <w:color w:val="000000"/>
                <w:lang w:eastAsia="en-GB"/>
              </w:rPr>
            </w:pPr>
            <w:r w:rsidRPr="0098719D">
              <w:rPr>
                <w:rFonts w:ascii="Calibri" w:eastAsia="Times New Roman" w:hAnsi="Calibri" w:cs="Calibri"/>
                <w:color w:val="000000"/>
                <w:lang w:eastAsia="en-GB"/>
              </w:rPr>
              <w:t>**-*</w:t>
            </w:r>
          </w:p>
        </w:tc>
        <w:tc>
          <w:tcPr>
            <w:tcW w:w="2120" w:type="dxa"/>
            <w:tcBorders>
              <w:top w:val="nil"/>
              <w:left w:val="nil"/>
              <w:bottom w:val="single" w:sz="4" w:space="0" w:color="auto"/>
              <w:right w:val="single" w:sz="4" w:space="0" w:color="auto"/>
            </w:tcBorders>
            <w:shd w:val="clear" w:color="auto" w:fill="auto"/>
            <w:noWrap/>
            <w:vAlign w:val="center"/>
            <w:hideMark/>
          </w:tcPr>
          <w:p w14:paraId="4A53ABA6" w14:textId="77777777" w:rsidR="0098719D" w:rsidRPr="0098719D" w:rsidRDefault="0098719D" w:rsidP="0098719D">
            <w:pPr>
              <w:spacing w:after="0" w:line="240" w:lineRule="auto"/>
              <w:jc w:val="center"/>
              <w:rPr>
                <w:rFonts w:ascii="Calibri" w:eastAsia="Times New Roman" w:hAnsi="Calibri" w:cs="Calibri"/>
                <w:color w:val="000000"/>
                <w:lang w:eastAsia="en-GB"/>
              </w:rPr>
            </w:pPr>
            <w:r w:rsidRPr="0098719D">
              <w:rPr>
                <w:rFonts w:ascii="Calibri" w:eastAsia="Times New Roman" w:hAnsi="Calibri" w:cs="Calibri"/>
                <w:color w:val="000000"/>
                <w:lang w:eastAsia="en-GB"/>
              </w:rPr>
              <w:t>-**</w:t>
            </w:r>
          </w:p>
        </w:tc>
      </w:tr>
      <w:tr w:rsidR="0098719D" w:rsidRPr="0098719D" w14:paraId="3A1A1BEF" w14:textId="77777777" w:rsidTr="004B2FC3">
        <w:trPr>
          <w:trHeight w:val="290"/>
        </w:trPr>
        <w:tc>
          <w:tcPr>
            <w:tcW w:w="2497" w:type="dxa"/>
            <w:tcBorders>
              <w:top w:val="nil"/>
              <w:left w:val="single" w:sz="4" w:space="0" w:color="auto"/>
              <w:bottom w:val="single" w:sz="4" w:space="0" w:color="auto"/>
              <w:right w:val="single" w:sz="4" w:space="0" w:color="auto"/>
            </w:tcBorders>
            <w:shd w:val="clear" w:color="auto" w:fill="auto"/>
            <w:vAlign w:val="center"/>
            <w:hideMark/>
          </w:tcPr>
          <w:p w14:paraId="4A3E907D" w14:textId="77777777" w:rsidR="0098719D" w:rsidRPr="0098719D" w:rsidRDefault="0098719D" w:rsidP="0098719D">
            <w:pPr>
              <w:spacing w:after="0" w:line="240" w:lineRule="auto"/>
              <w:rPr>
                <w:rFonts w:ascii="Calibri" w:eastAsia="Times New Roman" w:hAnsi="Calibri" w:cs="Calibri"/>
                <w:i/>
                <w:iCs/>
                <w:color w:val="000000"/>
                <w:lang w:eastAsia="en-GB"/>
              </w:rPr>
            </w:pPr>
            <w:r w:rsidRPr="0098719D">
              <w:rPr>
                <w:rFonts w:ascii="Calibri" w:eastAsia="Times New Roman" w:hAnsi="Calibri" w:cs="Calibri"/>
                <w:i/>
                <w:iCs/>
                <w:color w:val="000000"/>
                <w:lang w:eastAsia="en-GB"/>
              </w:rPr>
              <w:t>Corsonello</w:t>
            </w:r>
          </w:p>
        </w:tc>
        <w:tc>
          <w:tcPr>
            <w:tcW w:w="663" w:type="dxa"/>
            <w:tcBorders>
              <w:top w:val="nil"/>
              <w:left w:val="nil"/>
              <w:bottom w:val="single" w:sz="4" w:space="0" w:color="auto"/>
              <w:right w:val="single" w:sz="4" w:space="0" w:color="auto"/>
            </w:tcBorders>
            <w:shd w:val="clear" w:color="auto" w:fill="auto"/>
            <w:vAlign w:val="center"/>
            <w:hideMark/>
          </w:tcPr>
          <w:p w14:paraId="5D39E77F" w14:textId="77777777" w:rsidR="0098719D" w:rsidRPr="0098719D" w:rsidRDefault="0098719D" w:rsidP="0098719D">
            <w:pPr>
              <w:spacing w:after="0" w:line="240" w:lineRule="auto"/>
              <w:jc w:val="center"/>
              <w:rPr>
                <w:rFonts w:ascii="Calibri" w:eastAsia="Times New Roman" w:hAnsi="Calibri" w:cs="Calibri"/>
                <w:color w:val="000000"/>
                <w:lang w:eastAsia="en-GB"/>
              </w:rPr>
            </w:pPr>
            <w:r w:rsidRPr="0098719D">
              <w:rPr>
                <w:rFonts w:ascii="Calibri" w:eastAsia="Times New Roman" w:hAnsi="Calibri" w:cs="Calibri"/>
                <w:color w:val="000000"/>
                <w:lang w:eastAsia="en-GB"/>
              </w:rPr>
              <w:t>2009</w:t>
            </w:r>
          </w:p>
        </w:tc>
        <w:tc>
          <w:tcPr>
            <w:tcW w:w="2200" w:type="dxa"/>
            <w:tcBorders>
              <w:top w:val="nil"/>
              <w:left w:val="nil"/>
              <w:bottom w:val="single" w:sz="4" w:space="0" w:color="auto"/>
              <w:right w:val="single" w:sz="4" w:space="0" w:color="auto"/>
            </w:tcBorders>
            <w:shd w:val="clear" w:color="auto" w:fill="auto"/>
            <w:vAlign w:val="center"/>
            <w:hideMark/>
          </w:tcPr>
          <w:p w14:paraId="1172D60C" w14:textId="77777777" w:rsidR="0098719D" w:rsidRPr="0098719D" w:rsidRDefault="0098719D" w:rsidP="0098719D">
            <w:pPr>
              <w:spacing w:after="0" w:line="240" w:lineRule="auto"/>
              <w:jc w:val="center"/>
              <w:rPr>
                <w:rFonts w:ascii="Calibri" w:eastAsia="Times New Roman" w:hAnsi="Calibri" w:cs="Calibri"/>
                <w:color w:val="000000"/>
                <w:lang w:eastAsia="en-GB"/>
              </w:rPr>
            </w:pPr>
            <w:r w:rsidRPr="0098719D">
              <w:rPr>
                <w:rFonts w:ascii="Calibri" w:eastAsia="Times New Roman" w:hAnsi="Calibri" w:cs="Calibri"/>
                <w:color w:val="000000"/>
                <w:lang w:eastAsia="en-GB"/>
              </w:rPr>
              <w:t>****</w:t>
            </w:r>
          </w:p>
        </w:tc>
        <w:tc>
          <w:tcPr>
            <w:tcW w:w="2120" w:type="dxa"/>
            <w:tcBorders>
              <w:top w:val="nil"/>
              <w:left w:val="nil"/>
              <w:bottom w:val="single" w:sz="4" w:space="0" w:color="auto"/>
              <w:right w:val="single" w:sz="4" w:space="0" w:color="auto"/>
            </w:tcBorders>
            <w:shd w:val="clear" w:color="auto" w:fill="auto"/>
            <w:noWrap/>
            <w:vAlign w:val="center"/>
            <w:hideMark/>
          </w:tcPr>
          <w:p w14:paraId="7D8A34D7" w14:textId="77777777" w:rsidR="0098719D" w:rsidRPr="0098719D" w:rsidRDefault="0098719D" w:rsidP="0098719D">
            <w:pPr>
              <w:spacing w:after="0" w:line="240" w:lineRule="auto"/>
              <w:jc w:val="center"/>
              <w:rPr>
                <w:rFonts w:ascii="Calibri" w:eastAsia="Times New Roman" w:hAnsi="Calibri" w:cs="Calibri"/>
                <w:color w:val="000000"/>
                <w:lang w:eastAsia="en-GB"/>
              </w:rPr>
            </w:pPr>
            <w:r w:rsidRPr="0098719D">
              <w:rPr>
                <w:rFonts w:ascii="Calibri" w:eastAsia="Times New Roman" w:hAnsi="Calibri" w:cs="Calibri"/>
                <w:color w:val="000000"/>
                <w:lang w:eastAsia="en-GB"/>
              </w:rPr>
              <w:t>***</w:t>
            </w:r>
          </w:p>
        </w:tc>
      </w:tr>
      <w:tr w:rsidR="0098719D" w:rsidRPr="0098719D" w14:paraId="44468E59" w14:textId="77777777" w:rsidTr="004B2FC3">
        <w:trPr>
          <w:trHeight w:val="290"/>
        </w:trPr>
        <w:tc>
          <w:tcPr>
            <w:tcW w:w="2497" w:type="dxa"/>
            <w:tcBorders>
              <w:top w:val="nil"/>
              <w:left w:val="single" w:sz="4" w:space="0" w:color="auto"/>
              <w:bottom w:val="single" w:sz="4" w:space="0" w:color="auto"/>
              <w:right w:val="single" w:sz="4" w:space="0" w:color="auto"/>
            </w:tcBorders>
            <w:shd w:val="clear" w:color="auto" w:fill="auto"/>
            <w:vAlign w:val="center"/>
            <w:hideMark/>
          </w:tcPr>
          <w:p w14:paraId="16AE752C" w14:textId="77777777" w:rsidR="0098719D" w:rsidRPr="0098719D" w:rsidRDefault="0098719D" w:rsidP="0098719D">
            <w:pPr>
              <w:spacing w:after="0" w:line="240" w:lineRule="auto"/>
              <w:rPr>
                <w:rFonts w:ascii="Calibri" w:eastAsia="Times New Roman" w:hAnsi="Calibri" w:cs="Calibri"/>
                <w:color w:val="000000"/>
                <w:lang w:eastAsia="en-GB"/>
              </w:rPr>
            </w:pPr>
            <w:r w:rsidRPr="0098719D">
              <w:rPr>
                <w:rFonts w:ascii="Calibri" w:eastAsia="Times New Roman" w:hAnsi="Calibri" w:cs="Calibri"/>
                <w:color w:val="000000"/>
                <w:lang w:eastAsia="en-GB"/>
              </w:rPr>
              <w:t>Davies</w:t>
            </w:r>
          </w:p>
        </w:tc>
        <w:tc>
          <w:tcPr>
            <w:tcW w:w="663" w:type="dxa"/>
            <w:tcBorders>
              <w:top w:val="nil"/>
              <w:left w:val="nil"/>
              <w:bottom w:val="single" w:sz="4" w:space="0" w:color="auto"/>
              <w:right w:val="single" w:sz="4" w:space="0" w:color="auto"/>
            </w:tcBorders>
            <w:shd w:val="clear" w:color="auto" w:fill="auto"/>
            <w:vAlign w:val="center"/>
            <w:hideMark/>
          </w:tcPr>
          <w:p w14:paraId="3DD1C831" w14:textId="77777777" w:rsidR="0098719D" w:rsidRPr="0098719D" w:rsidRDefault="0098719D" w:rsidP="0098719D">
            <w:pPr>
              <w:spacing w:after="0" w:line="240" w:lineRule="auto"/>
              <w:jc w:val="center"/>
              <w:rPr>
                <w:rFonts w:ascii="Calibri" w:eastAsia="Times New Roman" w:hAnsi="Calibri" w:cs="Calibri"/>
                <w:color w:val="000000"/>
                <w:lang w:eastAsia="en-GB"/>
              </w:rPr>
            </w:pPr>
            <w:r w:rsidRPr="0098719D">
              <w:rPr>
                <w:rFonts w:ascii="Calibri" w:eastAsia="Times New Roman" w:hAnsi="Calibri" w:cs="Calibri"/>
                <w:color w:val="000000"/>
                <w:lang w:eastAsia="en-GB"/>
              </w:rPr>
              <w:t>2009</w:t>
            </w:r>
          </w:p>
        </w:tc>
        <w:tc>
          <w:tcPr>
            <w:tcW w:w="2200" w:type="dxa"/>
            <w:tcBorders>
              <w:top w:val="nil"/>
              <w:left w:val="nil"/>
              <w:bottom w:val="single" w:sz="4" w:space="0" w:color="auto"/>
              <w:right w:val="single" w:sz="4" w:space="0" w:color="auto"/>
            </w:tcBorders>
            <w:shd w:val="clear" w:color="auto" w:fill="auto"/>
            <w:vAlign w:val="center"/>
            <w:hideMark/>
          </w:tcPr>
          <w:p w14:paraId="33F9C3E9" w14:textId="77777777" w:rsidR="0098719D" w:rsidRPr="0098719D" w:rsidRDefault="0098719D" w:rsidP="0098719D">
            <w:pPr>
              <w:spacing w:after="0" w:line="240" w:lineRule="auto"/>
              <w:jc w:val="center"/>
              <w:rPr>
                <w:rFonts w:ascii="Calibri" w:eastAsia="Times New Roman" w:hAnsi="Calibri" w:cs="Calibri"/>
                <w:color w:val="000000"/>
                <w:lang w:eastAsia="en-GB"/>
              </w:rPr>
            </w:pPr>
            <w:r w:rsidRPr="0098719D">
              <w:rPr>
                <w:rFonts w:ascii="Calibri" w:eastAsia="Times New Roman" w:hAnsi="Calibri" w:cs="Calibri"/>
                <w:color w:val="000000"/>
                <w:lang w:eastAsia="en-GB"/>
              </w:rPr>
              <w:t>****</w:t>
            </w:r>
          </w:p>
        </w:tc>
        <w:tc>
          <w:tcPr>
            <w:tcW w:w="2120" w:type="dxa"/>
            <w:tcBorders>
              <w:top w:val="nil"/>
              <w:left w:val="nil"/>
              <w:bottom w:val="single" w:sz="4" w:space="0" w:color="auto"/>
              <w:right w:val="single" w:sz="4" w:space="0" w:color="auto"/>
            </w:tcBorders>
            <w:shd w:val="clear" w:color="auto" w:fill="auto"/>
            <w:noWrap/>
            <w:vAlign w:val="center"/>
            <w:hideMark/>
          </w:tcPr>
          <w:p w14:paraId="0FDD9FC2" w14:textId="77777777" w:rsidR="0098719D" w:rsidRPr="0098719D" w:rsidRDefault="0098719D" w:rsidP="0098719D">
            <w:pPr>
              <w:spacing w:after="0" w:line="240" w:lineRule="auto"/>
              <w:jc w:val="center"/>
              <w:rPr>
                <w:rFonts w:ascii="Calibri" w:eastAsia="Times New Roman" w:hAnsi="Calibri" w:cs="Calibri"/>
                <w:color w:val="000000"/>
                <w:lang w:eastAsia="en-GB"/>
              </w:rPr>
            </w:pPr>
            <w:r w:rsidRPr="0098719D">
              <w:rPr>
                <w:rFonts w:ascii="Calibri" w:eastAsia="Times New Roman" w:hAnsi="Calibri" w:cs="Calibri"/>
                <w:color w:val="000000"/>
                <w:lang w:eastAsia="en-GB"/>
              </w:rPr>
              <w:t>***</w:t>
            </w:r>
          </w:p>
        </w:tc>
      </w:tr>
      <w:tr w:rsidR="0098719D" w:rsidRPr="0098719D" w14:paraId="45D6C029" w14:textId="77777777" w:rsidTr="004B2FC3">
        <w:trPr>
          <w:trHeight w:val="290"/>
        </w:trPr>
        <w:tc>
          <w:tcPr>
            <w:tcW w:w="2497" w:type="dxa"/>
            <w:tcBorders>
              <w:top w:val="nil"/>
              <w:left w:val="single" w:sz="4" w:space="0" w:color="auto"/>
              <w:bottom w:val="single" w:sz="4" w:space="0" w:color="auto"/>
              <w:right w:val="single" w:sz="4" w:space="0" w:color="auto"/>
            </w:tcBorders>
            <w:shd w:val="clear" w:color="auto" w:fill="auto"/>
            <w:vAlign w:val="center"/>
            <w:hideMark/>
          </w:tcPr>
          <w:p w14:paraId="61CFC100" w14:textId="77777777" w:rsidR="0098719D" w:rsidRPr="0098719D" w:rsidRDefault="0098719D" w:rsidP="0098719D">
            <w:pPr>
              <w:spacing w:after="0" w:line="240" w:lineRule="auto"/>
              <w:rPr>
                <w:rFonts w:ascii="Calibri" w:eastAsia="Times New Roman" w:hAnsi="Calibri" w:cs="Calibri"/>
                <w:i/>
                <w:iCs/>
                <w:color w:val="000000"/>
                <w:lang w:eastAsia="en-GB"/>
              </w:rPr>
            </w:pPr>
            <w:r w:rsidRPr="0098719D">
              <w:rPr>
                <w:rFonts w:ascii="Calibri" w:eastAsia="Times New Roman" w:hAnsi="Calibri" w:cs="Calibri"/>
                <w:i/>
                <w:iCs/>
                <w:color w:val="000000"/>
                <w:lang w:eastAsia="en-GB"/>
              </w:rPr>
              <w:t>Fernandez-Regueiro</w:t>
            </w:r>
          </w:p>
        </w:tc>
        <w:tc>
          <w:tcPr>
            <w:tcW w:w="663" w:type="dxa"/>
            <w:tcBorders>
              <w:top w:val="nil"/>
              <w:left w:val="nil"/>
              <w:bottom w:val="single" w:sz="4" w:space="0" w:color="auto"/>
              <w:right w:val="single" w:sz="4" w:space="0" w:color="auto"/>
            </w:tcBorders>
            <w:shd w:val="clear" w:color="auto" w:fill="auto"/>
            <w:vAlign w:val="center"/>
            <w:hideMark/>
          </w:tcPr>
          <w:p w14:paraId="7A2C0094" w14:textId="77777777" w:rsidR="0098719D" w:rsidRPr="0098719D" w:rsidRDefault="0098719D" w:rsidP="0098719D">
            <w:pPr>
              <w:spacing w:after="0" w:line="240" w:lineRule="auto"/>
              <w:jc w:val="center"/>
              <w:rPr>
                <w:rFonts w:ascii="Calibri" w:eastAsia="Times New Roman" w:hAnsi="Calibri" w:cs="Calibri"/>
                <w:color w:val="000000"/>
                <w:lang w:eastAsia="en-GB"/>
              </w:rPr>
            </w:pPr>
            <w:r w:rsidRPr="0098719D">
              <w:rPr>
                <w:rFonts w:ascii="Calibri" w:eastAsia="Times New Roman" w:hAnsi="Calibri" w:cs="Calibri"/>
                <w:color w:val="000000"/>
                <w:lang w:eastAsia="en-GB"/>
              </w:rPr>
              <w:t>2011</w:t>
            </w:r>
          </w:p>
        </w:tc>
        <w:tc>
          <w:tcPr>
            <w:tcW w:w="2200" w:type="dxa"/>
            <w:tcBorders>
              <w:top w:val="nil"/>
              <w:left w:val="nil"/>
              <w:bottom w:val="single" w:sz="4" w:space="0" w:color="auto"/>
              <w:right w:val="single" w:sz="4" w:space="0" w:color="auto"/>
            </w:tcBorders>
            <w:shd w:val="clear" w:color="auto" w:fill="auto"/>
            <w:vAlign w:val="center"/>
            <w:hideMark/>
          </w:tcPr>
          <w:p w14:paraId="051F16F8" w14:textId="77777777" w:rsidR="0098719D" w:rsidRPr="0098719D" w:rsidRDefault="0098719D" w:rsidP="0098719D">
            <w:pPr>
              <w:spacing w:after="0" w:line="240" w:lineRule="auto"/>
              <w:jc w:val="center"/>
              <w:rPr>
                <w:rFonts w:ascii="Calibri" w:eastAsia="Times New Roman" w:hAnsi="Calibri" w:cs="Calibri"/>
                <w:color w:val="000000"/>
                <w:lang w:eastAsia="en-GB"/>
              </w:rPr>
            </w:pPr>
            <w:r w:rsidRPr="0098719D">
              <w:rPr>
                <w:rFonts w:ascii="Calibri" w:eastAsia="Times New Roman" w:hAnsi="Calibri" w:cs="Calibri"/>
                <w:color w:val="000000"/>
                <w:lang w:eastAsia="en-GB"/>
              </w:rPr>
              <w:t>-***</w:t>
            </w:r>
          </w:p>
        </w:tc>
        <w:tc>
          <w:tcPr>
            <w:tcW w:w="2120" w:type="dxa"/>
            <w:tcBorders>
              <w:top w:val="nil"/>
              <w:left w:val="nil"/>
              <w:bottom w:val="single" w:sz="4" w:space="0" w:color="auto"/>
              <w:right w:val="single" w:sz="4" w:space="0" w:color="auto"/>
            </w:tcBorders>
            <w:shd w:val="clear" w:color="auto" w:fill="auto"/>
            <w:noWrap/>
            <w:vAlign w:val="center"/>
            <w:hideMark/>
          </w:tcPr>
          <w:p w14:paraId="14C0DC79" w14:textId="77777777" w:rsidR="0098719D" w:rsidRPr="0098719D" w:rsidRDefault="0098719D" w:rsidP="0098719D">
            <w:pPr>
              <w:spacing w:after="0" w:line="240" w:lineRule="auto"/>
              <w:jc w:val="center"/>
              <w:rPr>
                <w:rFonts w:ascii="Calibri" w:eastAsia="Times New Roman" w:hAnsi="Calibri" w:cs="Calibri"/>
                <w:color w:val="000000"/>
                <w:lang w:eastAsia="en-GB"/>
              </w:rPr>
            </w:pPr>
            <w:r w:rsidRPr="0098719D">
              <w:rPr>
                <w:rFonts w:ascii="Calibri" w:eastAsia="Times New Roman" w:hAnsi="Calibri" w:cs="Calibri"/>
                <w:color w:val="000000"/>
                <w:lang w:eastAsia="en-GB"/>
              </w:rPr>
              <w:t>-**</w:t>
            </w:r>
          </w:p>
        </w:tc>
      </w:tr>
      <w:tr w:rsidR="0098719D" w:rsidRPr="0098719D" w14:paraId="14E21B5C" w14:textId="77777777" w:rsidTr="004B2FC3">
        <w:trPr>
          <w:trHeight w:val="290"/>
        </w:trPr>
        <w:tc>
          <w:tcPr>
            <w:tcW w:w="2497" w:type="dxa"/>
            <w:tcBorders>
              <w:top w:val="nil"/>
              <w:left w:val="single" w:sz="4" w:space="0" w:color="auto"/>
              <w:bottom w:val="single" w:sz="4" w:space="0" w:color="auto"/>
              <w:right w:val="single" w:sz="4" w:space="0" w:color="auto"/>
            </w:tcBorders>
            <w:shd w:val="clear" w:color="auto" w:fill="auto"/>
            <w:vAlign w:val="center"/>
            <w:hideMark/>
          </w:tcPr>
          <w:p w14:paraId="5A96B331" w14:textId="77777777" w:rsidR="0098719D" w:rsidRPr="0098719D" w:rsidRDefault="0098719D" w:rsidP="0098719D">
            <w:pPr>
              <w:spacing w:after="0" w:line="240" w:lineRule="auto"/>
              <w:rPr>
                <w:rFonts w:ascii="Calibri" w:eastAsia="Times New Roman" w:hAnsi="Calibri" w:cs="Calibri"/>
                <w:color w:val="000000"/>
                <w:lang w:eastAsia="en-GB"/>
              </w:rPr>
            </w:pPr>
            <w:r w:rsidRPr="0098719D">
              <w:rPr>
                <w:rFonts w:ascii="Calibri" w:eastAsia="Times New Roman" w:hAnsi="Calibri" w:cs="Calibri"/>
                <w:color w:val="000000"/>
                <w:lang w:eastAsia="en-GB"/>
              </w:rPr>
              <w:t>Ganeva</w:t>
            </w:r>
          </w:p>
        </w:tc>
        <w:tc>
          <w:tcPr>
            <w:tcW w:w="663" w:type="dxa"/>
            <w:tcBorders>
              <w:top w:val="nil"/>
              <w:left w:val="nil"/>
              <w:bottom w:val="single" w:sz="4" w:space="0" w:color="auto"/>
              <w:right w:val="single" w:sz="4" w:space="0" w:color="auto"/>
            </w:tcBorders>
            <w:shd w:val="clear" w:color="auto" w:fill="auto"/>
            <w:vAlign w:val="center"/>
            <w:hideMark/>
          </w:tcPr>
          <w:p w14:paraId="626557E2" w14:textId="77777777" w:rsidR="0098719D" w:rsidRPr="0098719D" w:rsidRDefault="0098719D" w:rsidP="0098719D">
            <w:pPr>
              <w:spacing w:after="0" w:line="240" w:lineRule="auto"/>
              <w:jc w:val="center"/>
              <w:rPr>
                <w:rFonts w:ascii="Calibri" w:eastAsia="Times New Roman" w:hAnsi="Calibri" w:cs="Calibri"/>
                <w:color w:val="000000"/>
                <w:lang w:eastAsia="en-GB"/>
              </w:rPr>
            </w:pPr>
            <w:r w:rsidRPr="0098719D">
              <w:rPr>
                <w:rFonts w:ascii="Calibri" w:eastAsia="Times New Roman" w:hAnsi="Calibri" w:cs="Calibri"/>
                <w:color w:val="000000"/>
                <w:lang w:eastAsia="en-GB"/>
              </w:rPr>
              <w:t>2016</w:t>
            </w:r>
          </w:p>
        </w:tc>
        <w:tc>
          <w:tcPr>
            <w:tcW w:w="2200" w:type="dxa"/>
            <w:tcBorders>
              <w:top w:val="nil"/>
              <w:left w:val="nil"/>
              <w:bottom w:val="single" w:sz="4" w:space="0" w:color="auto"/>
              <w:right w:val="single" w:sz="4" w:space="0" w:color="auto"/>
            </w:tcBorders>
            <w:shd w:val="clear" w:color="auto" w:fill="auto"/>
            <w:vAlign w:val="center"/>
            <w:hideMark/>
          </w:tcPr>
          <w:p w14:paraId="64E96752" w14:textId="77777777" w:rsidR="0098719D" w:rsidRPr="0098719D" w:rsidRDefault="0098719D" w:rsidP="0098719D">
            <w:pPr>
              <w:spacing w:after="0" w:line="240" w:lineRule="auto"/>
              <w:jc w:val="center"/>
              <w:rPr>
                <w:rFonts w:ascii="Calibri" w:eastAsia="Times New Roman" w:hAnsi="Calibri" w:cs="Calibri"/>
                <w:color w:val="000000"/>
                <w:lang w:eastAsia="en-GB"/>
              </w:rPr>
            </w:pPr>
            <w:r w:rsidRPr="0098719D">
              <w:rPr>
                <w:rFonts w:ascii="Calibri" w:eastAsia="Times New Roman" w:hAnsi="Calibri" w:cs="Calibri"/>
                <w:color w:val="000000"/>
                <w:lang w:eastAsia="en-GB"/>
              </w:rPr>
              <w:t>-**-</w:t>
            </w:r>
          </w:p>
        </w:tc>
        <w:tc>
          <w:tcPr>
            <w:tcW w:w="2120" w:type="dxa"/>
            <w:tcBorders>
              <w:top w:val="nil"/>
              <w:left w:val="nil"/>
              <w:bottom w:val="single" w:sz="4" w:space="0" w:color="auto"/>
              <w:right w:val="single" w:sz="4" w:space="0" w:color="auto"/>
            </w:tcBorders>
            <w:shd w:val="clear" w:color="auto" w:fill="auto"/>
            <w:vAlign w:val="center"/>
            <w:hideMark/>
          </w:tcPr>
          <w:p w14:paraId="692D960B" w14:textId="77777777" w:rsidR="0098719D" w:rsidRPr="0098719D" w:rsidRDefault="0098719D" w:rsidP="0098719D">
            <w:pPr>
              <w:spacing w:after="0" w:line="240" w:lineRule="auto"/>
              <w:jc w:val="center"/>
              <w:rPr>
                <w:rFonts w:ascii="Calibri" w:eastAsia="Times New Roman" w:hAnsi="Calibri" w:cs="Calibri"/>
                <w:color w:val="000000"/>
                <w:lang w:eastAsia="en-GB"/>
              </w:rPr>
            </w:pPr>
            <w:r w:rsidRPr="0098719D">
              <w:rPr>
                <w:rFonts w:ascii="Calibri" w:eastAsia="Times New Roman" w:hAnsi="Calibri" w:cs="Calibri"/>
                <w:color w:val="000000"/>
                <w:lang w:eastAsia="en-GB"/>
              </w:rPr>
              <w:t>--*</w:t>
            </w:r>
          </w:p>
        </w:tc>
      </w:tr>
      <w:tr w:rsidR="0098719D" w:rsidRPr="0098719D" w14:paraId="73D41542" w14:textId="77777777" w:rsidTr="004B2FC3">
        <w:trPr>
          <w:trHeight w:val="290"/>
        </w:trPr>
        <w:tc>
          <w:tcPr>
            <w:tcW w:w="2497" w:type="dxa"/>
            <w:tcBorders>
              <w:top w:val="nil"/>
              <w:left w:val="single" w:sz="4" w:space="0" w:color="auto"/>
              <w:bottom w:val="single" w:sz="4" w:space="0" w:color="auto"/>
              <w:right w:val="single" w:sz="4" w:space="0" w:color="auto"/>
            </w:tcBorders>
            <w:shd w:val="clear" w:color="auto" w:fill="auto"/>
            <w:vAlign w:val="center"/>
            <w:hideMark/>
          </w:tcPr>
          <w:p w14:paraId="41405976" w14:textId="77777777" w:rsidR="0098719D" w:rsidRPr="0098719D" w:rsidRDefault="0098719D" w:rsidP="0098719D">
            <w:pPr>
              <w:spacing w:after="0" w:line="240" w:lineRule="auto"/>
              <w:rPr>
                <w:rFonts w:ascii="Calibri" w:eastAsia="Times New Roman" w:hAnsi="Calibri" w:cs="Calibri"/>
                <w:color w:val="000000"/>
                <w:lang w:eastAsia="en-GB"/>
              </w:rPr>
            </w:pPr>
            <w:r w:rsidRPr="0098719D">
              <w:rPr>
                <w:rFonts w:ascii="Calibri" w:eastAsia="Times New Roman" w:hAnsi="Calibri" w:cs="Calibri"/>
                <w:color w:val="000000"/>
                <w:lang w:eastAsia="en-GB"/>
              </w:rPr>
              <w:t>Ganeva</w:t>
            </w:r>
          </w:p>
        </w:tc>
        <w:tc>
          <w:tcPr>
            <w:tcW w:w="663" w:type="dxa"/>
            <w:tcBorders>
              <w:top w:val="nil"/>
              <w:left w:val="nil"/>
              <w:bottom w:val="single" w:sz="4" w:space="0" w:color="auto"/>
              <w:right w:val="single" w:sz="4" w:space="0" w:color="auto"/>
            </w:tcBorders>
            <w:shd w:val="clear" w:color="auto" w:fill="auto"/>
            <w:vAlign w:val="center"/>
            <w:hideMark/>
          </w:tcPr>
          <w:p w14:paraId="5CB4D0D1" w14:textId="77777777" w:rsidR="0098719D" w:rsidRPr="0098719D" w:rsidRDefault="0098719D" w:rsidP="0098719D">
            <w:pPr>
              <w:spacing w:after="0" w:line="240" w:lineRule="auto"/>
              <w:jc w:val="center"/>
              <w:rPr>
                <w:rFonts w:ascii="Calibri" w:eastAsia="Times New Roman" w:hAnsi="Calibri" w:cs="Calibri"/>
                <w:color w:val="000000"/>
                <w:lang w:eastAsia="en-GB"/>
              </w:rPr>
            </w:pPr>
            <w:r w:rsidRPr="0098719D">
              <w:rPr>
                <w:rFonts w:ascii="Calibri" w:eastAsia="Times New Roman" w:hAnsi="Calibri" w:cs="Calibri"/>
                <w:color w:val="000000"/>
                <w:lang w:eastAsia="en-GB"/>
              </w:rPr>
              <w:t>2013</w:t>
            </w:r>
          </w:p>
        </w:tc>
        <w:tc>
          <w:tcPr>
            <w:tcW w:w="2200" w:type="dxa"/>
            <w:tcBorders>
              <w:top w:val="nil"/>
              <w:left w:val="nil"/>
              <w:bottom w:val="single" w:sz="4" w:space="0" w:color="auto"/>
              <w:right w:val="single" w:sz="4" w:space="0" w:color="auto"/>
            </w:tcBorders>
            <w:shd w:val="clear" w:color="auto" w:fill="auto"/>
            <w:vAlign w:val="center"/>
            <w:hideMark/>
          </w:tcPr>
          <w:p w14:paraId="1FBBD0AC" w14:textId="77777777" w:rsidR="0098719D" w:rsidRPr="0098719D" w:rsidRDefault="0098719D" w:rsidP="0098719D">
            <w:pPr>
              <w:spacing w:after="0" w:line="240" w:lineRule="auto"/>
              <w:jc w:val="center"/>
              <w:rPr>
                <w:rFonts w:ascii="Calibri" w:eastAsia="Times New Roman" w:hAnsi="Calibri" w:cs="Calibri"/>
                <w:color w:val="000000"/>
                <w:lang w:eastAsia="en-GB"/>
              </w:rPr>
            </w:pPr>
            <w:r w:rsidRPr="0098719D">
              <w:rPr>
                <w:rFonts w:ascii="Calibri" w:eastAsia="Times New Roman" w:hAnsi="Calibri" w:cs="Calibri"/>
                <w:color w:val="000000"/>
                <w:lang w:eastAsia="en-GB"/>
              </w:rPr>
              <w:t>-**-</w:t>
            </w:r>
          </w:p>
        </w:tc>
        <w:tc>
          <w:tcPr>
            <w:tcW w:w="2120" w:type="dxa"/>
            <w:tcBorders>
              <w:top w:val="nil"/>
              <w:left w:val="nil"/>
              <w:bottom w:val="single" w:sz="4" w:space="0" w:color="auto"/>
              <w:right w:val="single" w:sz="4" w:space="0" w:color="auto"/>
            </w:tcBorders>
            <w:shd w:val="clear" w:color="auto" w:fill="auto"/>
            <w:vAlign w:val="center"/>
            <w:hideMark/>
          </w:tcPr>
          <w:p w14:paraId="03411BCC" w14:textId="77777777" w:rsidR="0098719D" w:rsidRPr="0098719D" w:rsidRDefault="0098719D" w:rsidP="0098719D">
            <w:pPr>
              <w:spacing w:after="0" w:line="240" w:lineRule="auto"/>
              <w:jc w:val="center"/>
              <w:rPr>
                <w:rFonts w:ascii="Calibri" w:eastAsia="Times New Roman" w:hAnsi="Calibri" w:cs="Calibri"/>
                <w:color w:val="000000"/>
                <w:lang w:eastAsia="en-GB"/>
              </w:rPr>
            </w:pPr>
            <w:r w:rsidRPr="0098719D">
              <w:rPr>
                <w:rFonts w:ascii="Calibri" w:eastAsia="Times New Roman" w:hAnsi="Calibri" w:cs="Calibri"/>
                <w:color w:val="000000"/>
                <w:lang w:eastAsia="en-GB"/>
              </w:rPr>
              <w:t>--*</w:t>
            </w:r>
          </w:p>
        </w:tc>
      </w:tr>
      <w:tr w:rsidR="0098719D" w:rsidRPr="0098719D" w14:paraId="6BE1B447" w14:textId="77777777" w:rsidTr="004B2FC3">
        <w:trPr>
          <w:trHeight w:val="290"/>
        </w:trPr>
        <w:tc>
          <w:tcPr>
            <w:tcW w:w="2497" w:type="dxa"/>
            <w:tcBorders>
              <w:top w:val="nil"/>
              <w:left w:val="single" w:sz="4" w:space="0" w:color="auto"/>
              <w:bottom w:val="single" w:sz="4" w:space="0" w:color="auto"/>
              <w:right w:val="single" w:sz="4" w:space="0" w:color="auto"/>
            </w:tcBorders>
            <w:shd w:val="clear" w:color="auto" w:fill="auto"/>
            <w:vAlign w:val="center"/>
            <w:hideMark/>
          </w:tcPr>
          <w:p w14:paraId="2A406F01" w14:textId="77777777" w:rsidR="0098719D" w:rsidRPr="0098719D" w:rsidRDefault="0098719D" w:rsidP="0098719D">
            <w:pPr>
              <w:spacing w:after="0" w:line="240" w:lineRule="auto"/>
              <w:rPr>
                <w:rFonts w:ascii="Calibri" w:eastAsia="Times New Roman" w:hAnsi="Calibri" w:cs="Calibri"/>
                <w:color w:val="000000"/>
                <w:lang w:eastAsia="en-GB"/>
              </w:rPr>
            </w:pPr>
            <w:r w:rsidRPr="0098719D">
              <w:rPr>
                <w:rFonts w:ascii="Calibri" w:eastAsia="Times New Roman" w:hAnsi="Calibri" w:cs="Calibri"/>
                <w:color w:val="000000"/>
                <w:lang w:eastAsia="en-GB"/>
              </w:rPr>
              <w:t xml:space="preserve">Ganeva </w:t>
            </w:r>
          </w:p>
        </w:tc>
        <w:tc>
          <w:tcPr>
            <w:tcW w:w="663" w:type="dxa"/>
            <w:tcBorders>
              <w:top w:val="nil"/>
              <w:left w:val="nil"/>
              <w:bottom w:val="single" w:sz="4" w:space="0" w:color="auto"/>
              <w:right w:val="single" w:sz="4" w:space="0" w:color="auto"/>
            </w:tcBorders>
            <w:shd w:val="clear" w:color="auto" w:fill="auto"/>
            <w:vAlign w:val="center"/>
            <w:hideMark/>
          </w:tcPr>
          <w:p w14:paraId="04EF44AC" w14:textId="77777777" w:rsidR="0098719D" w:rsidRPr="0098719D" w:rsidRDefault="0098719D" w:rsidP="0098719D">
            <w:pPr>
              <w:spacing w:after="0" w:line="240" w:lineRule="auto"/>
              <w:jc w:val="center"/>
              <w:rPr>
                <w:rFonts w:ascii="Calibri" w:eastAsia="Times New Roman" w:hAnsi="Calibri" w:cs="Calibri"/>
                <w:color w:val="000000"/>
                <w:lang w:eastAsia="en-GB"/>
              </w:rPr>
            </w:pPr>
            <w:r w:rsidRPr="0098719D">
              <w:rPr>
                <w:rFonts w:ascii="Calibri" w:eastAsia="Times New Roman" w:hAnsi="Calibri" w:cs="Calibri"/>
                <w:color w:val="000000"/>
                <w:lang w:eastAsia="en-GB"/>
              </w:rPr>
              <w:t>2007</w:t>
            </w:r>
          </w:p>
        </w:tc>
        <w:tc>
          <w:tcPr>
            <w:tcW w:w="2200" w:type="dxa"/>
            <w:tcBorders>
              <w:top w:val="nil"/>
              <w:left w:val="nil"/>
              <w:bottom w:val="single" w:sz="4" w:space="0" w:color="auto"/>
              <w:right w:val="single" w:sz="4" w:space="0" w:color="auto"/>
            </w:tcBorders>
            <w:shd w:val="clear" w:color="auto" w:fill="auto"/>
            <w:vAlign w:val="center"/>
            <w:hideMark/>
          </w:tcPr>
          <w:p w14:paraId="6A2A1CA6" w14:textId="77777777" w:rsidR="0098719D" w:rsidRPr="0098719D" w:rsidRDefault="0098719D" w:rsidP="0098719D">
            <w:pPr>
              <w:spacing w:after="0" w:line="240" w:lineRule="auto"/>
              <w:jc w:val="center"/>
              <w:rPr>
                <w:rFonts w:ascii="Calibri" w:eastAsia="Times New Roman" w:hAnsi="Calibri" w:cs="Calibri"/>
                <w:color w:val="000000"/>
                <w:lang w:eastAsia="en-GB"/>
              </w:rPr>
            </w:pPr>
            <w:r w:rsidRPr="0098719D">
              <w:rPr>
                <w:rFonts w:ascii="Calibri" w:eastAsia="Times New Roman" w:hAnsi="Calibri" w:cs="Calibri"/>
                <w:color w:val="000000"/>
                <w:lang w:eastAsia="en-GB"/>
              </w:rPr>
              <w:t>-**-</w:t>
            </w:r>
          </w:p>
        </w:tc>
        <w:tc>
          <w:tcPr>
            <w:tcW w:w="2120" w:type="dxa"/>
            <w:tcBorders>
              <w:top w:val="nil"/>
              <w:left w:val="nil"/>
              <w:bottom w:val="single" w:sz="4" w:space="0" w:color="auto"/>
              <w:right w:val="single" w:sz="4" w:space="0" w:color="auto"/>
            </w:tcBorders>
            <w:shd w:val="clear" w:color="auto" w:fill="auto"/>
            <w:vAlign w:val="center"/>
            <w:hideMark/>
          </w:tcPr>
          <w:p w14:paraId="6C9A05E9" w14:textId="77777777" w:rsidR="0098719D" w:rsidRPr="0098719D" w:rsidRDefault="0098719D" w:rsidP="0098719D">
            <w:pPr>
              <w:spacing w:after="0" w:line="240" w:lineRule="auto"/>
              <w:jc w:val="center"/>
              <w:rPr>
                <w:rFonts w:ascii="Calibri" w:eastAsia="Times New Roman" w:hAnsi="Calibri" w:cs="Calibri"/>
                <w:color w:val="000000"/>
                <w:lang w:eastAsia="en-GB"/>
              </w:rPr>
            </w:pPr>
            <w:r w:rsidRPr="0098719D">
              <w:rPr>
                <w:rFonts w:ascii="Calibri" w:eastAsia="Times New Roman" w:hAnsi="Calibri" w:cs="Calibri"/>
                <w:color w:val="000000"/>
                <w:lang w:eastAsia="en-GB"/>
              </w:rPr>
              <w:t>--*</w:t>
            </w:r>
          </w:p>
        </w:tc>
      </w:tr>
      <w:tr w:rsidR="00AC44A9" w:rsidRPr="0098719D" w14:paraId="2BC0ACA5" w14:textId="77777777" w:rsidTr="004B2FC3">
        <w:trPr>
          <w:trHeight w:val="290"/>
        </w:trPr>
        <w:tc>
          <w:tcPr>
            <w:tcW w:w="2497" w:type="dxa"/>
            <w:tcBorders>
              <w:top w:val="nil"/>
              <w:left w:val="single" w:sz="4" w:space="0" w:color="auto"/>
              <w:bottom w:val="single" w:sz="4" w:space="0" w:color="auto"/>
              <w:right w:val="single" w:sz="4" w:space="0" w:color="auto"/>
            </w:tcBorders>
            <w:shd w:val="clear" w:color="auto" w:fill="auto"/>
            <w:vAlign w:val="center"/>
          </w:tcPr>
          <w:p w14:paraId="60537D9A" w14:textId="491E8BD4" w:rsidR="00AC44A9" w:rsidRPr="0098719D" w:rsidRDefault="00AC44A9" w:rsidP="0098719D">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Giardina</w:t>
            </w:r>
          </w:p>
        </w:tc>
        <w:tc>
          <w:tcPr>
            <w:tcW w:w="663" w:type="dxa"/>
            <w:tcBorders>
              <w:top w:val="nil"/>
              <w:left w:val="nil"/>
              <w:bottom w:val="single" w:sz="4" w:space="0" w:color="auto"/>
              <w:right w:val="single" w:sz="4" w:space="0" w:color="auto"/>
            </w:tcBorders>
            <w:shd w:val="clear" w:color="auto" w:fill="auto"/>
            <w:vAlign w:val="center"/>
          </w:tcPr>
          <w:p w14:paraId="7E065F53" w14:textId="16C0159E" w:rsidR="00AC44A9" w:rsidRPr="0098719D" w:rsidRDefault="00AC44A9" w:rsidP="0098719D">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2018</w:t>
            </w:r>
          </w:p>
        </w:tc>
        <w:tc>
          <w:tcPr>
            <w:tcW w:w="2200" w:type="dxa"/>
            <w:tcBorders>
              <w:top w:val="nil"/>
              <w:left w:val="nil"/>
              <w:bottom w:val="single" w:sz="4" w:space="0" w:color="auto"/>
              <w:right w:val="single" w:sz="4" w:space="0" w:color="auto"/>
            </w:tcBorders>
            <w:shd w:val="clear" w:color="auto" w:fill="auto"/>
            <w:vAlign w:val="center"/>
          </w:tcPr>
          <w:p w14:paraId="5583DFF2" w14:textId="658A062B" w:rsidR="00AC44A9" w:rsidRPr="0098719D" w:rsidRDefault="00F4615C" w:rsidP="0098719D">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w:t>
            </w:r>
          </w:p>
        </w:tc>
        <w:tc>
          <w:tcPr>
            <w:tcW w:w="2120" w:type="dxa"/>
            <w:tcBorders>
              <w:top w:val="nil"/>
              <w:left w:val="nil"/>
              <w:bottom w:val="single" w:sz="4" w:space="0" w:color="auto"/>
              <w:right w:val="single" w:sz="4" w:space="0" w:color="auto"/>
            </w:tcBorders>
            <w:shd w:val="clear" w:color="auto" w:fill="auto"/>
            <w:vAlign w:val="center"/>
          </w:tcPr>
          <w:p w14:paraId="3F333D3A" w14:textId="0C2FD9EA" w:rsidR="00AC44A9" w:rsidRPr="0098719D" w:rsidRDefault="00F4615C" w:rsidP="0098719D">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w:t>
            </w:r>
          </w:p>
        </w:tc>
      </w:tr>
      <w:tr w:rsidR="0098719D" w:rsidRPr="0098719D" w14:paraId="49FDD24A" w14:textId="77777777" w:rsidTr="004B2FC3">
        <w:trPr>
          <w:trHeight w:val="290"/>
        </w:trPr>
        <w:tc>
          <w:tcPr>
            <w:tcW w:w="2497" w:type="dxa"/>
            <w:tcBorders>
              <w:top w:val="nil"/>
              <w:left w:val="single" w:sz="4" w:space="0" w:color="auto"/>
              <w:bottom w:val="single" w:sz="4" w:space="0" w:color="auto"/>
              <w:right w:val="single" w:sz="4" w:space="0" w:color="auto"/>
            </w:tcBorders>
            <w:shd w:val="clear" w:color="auto" w:fill="auto"/>
            <w:vAlign w:val="center"/>
            <w:hideMark/>
          </w:tcPr>
          <w:p w14:paraId="4CCDF2B7" w14:textId="77777777" w:rsidR="0098719D" w:rsidRPr="0098719D" w:rsidRDefault="0098719D" w:rsidP="0098719D">
            <w:pPr>
              <w:spacing w:after="0" w:line="240" w:lineRule="auto"/>
              <w:rPr>
                <w:rFonts w:ascii="Calibri" w:eastAsia="Times New Roman" w:hAnsi="Calibri" w:cs="Calibri"/>
                <w:color w:val="000000"/>
                <w:lang w:eastAsia="en-GB"/>
              </w:rPr>
            </w:pPr>
            <w:r w:rsidRPr="0098719D">
              <w:rPr>
                <w:rFonts w:ascii="Calibri" w:eastAsia="Times New Roman" w:hAnsi="Calibri" w:cs="Calibri"/>
                <w:color w:val="000000"/>
                <w:lang w:eastAsia="en-GB"/>
              </w:rPr>
              <w:t>Gonzalez-Martin</w:t>
            </w:r>
          </w:p>
        </w:tc>
        <w:tc>
          <w:tcPr>
            <w:tcW w:w="663" w:type="dxa"/>
            <w:tcBorders>
              <w:top w:val="nil"/>
              <w:left w:val="nil"/>
              <w:bottom w:val="single" w:sz="4" w:space="0" w:color="auto"/>
              <w:right w:val="single" w:sz="4" w:space="0" w:color="auto"/>
            </w:tcBorders>
            <w:shd w:val="clear" w:color="auto" w:fill="auto"/>
            <w:vAlign w:val="center"/>
            <w:hideMark/>
          </w:tcPr>
          <w:p w14:paraId="13E5381D" w14:textId="77777777" w:rsidR="0098719D" w:rsidRPr="0098719D" w:rsidRDefault="0098719D" w:rsidP="0098719D">
            <w:pPr>
              <w:spacing w:after="0" w:line="240" w:lineRule="auto"/>
              <w:jc w:val="center"/>
              <w:rPr>
                <w:rFonts w:ascii="Calibri" w:eastAsia="Times New Roman" w:hAnsi="Calibri" w:cs="Calibri"/>
                <w:color w:val="000000"/>
                <w:lang w:eastAsia="en-GB"/>
              </w:rPr>
            </w:pPr>
            <w:r w:rsidRPr="0098719D">
              <w:rPr>
                <w:rFonts w:ascii="Calibri" w:eastAsia="Times New Roman" w:hAnsi="Calibri" w:cs="Calibri"/>
                <w:color w:val="000000"/>
                <w:lang w:eastAsia="en-GB"/>
              </w:rPr>
              <w:t>1997</w:t>
            </w:r>
          </w:p>
        </w:tc>
        <w:tc>
          <w:tcPr>
            <w:tcW w:w="2200" w:type="dxa"/>
            <w:tcBorders>
              <w:top w:val="nil"/>
              <w:left w:val="nil"/>
              <w:bottom w:val="single" w:sz="4" w:space="0" w:color="auto"/>
              <w:right w:val="single" w:sz="4" w:space="0" w:color="auto"/>
            </w:tcBorders>
            <w:shd w:val="clear" w:color="auto" w:fill="auto"/>
            <w:vAlign w:val="center"/>
            <w:hideMark/>
          </w:tcPr>
          <w:p w14:paraId="5BA67E02" w14:textId="77777777" w:rsidR="0098719D" w:rsidRPr="0098719D" w:rsidRDefault="0098719D" w:rsidP="0098719D">
            <w:pPr>
              <w:spacing w:after="0" w:line="240" w:lineRule="auto"/>
              <w:jc w:val="center"/>
              <w:rPr>
                <w:rFonts w:ascii="Calibri" w:eastAsia="Times New Roman" w:hAnsi="Calibri" w:cs="Calibri"/>
                <w:color w:val="000000"/>
                <w:lang w:eastAsia="en-GB"/>
              </w:rPr>
            </w:pPr>
            <w:r w:rsidRPr="0098719D">
              <w:rPr>
                <w:rFonts w:ascii="Calibri" w:eastAsia="Times New Roman" w:hAnsi="Calibri" w:cs="Calibri"/>
                <w:color w:val="000000"/>
                <w:lang w:eastAsia="en-GB"/>
              </w:rPr>
              <w:t>***-</w:t>
            </w:r>
          </w:p>
        </w:tc>
        <w:tc>
          <w:tcPr>
            <w:tcW w:w="2120" w:type="dxa"/>
            <w:tcBorders>
              <w:top w:val="nil"/>
              <w:left w:val="nil"/>
              <w:bottom w:val="single" w:sz="4" w:space="0" w:color="auto"/>
              <w:right w:val="single" w:sz="4" w:space="0" w:color="auto"/>
            </w:tcBorders>
            <w:shd w:val="clear" w:color="auto" w:fill="auto"/>
            <w:vAlign w:val="center"/>
            <w:hideMark/>
          </w:tcPr>
          <w:p w14:paraId="1D3D0BE3" w14:textId="77777777" w:rsidR="0098719D" w:rsidRPr="0098719D" w:rsidRDefault="0098719D" w:rsidP="0098719D">
            <w:pPr>
              <w:spacing w:after="0" w:line="240" w:lineRule="auto"/>
              <w:jc w:val="center"/>
              <w:rPr>
                <w:rFonts w:ascii="Calibri" w:eastAsia="Times New Roman" w:hAnsi="Calibri" w:cs="Calibri"/>
                <w:color w:val="000000"/>
                <w:lang w:eastAsia="en-GB"/>
              </w:rPr>
            </w:pPr>
            <w:r w:rsidRPr="0098719D">
              <w:rPr>
                <w:rFonts w:ascii="Calibri" w:eastAsia="Times New Roman" w:hAnsi="Calibri" w:cs="Calibri"/>
                <w:color w:val="000000"/>
                <w:lang w:eastAsia="en-GB"/>
              </w:rPr>
              <w:t>*-*</w:t>
            </w:r>
          </w:p>
        </w:tc>
      </w:tr>
      <w:tr w:rsidR="0098719D" w:rsidRPr="0098719D" w14:paraId="7232B2F7" w14:textId="77777777" w:rsidTr="004B2FC3">
        <w:trPr>
          <w:trHeight w:val="290"/>
        </w:trPr>
        <w:tc>
          <w:tcPr>
            <w:tcW w:w="2497" w:type="dxa"/>
            <w:tcBorders>
              <w:top w:val="nil"/>
              <w:left w:val="single" w:sz="4" w:space="0" w:color="auto"/>
              <w:bottom w:val="single" w:sz="4" w:space="0" w:color="auto"/>
              <w:right w:val="single" w:sz="4" w:space="0" w:color="auto"/>
            </w:tcBorders>
            <w:shd w:val="clear" w:color="auto" w:fill="auto"/>
            <w:vAlign w:val="center"/>
            <w:hideMark/>
          </w:tcPr>
          <w:p w14:paraId="29793E05" w14:textId="77777777" w:rsidR="0098719D" w:rsidRPr="0098719D" w:rsidRDefault="0098719D" w:rsidP="0098719D">
            <w:pPr>
              <w:spacing w:after="0" w:line="240" w:lineRule="auto"/>
              <w:rPr>
                <w:rFonts w:ascii="Calibri" w:eastAsia="Times New Roman" w:hAnsi="Calibri" w:cs="Calibri"/>
                <w:color w:val="000000"/>
                <w:lang w:eastAsia="en-GB"/>
              </w:rPr>
            </w:pPr>
            <w:r w:rsidRPr="0098719D">
              <w:rPr>
                <w:rFonts w:ascii="Calibri" w:eastAsia="Times New Roman" w:hAnsi="Calibri" w:cs="Calibri"/>
                <w:color w:val="000000"/>
                <w:lang w:eastAsia="en-GB"/>
              </w:rPr>
              <w:t>Harugeri</w:t>
            </w:r>
          </w:p>
        </w:tc>
        <w:tc>
          <w:tcPr>
            <w:tcW w:w="663" w:type="dxa"/>
            <w:tcBorders>
              <w:top w:val="nil"/>
              <w:left w:val="nil"/>
              <w:bottom w:val="single" w:sz="4" w:space="0" w:color="auto"/>
              <w:right w:val="single" w:sz="4" w:space="0" w:color="auto"/>
            </w:tcBorders>
            <w:shd w:val="clear" w:color="auto" w:fill="auto"/>
            <w:vAlign w:val="center"/>
            <w:hideMark/>
          </w:tcPr>
          <w:p w14:paraId="2B4D1731" w14:textId="77777777" w:rsidR="0098719D" w:rsidRPr="0098719D" w:rsidRDefault="0098719D" w:rsidP="0098719D">
            <w:pPr>
              <w:spacing w:after="0" w:line="240" w:lineRule="auto"/>
              <w:jc w:val="center"/>
              <w:rPr>
                <w:rFonts w:ascii="Calibri" w:eastAsia="Times New Roman" w:hAnsi="Calibri" w:cs="Calibri"/>
                <w:color w:val="000000"/>
                <w:lang w:eastAsia="en-GB"/>
              </w:rPr>
            </w:pPr>
            <w:r w:rsidRPr="0098719D">
              <w:rPr>
                <w:rFonts w:ascii="Calibri" w:eastAsia="Times New Roman" w:hAnsi="Calibri" w:cs="Calibri"/>
                <w:color w:val="000000"/>
                <w:lang w:eastAsia="en-GB"/>
              </w:rPr>
              <w:t>2011</w:t>
            </w:r>
          </w:p>
        </w:tc>
        <w:tc>
          <w:tcPr>
            <w:tcW w:w="2200" w:type="dxa"/>
            <w:tcBorders>
              <w:top w:val="nil"/>
              <w:left w:val="nil"/>
              <w:bottom w:val="single" w:sz="4" w:space="0" w:color="auto"/>
              <w:right w:val="single" w:sz="4" w:space="0" w:color="auto"/>
            </w:tcBorders>
            <w:shd w:val="clear" w:color="auto" w:fill="auto"/>
            <w:vAlign w:val="center"/>
            <w:hideMark/>
          </w:tcPr>
          <w:p w14:paraId="477F7051" w14:textId="77777777" w:rsidR="0098719D" w:rsidRPr="0098719D" w:rsidRDefault="0098719D" w:rsidP="0098719D">
            <w:pPr>
              <w:spacing w:after="0" w:line="240" w:lineRule="auto"/>
              <w:jc w:val="center"/>
              <w:rPr>
                <w:rFonts w:ascii="Calibri" w:eastAsia="Times New Roman" w:hAnsi="Calibri" w:cs="Calibri"/>
                <w:color w:val="000000"/>
                <w:lang w:eastAsia="en-GB"/>
              </w:rPr>
            </w:pPr>
            <w:r w:rsidRPr="0098719D">
              <w:rPr>
                <w:rFonts w:ascii="Calibri" w:eastAsia="Times New Roman" w:hAnsi="Calibri" w:cs="Calibri"/>
                <w:color w:val="000000"/>
                <w:lang w:eastAsia="en-GB"/>
              </w:rPr>
              <w:t>***-</w:t>
            </w:r>
          </w:p>
        </w:tc>
        <w:tc>
          <w:tcPr>
            <w:tcW w:w="2120" w:type="dxa"/>
            <w:tcBorders>
              <w:top w:val="nil"/>
              <w:left w:val="nil"/>
              <w:bottom w:val="single" w:sz="4" w:space="0" w:color="auto"/>
              <w:right w:val="single" w:sz="4" w:space="0" w:color="auto"/>
            </w:tcBorders>
            <w:shd w:val="clear" w:color="auto" w:fill="auto"/>
            <w:vAlign w:val="center"/>
            <w:hideMark/>
          </w:tcPr>
          <w:p w14:paraId="7F04B222" w14:textId="77777777" w:rsidR="0098719D" w:rsidRPr="0098719D" w:rsidRDefault="0098719D" w:rsidP="0098719D">
            <w:pPr>
              <w:spacing w:after="0" w:line="240" w:lineRule="auto"/>
              <w:jc w:val="center"/>
              <w:rPr>
                <w:rFonts w:ascii="Calibri" w:eastAsia="Times New Roman" w:hAnsi="Calibri" w:cs="Calibri"/>
                <w:color w:val="000000"/>
                <w:lang w:eastAsia="en-GB"/>
              </w:rPr>
            </w:pPr>
            <w:r w:rsidRPr="0098719D">
              <w:rPr>
                <w:rFonts w:ascii="Calibri" w:eastAsia="Times New Roman" w:hAnsi="Calibri" w:cs="Calibri"/>
                <w:color w:val="000000"/>
                <w:lang w:eastAsia="en-GB"/>
              </w:rPr>
              <w:t>*-*</w:t>
            </w:r>
          </w:p>
        </w:tc>
      </w:tr>
      <w:tr w:rsidR="00AC44A9" w:rsidRPr="0098719D" w14:paraId="0EC8AA89" w14:textId="77777777" w:rsidTr="004B2FC3">
        <w:trPr>
          <w:trHeight w:val="290"/>
        </w:trPr>
        <w:tc>
          <w:tcPr>
            <w:tcW w:w="2497" w:type="dxa"/>
            <w:tcBorders>
              <w:top w:val="nil"/>
              <w:left w:val="single" w:sz="4" w:space="0" w:color="auto"/>
              <w:bottom w:val="single" w:sz="4" w:space="0" w:color="auto"/>
              <w:right w:val="single" w:sz="4" w:space="0" w:color="auto"/>
            </w:tcBorders>
            <w:shd w:val="clear" w:color="auto" w:fill="auto"/>
            <w:vAlign w:val="center"/>
          </w:tcPr>
          <w:p w14:paraId="02367225" w14:textId="5448CD61" w:rsidR="00AC44A9" w:rsidRPr="0098719D" w:rsidRDefault="00AC44A9" w:rsidP="0098719D">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Kaur</w:t>
            </w:r>
          </w:p>
        </w:tc>
        <w:tc>
          <w:tcPr>
            <w:tcW w:w="663" w:type="dxa"/>
            <w:tcBorders>
              <w:top w:val="nil"/>
              <w:left w:val="nil"/>
              <w:bottom w:val="single" w:sz="4" w:space="0" w:color="auto"/>
              <w:right w:val="single" w:sz="4" w:space="0" w:color="auto"/>
            </w:tcBorders>
            <w:shd w:val="clear" w:color="auto" w:fill="auto"/>
            <w:vAlign w:val="center"/>
          </w:tcPr>
          <w:p w14:paraId="7DC597FB" w14:textId="4D51BF61" w:rsidR="00AC44A9" w:rsidRPr="0098719D" w:rsidRDefault="00AC44A9" w:rsidP="0098719D">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2018</w:t>
            </w:r>
          </w:p>
        </w:tc>
        <w:tc>
          <w:tcPr>
            <w:tcW w:w="2200" w:type="dxa"/>
            <w:tcBorders>
              <w:top w:val="nil"/>
              <w:left w:val="nil"/>
              <w:bottom w:val="single" w:sz="4" w:space="0" w:color="auto"/>
              <w:right w:val="single" w:sz="4" w:space="0" w:color="auto"/>
            </w:tcBorders>
            <w:shd w:val="clear" w:color="auto" w:fill="auto"/>
            <w:vAlign w:val="center"/>
          </w:tcPr>
          <w:p w14:paraId="20646E46" w14:textId="119BE12A" w:rsidR="00AC44A9" w:rsidRPr="0098719D" w:rsidRDefault="00F4615C" w:rsidP="0098719D">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w:t>
            </w:r>
          </w:p>
        </w:tc>
        <w:tc>
          <w:tcPr>
            <w:tcW w:w="2120" w:type="dxa"/>
            <w:tcBorders>
              <w:top w:val="nil"/>
              <w:left w:val="nil"/>
              <w:bottom w:val="single" w:sz="4" w:space="0" w:color="auto"/>
              <w:right w:val="single" w:sz="4" w:space="0" w:color="auto"/>
            </w:tcBorders>
            <w:shd w:val="clear" w:color="auto" w:fill="auto"/>
            <w:vAlign w:val="center"/>
          </w:tcPr>
          <w:p w14:paraId="47E7482C" w14:textId="23179C7E" w:rsidR="00AC44A9" w:rsidRPr="0098719D" w:rsidRDefault="00F4615C" w:rsidP="0098719D">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w:t>
            </w:r>
          </w:p>
        </w:tc>
      </w:tr>
      <w:tr w:rsidR="0098719D" w:rsidRPr="0098719D" w14:paraId="5E952592" w14:textId="77777777" w:rsidTr="004B2FC3">
        <w:trPr>
          <w:trHeight w:val="290"/>
        </w:trPr>
        <w:tc>
          <w:tcPr>
            <w:tcW w:w="2497" w:type="dxa"/>
            <w:tcBorders>
              <w:top w:val="nil"/>
              <w:left w:val="single" w:sz="4" w:space="0" w:color="auto"/>
              <w:bottom w:val="single" w:sz="4" w:space="0" w:color="auto"/>
              <w:right w:val="single" w:sz="4" w:space="0" w:color="auto"/>
            </w:tcBorders>
            <w:shd w:val="clear" w:color="auto" w:fill="auto"/>
            <w:vAlign w:val="center"/>
            <w:hideMark/>
          </w:tcPr>
          <w:p w14:paraId="1E08AE3C" w14:textId="77777777" w:rsidR="0098719D" w:rsidRPr="0098719D" w:rsidRDefault="0098719D" w:rsidP="0098719D">
            <w:pPr>
              <w:spacing w:after="0" w:line="240" w:lineRule="auto"/>
              <w:rPr>
                <w:rFonts w:ascii="Calibri" w:eastAsia="Times New Roman" w:hAnsi="Calibri" w:cs="Calibri"/>
                <w:i/>
                <w:iCs/>
                <w:color w:val="000000"/>
                <w:lang w:eastAsia="en-GB"/>
              </w:rPr>
            </w:pPr>
            <w:r w:rsidRPr="0098719D">
              <w:rPr>
                <w:rFonts w:ascii="Calibri" w:eastAsia="Times New Roman" w:hAnsi="Calibri" w:cs="Calibri"/>
                <w:i/>
                <w:iCs/>
                <w:color w:val="000000"/>
                <w:lang w:eastAsia="en-GB"/>
              </w:rPr>
              <w:t>Lavan</w:t>
            </w:r>
          </w:p>
        </w:tc>
        <w:tc>
          <w:tcPr>
            <w:tcW w:w="663" w:type="dxa"/>
            <w:tcBorders>
              <w:top w:val="nil"/>
              <w:left w:val="nil"/>
              <w:bottom w:val="single" w:sz="4" w:space="0" w:color="auto"/>
              <w:right w:val="single" w:sz="4" w:space="0" w:color="auto"/>
            </w:tcBorders>
            <w:shd w:val="clear" w:color="auto" w:fill="auto"/>
            <w:vAlign w:val="center"/>
            <w:hideMark/>
          </w:tcPr>
          <w:p w14:paraId="4E10FB0E" w14:textId="77777777" w:rsidR="0098719D" w:rsidRPr="0098719D" w:rsidRDefault="0098719D" w:rsidP="0098719D">
            <w:pPr>
              <w:spacing w:after="0" w:line="240" w:lineRule="auto"/>
              <w:jc w:val="center"/>
              <w:rPr>
                <w:rFonts w:ascii="Calibri" w:eastAsia="Times New Roman" w:hAnsi="Calibri" w:cs="Calibri"/>
                <w:color w:val="000000"/>
                <w:lang w:eastAsia="en-GB"/>
              </w:rPr>
            </w:pPr>
            <w:r w:rsidRPr="0098719D">
              <w:rPr>
                <w:rFonts w:ascii="Calibri" w:eastAsia="Times New Roman" w:hAnsi="Calibri" w:cs="Calibri"/>
                <w:color w:val="000000"/>
                <w:lang w:eastAsia="en-GB"/>
              </w:rPr>
              <w:t>2017</w:t>
            </w:r>
          </w:p>
        </w:tc>
        <w:tc>
          <w:tcPr>
            <w:tcW w:w="2200" w:type="dxa"/>
            <w:tcBorders>
              <w:top w:val="nil"/>
              <w:left w:val="nil"/>
              <w:bottom w:val="single" w:sz="4" w:space="0" w:color="auto"/>
              <w:right w:val="single" w:sz="4" w:space="0" w:color="auto"/>
            </w:tcBorders>
            <w:shd w:val="clear" w:color="auto" w:fill="auto"/>
            <w:vAlign w:val="center"/>
            <w:hideMark/>
          </w:tcPr>
          <w:p w14:paraId="7C7C17F5" w14:textId="77777777" w:rsidR="0098719D" w:rsidRPr="0098719D" w:rsidRDefault="0098719D" w:rsidP="0098719D">
            <w:pPr>
              <w:spacing w:after="0" w:line="240" w:lineRule="auto"/>
              <w:jc w:val="center"/>
              <w:rPr>
                <w:rFonts w:ascii="Calibri" w:eastAsia="Times New Roman" w:hAnsi="Calibri" w:cs="Calibri"/>
                <w:color w:val="000000"/>
                <w:lang w:eastAsia="en-GB"/>
              </w:rPr>
            </w:pPr>
            <w:r w:rsidRPr="0098719D">
              <w:rPr>
                <w:rFonts w:ascii="Calibri" w:eastAsia="Times New Roman" w:hAnsi="Calibri" w:cs="Calibri"/>
                <w:color w:val="000000"/>
                <w:lang w:eastAsia="en-GB"/>
              </w:rPr>
              <w:t>****</w:t>
            </w:r>
          </w:p>
        </w:tc>
        <w:tc>
          <w:tcPr>
            <w:tcW w:w="2120" w:type="dxa"/>
            <w:tcBorders>
              <w:top w:val="nil"/>
              <w:left w:val="nil"/>
              <w:bottom w:val="single" w:sz="4" w:space="0" w:color="auto"/>
              <w:right w:val="single" w:sz="4" w:space="0" w:color="auto"/>
            </w:tcBorders>
            <w:shd w:val="clear" w:color="auto" w:fill="auto"/>
            <w:vAlign w:val="center"/>
            <w:hideMark/>
          </w:tcPr>
          <w:p w14:paraId="3FB003F8" w14:textId="77777777" w:rsidR="0098719D" w:rsidRPr="0098719D" w:rsidRDefault="0098719D" w:rsidP="0098719D">
            <w:pPr>
              <w:spacing w:after="0" w:line="240" w:lineRule="auto"/>
              <w:jc w:val="center"/>
              <w:rPr>
                <w:rFonts w:ascii="Calibri" w:eastAsia="Times New Roman" w:hAnsi="Calibri" w:cs="Calibri"/>
                <w:color w:val="000000"/>
                <w:lang w:eastAsia="en-GB"/>
              </w:rPr>
            </w:pPr>
            <w:r w:rsidRPr="0098719D">
              <w:rPr>
                <w:rFonts w:ascii="Calibri" w:eastAsia="Times New Roman" w:hAnsi="Calibri" w:cs="Calibri"/>
                <w:color w:val="000000"/>
                <w:lang w:eastAsia="en-GB"/>
              </w:rPr>
              <w:t>***</w:t>
            </w:r>
          </w:p>
        </w:tc>
      </w:tr>
      <w:tr w:rsidR="0098719D" w:rsidRPr="0098719D" w14:paraId="135884FC" w14:textId="77777777" w:rsidTr="004B2FC3">
        <w:trPr>
          <w:trHeight w:val="290"/>
        </w:trPr>
        <w:tc>
          <w:tcPr>
            <w:tcW w:w="2497" w:type="dxa"/>
            <w:tcBorders>
              <w:top w:val="nil"/>
              <w:left w:val="single" w:sz="4" w:space="0" w:color="auto"/>
              <w:bottom w:val="single" w:sz="4" w:space="0" w:color="auto"/>
              <w:right w:val="single" w:sz="4" w:space="0" w:color="auto"/>
            </w:tcBorders>
            <w:shd w:val="clear" w:color="auto" w:fill="auto"/>
            <w:vAlign w:val="center"/>
            <w:hideMark/>
          </w:tcPr>
          <w:p w14:paraId="1ACF4222" w14:textId="77777777" w:rsidR="0098719D" w:rsidRPr="0098719D" w:rsidRDefault="0098719D" w:rsidP="0098719D">
            <w:pPr>
              <w:spacing w:after="0" w:line="240" w:lineRule="auto"/>
              <w:rPr>
                <w:rFonts w:ascii="Calibri" w:eastAsia="Times New Roman" w:hAnsi="Calibri" w:cs="Calibri"/>
                <w:i/>
                <w:iCs/>
                <w:color w:val="000000"/>
                <w:lang w:eastAsia="en-GB"/>
              </w:rPr>
            </w:pPr>
            <w:r w:rsidRPr="0098719D">
              <w:rPr>
                <w:rFonts w:ascii="Calibri" w:eastAsia="Times New Roman" w:hAnsi="Calibri" w:cs="Calibri"/>
                <w:i/>
                <w:iCs/>
                <w:color w:val="000000"/>
                <w:lang w:eastAsia="en-GB"/>
              </w:rPr>
              <w:t>Leach</w:t>
            </w:r>
          </w:p>
        </w:tc>
        <w:tc>
          <w:tcPr>
            <w:tcW w:w="663" w:type="dxa"/>
            <w:tcBorders>
              <w:top w:val="nil"/>
              <w:left w:val="nil"/>
              <w:bottom w:val="single" w:sz="4" w:space="0" w:color="auto"/>
              <w:right w:val="single" w:sz="4" w:space="0" w:color="auto"/>
            </w:tcBorders>
            <w:shd w:val="clear" w:color="auto" w:fill="auto"/>
            <w:vAlign w:val="center"/>
            <w:hideMark/>
          </w:tcPr>
          <w:p w14:paraId="1C28E201" w14:textId="77777777" w:rsidR="0098719D" w:rsidRPr="0098719D" w:rsidRDefault="0098719D" w:rsidP="0098719D">
            <w:pPr>
              <w:spacing w:after="0" w:line="240" w:lineRule="auto"/>
              <w:jc w:val="center"/>
              <w:rPr>
                <w:rFonts w:ascii="Calibri" w:eastAsia="Times New Roman" w:hAnsi="Calibri" w:cs="Calibri"/>
                <w:color w:val="000000"/>
                <w:lang w:eastAsia="en-GB"/>
              </w:rPr>
            </w:pPr>
            <w:r w:rsidRPr="0098719D">
              <w:rPr>
                <w:rFonts w:ascii="Calibri" w:eastAsia="Times New Roman" w:hAnsi="Calibri" w:cs="Calibri"/>
                <w:color w:val="000000"/>
                <w:lang w:eastAsia="en-GB"/>
              </w:rPr>
              <w:t>1986</w:t>
            </w:r>
          </w:p>
        </w:tc>
        <w:tc>
          <w:tcPr>
            <w:tcW w:w="2200" w:type="dxa"/>
            <w:tcBorders>
              <w:top w:val="nil"/>
              <w:left w:val="nil"/>
              <w:bottom w:val="single" w:sz="4" w:space="0" w:color="auto"/>
              <w:right w:val="single" w:sz="4" w:space="0" w:color="auto"/>
            </w:tcBorders>
            <w:shd w:val="clear" w:color="auto" w:fill="auto"/>
            <w:vAlign w:val="center"/>
            <w:hideMark/>
          </w:tcPr>
          <w:p w14:paraId="6772F70F" w14:textId="77777777" w:rsidR="0098719D" w:rsidRPr="0098719D" w:rsidRDefault="0098719D" w:rsidP="0098719D">
            <w:pPr>
              <w:spacing w:after="0" w:line="240" w:lineRule="auto"/>
              <w:jc w:val="center"/>
              <w:rPr>
                <w:rFonts w:ascii="Calibri" w:eastAsia="Times New Roman" w:hAnsi="Calibri" w:cs="Calibri"/>
                <w:color w:val="000000"/>
                <w:lang w:eastAsia="en-GB"/>
              </w:rPr>
            </w:pPr>
            <w:r w:rsidRPr="0098719D">
              <w:rPr>
                <w:rFonts w:ascii="Calibri" w:eastAsia="Times New Roman" w:hAnsi="Calibri" w:cs="Calibri"/>
                <w:color w:val="000000"/>
                <w:lang w:eastAsia="en-GB"/>
              </w:rPr>
              <w:t>***-</w:t>
            </w:r>
          </w:p>
        </w:tc>
        <w:tc>
          <w:tcPr>
            <w:tcW w:w="2120" w:type="dxa"/>
            <w:tcBorders>
              <w:top w:val="nil"/>
              <w:left w:val="nil"/>
              <w:bottom w:val="single" w:sz="4" w:space="0" w:color="auto"/>
              <w:right w:val="single" w:sz="4" w:space="0" w:color="auto"/>
            </w:tcBorders>
            <w:shd w:val="clear" w:color="auto" w:fill="auto"/>
            <w:vAlign w:val="center"/>
            <w:hideMark/>
          </w:tcPr>
          <w:p w14:paraId="407CEB37" w14:textId="77777777" w:rsidR="0098719D" w:rsidRPr="0098719D" w:rsidRDefault="0098719D" w:rsidP="0098719D">
            <w:pPr>
              <w:spacing w:after="0" w:line="240" w:lineRule="auto"/>
              <w:jc w:val="center"/>
              <w:rPr>
                <w:rFonts w:ascii="Calibri" w:eastAsia="Times New Roman" w:hAnsi="Calibri" w:cs="Calibri"/>
                <w:color w:val="000000"/>
                <w:lang w:eastAsia="en-GB"/>
              </w:rPr>
            </w:pPr>
            <w:r w:rsidRPr="0098719D">
              <w:rPr>
                <w:rFonts w:ascii="Calibri" w:eastAsia="Times New Roman" w:hAnsi="Calibri" w:cs="Calibri"/>
                <w:color w:val="000000"/>
                <w:lang w:eastAsia="en-GB"/>
              </w:rPr>
              <w:t>*-*</w:t>
            </w:r>
          </w:p>
        </w:tc>
      </w:tr>
      <w:tr w:rsidR="0098719D" w:rsidRPr="0098719D" w14:paraId="45BF9E3D" w14:textId="77777777" w:rsidTr="004B2FC3">
        <w:trPr>
          <w:trHeight w:val="290"/>
        </w:trPr>
        <w:tc>
          <w:tcPr>
            <w:tcW w:w="2497" w:type="dxa"/>
            <w:tcBorders>
              <w:top w:val="nil"/>
              <w:left w:val="single" w:sz="4" w:space="0" w:color="auto"/>
              <w:bottom w:val="single" w:sz="4" w:space="0" w:color="auto"/>
              <w:right w:val="single" w:sz="4" w:space="0" w:color="auto"/>
            </w:tcBorders>
            <w:shd w:val="clear" w:color="auto" w:fill="auto"/>
            <w:vAlign w:val="center"/>
            <w:hideMark/>
          </w:tcPr>
          <w:p w14:paraId="45F26F85" w14:textId="77777777" w:rsidR="0098719D" w:rsidRPr="0098719D" w:rsidRDefault="0098719D" w:rsidP="0098719D">
            <w:pPr>
              <w:spacing w:after="0" w:line="240" w:lineRule="auto"/>
              <w:rPr>
                <w:rFonts w:ascii="Calibri" w:eastAsia="Times New Roman" w:hAnsi="Calibri" w:cs="Calibri"/>
                <w:color w:val="000000"/>
                <w:lang w:eastAsia="en-GB"/>
              </w:rPr>
            </w:pPr>
            <w:r w:rsidRPr="0098719D">
              <w:rPr>
                <w:rFonts w:ascii="Calibri" w:eastAsia="Times New Roman" w:hAnsi="Calibri" w:cs="Calibri"/>
                <w:color w:val="000000"/>
                <w:lang w:eastAsia="en-GB"/>
              </w:rPr>
              <w:t>Mohebbi</w:t>
            </w:r>
          </w:p>
        </w:tc>
        <w:tc>
          <w:tcPr>
            <w:tcW w:w="663" w:type="dxa"/>
            <w:tcBorders>
              <w:top w:val="nil"/>
              <w:left w:val="nil"/>
              <w:bottom w:val="single" w:sz="4" w:space="0" w:color="auto"/>
              <w:right w:val="single" w:sz="4" w:space="0" w:color="auto"/>
            </w:tcBorders>
            <w:shd w:val="clear" w:color="auto" w:fill="auto"/>
            <w:vAlign w:val="center"/>
            <w:hideMark/>
          </w:tcPr>
          <w:p w14:paraId="00AD0F19" w14:textId="77777777" w:rsidR="0098719D" w:rsidRPr="0098719D" w:rsidRDefault="0098719D" w:rsidP="0098719D">
            <w:pPr>
              <w:spacing w:after="0" w:line="240" w:lineRule="auto"/>
              <w:jc w:val="center"/>
              <w:rPr>
                <w:rFonts w:ascii="Calibri" w:eastAsia="Times New Roman" w:hAnsi="Calibri" w:cs="Calibri"/>
                <w:color w:val="000000"/>
                <w:lang w:eastAsia="en-GB"/>
              </w:rPr>
            </w:pPr>
            <w:r w:rsidRPr="0098719D">
              <w:rPr>
                <w:rFonts w:ascii="Calibri" w:eastAsia="Times New Roman" w:hAnsi="Calibri" w:cs="Calibri"/>
                <w:color w:val="000000"/>
                <w:lang w:eastAsia="en-GB"/>
              </w:rPr>
              <w:t>2010</w:t>
            </w:r>
          </w:p>
        </w:tc>
        <w:tc>
          <w:tcPr>
            <w:tcW w:w="2200" w:type="dxa"/>
            <w:tcBorders>
              <w:top w:val="nil"/>
              <w:left w:val="nil"/>
              <w:bottom w:val="single" w:sz="4" w:space="0" w:color="auto"/>
              <w:right w:val="single" w:sz="4" w:space="0" w:color="auto"/>
            </w:tcBorders>
            <w:shd w:val="clear" w:color="auto" w:fill="auto"/>
            <w:vAlign w:val="center"/>
            <w:hideMark/>
          </w:tcPr>
          <w:p w14:paraId="0A28D407" w14:textId="77777777" w:rsidR="0098719D" w:rsidRPr="0098719D" w:rsidRDefault="0098719D" w:rsidP="0098719D">
            <w:pPr>
              <w:spacing w:after="0" w:line="240" w:lineRule="auto"/>
              <w:jc w:val="center"/>
              <w:rPr>
                <w:rFonts w:ascii="Calibri" w:eastAsia="Times New Roman" w:hAnsi="Calibri" w:cs="Calibri"/>
                <w:color w:val="000000"/>
                <w:lang w:eastAsia="en-GB"/>
              </w:rPr>
            </w:pPr>
            <w:r w:rsidRPr="0098719D">
              <w:rPr>
                <w:rFonts w:ascii="Calibri" w:eastAsia="Times New Roman" w:hAnsi="Calibri" w:cs="Calibri"/>
                <w:color w:val="000000"/>
                <w:lang w:eastAsia="en-GB"/>
              </w:rPr>
              <w:t>***-</w:t>
            </w:r>
          </w:p>
        </w:tc>
        <w:tc>
          <w:tcPr>
            <w:tcW w:w="2120" w:type="dxa"/>
            <w:tcBorders>
              <w:top w:val="nil"/>
              <w:left w:val="nil"/>
              <w:bottom w:val="single" w:sz="4" w:space="0" w:color="auto"/>
              <w:right w:val="single" w:sz="4" w:space="0" w:color="auto"/>
            </w:tcBorders>
            <w:shd w:val="clear" w:color="auto" w:fill="auto"/>
            <w:vAlign w:val="center"/>
            <w:hideMark/>
          </w:tcPr>
          <w:p w14:paraId="5B5ACEE2" w14:textId="77777777" w:rsidR="0098719D" w:rsidRPr="0098719D" w:rsidRDefault="0098719D" w:rsidP="0098719D">
            <w:pPr>
              <w:spacing w:after="0" w:line="240" w:lineRule="auto"/>
              <w:jc w:val="center"/>
              <w:rPr>
                <w:rFonts w:ascii="Calibri" w:eastAsia="Times New Roman" w:hAnsi="Calibri" w:cs="Calibri"/>
                <w:color w:val="000000"/>
                <w:lang w:eastAsia="en-GB"/>
              </w:rPr>
            </w:pPr>
            <w:r w:rsidRPr="0098719D">
              <w:rPr>
                <w:rFonts w:ascii="Calibri" w:eastAsia="Times New Roman" w:hAnsi="Calibri" w:cs="Calibri"/>
                <w:color w:val="000000"/>
                <w:lang w:eastAsia="en-GB"/>
              </w:rPr>
              <w:t>*-*</w:t>
            </w:r>
          </w:p>
        </w:tc>
      </w:tr>
      <w:tr w:rsidR="0098719D" w:rsidRPr="0098719D" w14:paraId="4CEF9CF4" w14:textId="77777777" w:rsidTr="004B2FC3">
        <w:trPr>
          <w:trHeight w:val="290"/>
        </w:trPr>
        <w:tc>
          <w:tcPr>
            <w:tcW w:w="2497" w:type="dxa"/>
            <w:tcBorders>
              <w:top w:val="nil"/>
              <w:left w:val="single" w:sz="4" w:space="0" w:color="auto"/>
              <w:bottom w:val="single" w:sz="4" w:space="0" w:color="auto"/>
              <w:right w:val="single" w:sz="4" w:space="0" w:color="auto"/>
            </w:tcBorders>
            <w:shd w:val="clear" w:color="auto" w:fill="auto"/>
            <w:vAlign w:val="center"/>
            <w:hideMark/>
          </w:tcPr>
          <w:p w14:paraId="63265C21" w14:textId="77777777" w:rsidR="0098719D" w:rsidRPr="0098719D" w:rsidRDefault="0098719D" w:rsidP="0098719D">
            <w:pPr>
              <w:spacing w:after="0" w:line="240" w:lineRule="auto"/>
              <w:rPr>
                <w:rFonts w:ascii="Calibri" w:eastAsia="Times New Roman" w:hAnsi="Calibri" w:cs="Calibri"/>
                <w:color w:val="000000"/>
                <w:lang w:eastAsia="en-GB"/>
              </w:rPr>
            </w:pPr>
            <w:r w:rsidRPr="0098719D">
              <w:rPr>
                <w:rFonts w:ascii="Calibri" w:eastAsia="Times New Roman" w:hAnsi="Calibri" w:cs="Calibri"/>
                <w:color w:val="000000"/>
                <w:lang w:eastAsia="en-GB"/>
              </w:rPr>
              <w:t>Mugosa</w:t>
            </w:r>
          </w:p>
        </w:tc>
        <w:tc>
          <w:tcPr>
            <w:tcW w:w="663" w:type="dxa"/>
            <w:tcBorders>
              <w:top w:val="nil"/>
              <w:left w:val="nil"/>
              <w:bottom w:val="single" w:sz="4" w:space="0" w:color="auto"/>
              <w:right w:val="single" w:sz="4" w:space="0" w:color="auto"/>
            </w:tcBorders>
            <w:shd w:val="clear" w:color="auto" w:fill="auto"/>
            <w:vAlign w:val="center"/>
            <w:hideMark/>
          </w:tcPr>
          <w:p w14:paraId="51A95340" w14:textId="77777777" w:rsidR="0098719D" w:rsidRPr="0098719D" w:rsidRDefault="0098719D" w:rsidP="0098719D">
            <w:pPr>
              <w:spacing w:after="0" w:line="240" w:lineRule="auto"/>
              <w:jc w:val="center"/>
              <w:rPr>
                <w:rFonts w:ascii="Calibri" w:eastAsia="Times New Roman" w:hAnsi="Calibri" w:cs="Calibri"/>
                <w:color w:val="000000"/>
                <w:lang w:eastAsia="en-GB"/>
              </w:rPr>
            </w:pPr>
            <w:r w:rsidRPr="0098719D">
              <w:rPr>
                <w:rFonts w:ascii="Calibri" w:eastAsia="Times New Roman" w:hAnsi="Calibri" w:cs="Calibri"/>
                <w:color w:val="000000"/>
                <w:lang w:eastAsia="en-GB"/>
              </w:rPr>
              <w:t>2015</w:t>
            </w:r>
          </w:p>
        </w:tc>
        <w:tc>
          <w:tcPr>
            <w:tcW w:w="2200" w:type="dxa"/>
            <w:tcBorders>
              <w:top w:val="nil"/>
              <w:left w:val="nil"/>
              <w:bottom w:val="single" w:sz="4" w:space="0" w:color="auto"/>
              <w:right w:val="single" w:sz="4" w:space="0" w:color="auto"/>
            </w:tcBorders>
            <w:shd w:val="clear" w:color="auto" w:fill="auto"/>
            <w:vAlign w:val="center"/>
            <w:hideMark/>
          </w:tcPr>
          <w:p w14:paraId="67EBA25A" w14:textId="77777777" w:rsidR="0098719D" w:rsidRPr="0098719D" w:rsidRDefault="0098719D" w:rsidP="0098719D">
            <w:pPr>
              <w:spacing w:after="0" w:line="240" w:lineRule="auto"/>
              <w:jc w:val="center"/>
              <w:rPr>
                <w:rFonts w:ascii="Calibri" w:eastAsia="Times New Roman" w:hAnsi="Calibri" w:cs="Calibri"/>
                <w:color w:val="000000"/>
                <w:lang w:eastAsia="en-GB"/>
              </w:rPr>
            </w:pPr>
            <w:r w:rsidRPr="0098719D">
              <w:rPr>
                <w:rFonts w:ascii="Calibri" w:eastAsia="Times New Roman" w:hAnsi="Calibri" w:cs="Calibri"/>
                <w:color w:val="000000"/>
                <w:lang w:eastAsia="en-GB"/>
              </w:rPr>
              <w:t>-*--</w:t>
            </w:r>
          </w:p>
        </w:tc>
        <w:tc>
          <w:tcPr>
            <w:tcW w:w="2120" w:type="dxa"/>
            <w:tcBorders>
              <w:top w:val="nil"/>
              <w:left w:val="nil"/>
              <w:bottom w:val="single" w:sz="4" w:space="0" w:color="auto"/>
              <w:right w:val="single" w:sz="4" w:space="0" w:color="auto"/>
            </w:tcBorders>
            <w:shd w:val="clear" w:color="auto" w:fill="auto"/>
            <w:vAlign w:val="center"/>
            <w:hideMark/>
          </w:tcPr>
          <w:p w14:paraId="55C04A4F" w14:textId="77777777" w:rsidR="0098719D" w:rsidRPr="0098719D" w:rsidRDefault="0098719D" w:rsidP="0098719D">
            <w:pPr>
              <w:spacing w:after="0" w:line="240" w:lineRule="auto"/>
              <w:jc w:val="center"/>
              <w:rPr>
                <w:rFonts w:ascii="Calibri" w:eastAsia="Times New Roman" w:hAnsi="Calibri" w:cs="Calibri"/>
                <w:color w:val="000000"/>
                <w:lang w:eastAsia="en-GB"/>
              </w:rPr>
            </w:pPr>
            <w:r w:rsidRPr="0098719D">
              <w:rPr>
                <w:rFonts w:ascii="Calibri" w:eastAsia="Times New Roman" w:hAnsi="Calibri" w:cs="Calibri"/>
                <w:color w:val="000000"/>
                <w:lang w:eastAsia="en-GB"/>
              </w:rPr>
              <w:t>--*</w:t>
            </w:r>
          </w:p>
        </w:tc>
      </w:tr>
      <w:tr w:rsidR="0098719D" w:rsidRPr="0098719D" w14:paraId="7A164AC1" w14:textId="77777777" w:rsidTr="004B2FC3">
        <w:trPr>
          <w:trHeight w:val="290"/>
        </w:trPr>
        <w:tc>
          <w:tcPr>
            <w:tcW w:w="2497" w:type="dxa"/>
            <w:tcBorders>
              <w:top w:val="nil"/>
              <w:left w:val="single" w:sz="4" w:space="0" w:color="auto"/>
              <w:bottom w:val="single" w:sz="4" w:space="0" w:color="auto"/>
              <w:right w:val="single" w:sz="4" w:space="0" w:color="auto"/>
            </w:tcBorders>
            <w:shd w:val="clear" w:color="auto" w:fill="auto"/>
            <w:vAlign w:val="center"/>
            <w:hideMark/>
          </w:tcPr>
          <w:p w14:paraId="1F6517D5" w14:textId="77777777" w:rsidR="0098719D" w:rsidRPr="0098719D" w:rsidRDefault="0098719D" w:rsidP="0098719D">
            <w:pPr>
              <w:spacing w:after="0" w:line="240" w:lineRule="auto"/>
              <w:rPr>
                <w:rFonts w:ascii="Calibri" w:eastAsia="Times New Roman" w:hAnsi="Calibri" w:cs="Calibri"/>
                <w:i/>
                <w:iCs/>
                <w:color w:val="000000"/>
                <w:lang w:eastAsia="en-GB"/>
              </w:rPr>
            </w:pPr>
            <w:r w:rsidRPr="0098719D">
              <w:rPr>
                <w:rFonts w:ascii="Calibri" w:eastAsia="Times New Roman" w:hAnsi="Calibri" w:cs="Calibri"/>
                <w:i/>
                <w:iCs/>
                <w:color w:val="000000"/>
                <w:lang w:eastAsia="en-GB"/>
              </w:rPr>
              <w:t>O'Connor</w:t>
            </w:r>
          </w:p>
        </w:tc>
        <w:tc>
          <w:tcPr>
            <w:tcW w:w="663" w:type="dxa"/>
            <w:tcBorders>
              <w:top w:val="nil"/>
              <w:left w:val="nil"/>
              <w:bottom w:val="single" w:sz="4" w:space="0" w:color="auto"/>
              <w:right w:val="single" w:sz="4" w:space="0" w:color="auto"/>
            </w:tcBorders>
            <w:shd w:val="clear" w:color="auto" w:fill="auto"/>
            <w:vAlign w:val="center"/>
            <w:hideMark/>
          </w:tcPr>
          <w:p w14:paraId="044FFC08" w14:textId="77777777" w:rsidR="0098719D" w:rsidRPr="0098719D" w:rsidRDefault="0098719D" w:rsidP="0098719D">
            <w:pPr>
              <w:spacing w:after="0" w:line="240" w:lineRule="auto"/>
              <w:jc w:val="center"/>
              <w:rPr>
                <w:rFonts w:ascii="Calibri" w:eastAsia="Times New Roman" w:hAnsi="Calibri" w:cs="Calibri"/>
                <w:color w:val="000000"/>
                <w:lang w:eastAsia="en-GB"/>
              </w:rPr>
            </w:pPr>
            <w:r w:rsidRPr="0098719D">
              <w:rPr>
                <w:rFonts w:ascii="Calibri" w:eastAsia="Times New Roman" w:hAnsi="Calibri" w:cs="Calibri"/>
                <w:color w:val="000000"/>
                <w:lang w:eastAsia="en-GB"/>
              </w:rPr>
              <w:t>2012</w:t>
            </w:r>
          </w:p>
        </w:tc>
        <w:tc>
          <w:tcPr>
            <w:tcW w:w="2200" w:type="dxa"/>
            <w:tcBorders>
              <w:top w:val="nil"/>
              <w:left w:val="nil"/>
              <w:bottom w:val="single" w:sz="4" w:space="0" w:color="auto"/>
              <w:right w:val="single" w:sz="4" w:space="0" w:color="auto"/>
            </w:tcBorders>
            <w:shd w:val="clear" w:color="auto" w:fill="auto"/>
            <w:vAlign w:val="center"/>
            <w:hideMark/>
          </w:tcPr>
          <w:p w14:paraId="0B84747C" w14:textId="77777777" w:rsidR="0098719D" w:rsidRPr="0098719D" w:rsidRDefault="0098719D" w:rsidP="0098719D">
            <w:pPr>
              <w:spacing w:after="0" w:line="240" w:lineRule="auto"/>
              <w:jc w:val="center"/>
              <w:rPr>
                <w:rFonts w:ascii="Calibri" w:eastAsia="Times New Roman" w:hAnsi="Calibri" w:cs="Calibri"/>
                <w:color w:val="000000"/>
                <w:lang w:eastAsia="en-GB"/>
              </w:rPr>
            </w:pPr>
            <w:r w:rsidRPr="0098719D">
              <w:rPr>
                <w:rFonts w:ascii="Calibri" w:eastAsia="Times New Roman" w:hAnsi="Calibri" w:cs="Calibri"/>
                <w:color w:val="000000"/>
                <w:lang w:eastAsia="en-GB"/>
              </w:rPr>
              <w:t>***-</w:t>
            </w:r>
          </w:p>
        </w:tc>
        <w:tc>
          <w:tcPr>
            <w:tcW w:w="2120" w:type="dxa"/>
            <w:tcBorders>
              <w:top w:val="nil"/>
              <w:left w:val="nil"/>
              <w:bottom w:val="single" w:sz="4" w:space="0" w:color="auto"/>
              <w:right w:val="single" w:sz="4" w:space="0" w:color="auto"/>
            </w:tcBorders>
            <w:shd w:val="clear" w:color="auto" w:fill="auto"/>
            <w:vAlign w:val="center"/>
            <w:hideMark/>
          </w:tcPr>
          <w:p w14:paraId="737567A6" w14:textId="77777777" w:rsidR="0098719D" w:rsidRPr="0098719D" w:rsidRDefault="0098719D" w:rsidP="0098719D">
            <w:pPr>
              <w:spacing w:after="0" w:line="240" w:lineRule="auto"/>
              <w:jc w:val="center"/>
              <w:rPr>
                <w:rFonts w:ascii="Calibri" w:eastAsia="Times New Roman" w:hAnsi="Calibri" w:cs="Calibri"/>
                <w:color w:val="000000"/>
                <w:lang w:eastAsia="en-GB"/>
              </w:rPr>
            </w:pPr>
            <w:r w:rsidRPr="0098719D">
              <w:rPr>
                <w:rFonts w:ascii="Calibri" w:eastAsia="Times New Roman" w:hAnsi="Calibri" w:cs="Calibri"/>
                <w:color w:val="000000"/>
                <w:lang w:eastAsia="en-GB"/>
              </w:rPr>
              <w:t>*-*</w:t>
            </w:r>
          </w:p>
        </w:tc>
      </w:tr>
      <w:tr w:rsidR="0098719D" w:rsidRPr="0098719D" w14:paraId="4DBDDEDD" w14:textId="77777777" w:rsidTr="004B2FC3">
        <w:trPr>
          <w:trHeight w:val="290"/>
        </w:trPr>
        <w:tc>
          <w:tcPr>
            <w:tcW w:w="2497" w:type="dxa"/>
            <w:tcBorders>
              <w:top w:val="nil"/>
              <w:left w:val="single" w:sz="4" w:space="0" w:color="auto"/>
              <w:bottom w:val="single" w:sz="4" w:space="0" w:color="auto"/>
              <w:right w:val="single" w:sz="4" w:space="0" w:color="auto"/>
            </w:tcBorders>
            <w:shd w:val="clear" w:color="auto" w:fill="auto"/>
            <w:vAlign w:val="center"/>
            <w:hideMark/>
          </w:tcPr>
          <w:p w14:paraId="443ECD44" w14:textId="5C5A2D67" w:rsidR="0098719D" w:rsidRPr="0098719D" w:rsidRDefault="0098719D" w:rsidP="0098719D">
            <w:pPr>
              <w:spacing w:after="0" w:line="240" w:lineRule="auto"/>
              <w:rPr>
                <w:rFonts w:ascii="Calibri" w:eastAsia="Times New Roman" w:hAnsi="Calibri" w:cs="Calibri"/>
                <w:i/>
                <w:iCs/>
                <w:color w:val="000000"/>
                <w:lang w:eastAsia="en-GB"/>
              </w:rPr>
            </w:pPr>
            <w:r w:rsidRPr="0098719D">
              <w:rPr>
                <w:rFonts w:ascii="Calibri" w:eastAsia="Times New Roman" w:hAnsi="Calibri" w:cs="Calibri"/>
                <w:i/>
                <w:iCs/>
                <w:color w:val="000000"/>
                <w:lang w:eastAsia="en-GB"/>
              </w:rPr>
              <w:t>O'Conno</w:t>
            </w:r>
            <w:r w:rsidR="00AB30EA">
              <w:rPr>
                <w:rFonts w:ascii="Calibri" w:eastAsia="Times New Roman" w:hAnsi="Calibri" w:cs="Calibri"/>
                <w:i/>
                <w:iCs/>
                <w:color w:val="000000"/>
                <w:lang w:eastAsia="en-GB"/>
              </w:rPr>
              <w:t>r†</w:t>
            </w:r>
          </w:p>
        </w:tc>
        <w:tc>
          <w:tcPr>
            <w:tcW w:w="663" w:type="dxa"/>
            <w:tcBorders>
              <w:top w:val="nil"/>
              <w:left w:val="nil"/>
              <w:bottom w:val="single" w:sz="4" w:space="0" w:color="auto"/>
              <w:right w:val="single" w:sz="4" w:space="0" w:color="auto"/>
            </w:tcBorders>
            <w:shd w:val="clear" w:color="auto" w:fill="auto"/>
            <w:vAlign w:val="center"/>
            <w:hideMark/>
          </w:tcPr>
          <w:p w14:paraId="38558CFC" w14:textId="77777777" w:rsidR="0098719D" w:rsidRPr="0098719D" w:rsidRDefault="0098719D" w:rsidP="0098719D">
            <w:pPr>
              <w:spacing w:after="0" w:line="240" w:lineRule="auto"/>
              <w:jc w:val="center"/>
              <w:rPr>
                <w:rFonts w:ascii="Calibri" w:eastAsia="Times New Roman" w:hAnsi="Calibri" w:cs="Calibri"/>
                <w:color w:val="000000"/>
                <w:lang w:eastAsia="en-GB"/>
              </w:rPr>
            </w:pPr>
            <w:r w:rsidRPr="0098719D">
              <w:rPr>
                <w:rFonts w:ascii="Calibri" w:eastAsia="Times New Roman" w:hAnsi="Calibri" w:cs="Calibri"/>
                <w:color w:val="000000"/>
                <w:lang w:eastAsia="en-GB"/>
              </w:rPr>
              <w:t>2016</w:t>
            </w:r>
          </w:p>
        </w:tc>
        <w:tc>
          <w:tcPr>
            <w:tcW w:w="2200" w:type="dxa"/>
            <w:tcBorders>
              <w:top w:val="nil"/>
              <w:left w:val="nil"/>
              <w:bottom w:val="single" w:sz="4" w:space="0" w:color="auto"/>
              <w:right w:val="single" w:sz="4" w:space="0" w:color="auto"/>
            </w:tcBorders>
            <w:shd w:val="clear" w:color="auto" w:fill="auto"/>
            <w:vAlign w:val="center"/>
            <w:hideMark/>
          </w:tcPr>
          <w:p w14:paraId="450E6CDF" w14:textId="77777777" w:rsidR="0098719D" w:rsidRPr="0098719D" w:rsidRDefault="0098719D" w:rsidP="0098719D">
            <w:pPr>
              <w:spacing w:after="0" w:line="240" w:lineRule="auto"/>
              <w:jc w:val="center"/>
              <w:rPr>
                <w:rFonts w:ascii="Calibri" w:eastAsia="Times New Roman" w:hAnsi="Calibri" w:cs="Calibri"/>
                <w:color w:val="000000"/>
                <w:lang w:eastAsia="en-GB"/>
              </w:rPr>
            </w:pPr>
            <w:r w:rsidRPr="0098719D">
              <w:rPr>
                <w:rFonts w:ascii="Calibri" w:eastAsia="Times New Roman" w:hAnsi="Calibri" w:cs="Calibri"/>
                <w:color w:val="000000"/>
                <w:lang w:eastAsia="en-GB"/>
              </w:rPr>
              <w:t>N/A</w:t>
            </w:r>
          </w:p>
        </w:tc>
        <w:tc>
          <w:tcPr>
            <w:tcW w:w="2120" w:type="dxa"/>
            <w:tcBorders>
              <w:top w:val="nil"/>
              <w:left w:val="nil"/>
              <w:bottom w:val="single" w:sz="4" w:space="0" w:color="auto"/>
              <w:right w:val="single" w:sz="4" w:space="0" w:color="auto"/>
            </w:tcBorders>
            <w:shd w:val="clear" w:color="auto" w:fill="auto"/>
            <w:vAlign w:val="center"/>
            <w:hideMark/>
          </w:tcPr>
          <w:p w14:paraId="5573923C" w14:textId="77777777" w:rsidR="0098719D" w:rsidRPr="0098719D" w:rsidRDefault="0098719D" w:rsidP="0098719D">
            <w:pPr>
              <w:spacing w:after="0" w:line="240" w:lineRule="auto"/>
              <w:jc w:val="center"/>
              <w:rPr>
                <w:rFonts w:ascii="Calibri" w:eastAsia="Times New Roman" w:hAnsi="Calibri" w:cs="Calibri"/>
                <w:color w:val="000000"/>
                <w:lang w:eastAsia="en-GB"/>
              </w:rPr>
            </w:pPr>
            <w:r w:rsidRPr="0098719D">
              <w:rPr>
                <w:rFonts w:ascii="Calibri" w:eastAsia="Times New Roman" w:hAnsi="Calibri" w:cs="Calibri"/>
                <w:color w:val="000000"/>
                <w:lang w:eastAsia="en-GB"/>
              </w:rPr>
              <w:t>N/A</w:t>
            </w:r>
          </w:p>
        </w:tc>
      </w:tr>
      <w:tr w:rsidR="0098719D" w:rsidRPr="0098719D" w14:paraId="10DBE15F" w14:textId="77777777" w:rsidTr="004B2FC3">
        <w:trPr>
          <w:trHeight w:val="290"/>
        </w:trPr>
        <w:tc>
          <w:tcPr>
            <w:tcW w:w="2497" w:type="dxa"/>
            <w:tcBorders>
              <w:top w:val="nil"/>
              <w:left w:val="single" w:sz="4" w:space="0" w:color="auto"/>
              <w:bottom w:val="single" w:sz="4" w:space="0" w:color="auto"/>
              <w:right w:val="single" w:sz="4" w:space="0" w:color="auto"/>
            </w:tcBorders>
            <w:shd w:val="clear" w:color="auto" w:fill="auto"/>
            <w:vAlign w:val="center"/>
            <w:hideMark/>
          </w:tcPr>
          <w:p w14:paraId="081BA0AD" w14:textId="77777777" w:rsidR="0098719D" w:rsidRPr="0098719D" w:rsidRDefault="0098719D" w:rsidP="0098719D">
            <w:pPr>
              <w:spacing w:after="0" w:line="240" w:lineRule="auto"/>
              <w:rPr>
                <w:rFonts w:ascii="Calibri" w:eastAsia="Times New Roman" w:hAnsi="Calibri" w:cs="Calibri"/>
                <w:i/>
                <w:iCs/>
                <w:color w:val="000000"/>
                <w:lang w:eastAsia="en-GB"/>
              </w:rPr>
            </w:pPr>
            <w:r w:rsidRPr="0098719D">
              <w:rPr>
                <w:rFonts w:ascii="Calibri" w:eastAsia="Times New Roman" w:hAnsi="Calibri" w:cs="Calibri"/>
                <w:i/>
                <w:iCs/>
                <w:color w:val="000000"/>
                <w:lang w:eastAsia="en-GB"/>
              </w:rPr>
              <w:t>Onder</w:t>
            </w:r>
          </w:p>
        </w:tc>
        <w:tc>
          <w:tcPr>
            <w:tcW w:w="663" w:type="dxa"/>
            <w:tcBorders>
              <w:top w:val="nil"/>
              <w:left w:val="nil"/>
              <w:bottom w:val="single" w:sz="4" w:space="0" w:color="auto"/>
              <w:right w:val="single" w:sz="4" w:space="0" w:color="auto"/>
            </w:tcBorders>
            <w:shd w:val="clear" w:color="auto" w:fill="auto"/>
            <w:vAlign w:val="center"/>
            <w:hideMark/>
          </w:tcPr>
          <w:p w14:paraId="26EFBEE7" w14:textId="77777777" w:rsidR="0098719D" w:rsidRPr="0098719D" w:rsidRDefault="0098719D" w:rsidP="0098719D">
            <w:pPr>
              <w:spacing w:after="0" w:line="240" w:lineRule="auto"/>
              <w:jc w:val="center"/>
              <w:rPr>
                <w:rFonts w:ascii="Calibri" w:eastAsia="Times New Roman" w:hAnsi="Calibri" w:cs="Calibri"/>
                <w:color w:val="000000"/>
                <w:lang w:eastAsia="en-GB"/>
              </w:rPr>
            </w:pPr>
            <w:r w:rsidRPr="0098719D">
              <w:rPr>
                <w:rFonts w:ascii="Calibri" w:eastAsia="Times New Roman" w:hAnsi="Calibri" w:cs="Calibri"/>
                <w:color w:val="000000"/>
                <w:lang w:eastAsia="en-GB"/>
              </w:rPr>
              <w:t>2010</w:t>
            </w:r>
          </w:p>
        </w:tc>
        <w:tc>
          <w:tcPr>
            <w:tcW w:w="2200" w:type="dxa"/>
            <w:tcBorders>
              <w:top w:val="nil"/>
              <w:left w:val="nil"/>
              <w:bottom w:val="single" w:sz="4" w:space="0" w:color="auto"/>
              <w:right w:val="single" w:sz="4" w:space="0" w:color="auto"/>
            </w:tcBorders>
            <w:shd w:val="clear" w:color="auto" w:fill="auto"/>
            <w:vAlign w:val="center"/>
            <w:hideMark/>
          </w:tcPr>
          <w:p w14:paraId="567B6448" w14:textId="77777777" w:rsidR="0098719D" w:rsidRPr="0098719D" w:rsidRDefault="0098719D" w:rsidP="0098719D">
            <w:pPr>
              <w:spacing w:after="0" w:line="240" w:lineRule="auto"/>
              <w:jc w:val="center"/>
              <w:rPr>
                <w:rFonts w:ascii="Calibri" w:eastAsia="Times New Roman" w:hAnsi="Calibri" w:cs="Calibri"/>
                <w:color w:val="000000"/>
                <w:lang w:eastAsia="en-GB"/>
              </w:rPr>
            </w:pPr>
            <w:r w:rsidRPr="0098719D">
              <w:rPr>
                <w:rFonts w:ascii="Calibri" w:eastAsia="Times New Roman" w:hAnsi="Calibri" w:cs="Calibri"/>
                <w:color w:val="000000"/>
                <w:lang w:eastAsia="en-GB"/>
              </w:rPr>
              <w:t>****</w:t>
            </w:r>
          </w:p>
        </w:tc>
        <w:tc>
          <w:tcPr>
            <w:tcW w:w="2120" w:type="dxa"/>
            <w:tcBorders>
              <w:top w:val="nil"/>
              <w:left w:val="nil"/>
              <w:bottom w:val="single" w:sz="4" w:space="0" w:color="auto"/>
              <w:right w:val="single" w:sz="4" w:space="0" w:color="auto"/>
            </w:tcBorders>
            <w:shd w:val="clear" w:color="auto" w:fill="auto"/>
            <w:vAlign w:val="center"/>
            <w:hideMark/>
          </w:tcPr>
          <w:p w14:paraId="56C2F91E" w14:textId="77777777" w:rsidR="0098719D" w:rsidRPr="0098719D" w:rsidRDefault="0098719D" w:rsidP="0098719D">
            <w:pPr>
              <w:spacing w:after="0" w:line="240" w:lineRule="auto"/>
              <w:jc w:val="center"/>
              <w:rPr>
                <w:rFonts w:ascii="Calibri" w:eastAsia="Times New Roman" w:hAnsi="Calibri" w:cs="Calibri"/>
                <w:color w:val="000000"/>
                <w:lang w:eastAsia="en-GB"/>
              </w:rPr>
            </w:pPr>
            <w:r w:rsidRPr="0098719D">
              <w:rPr>
                <w:rFonts w:ascii="Calibri" w:eastAsia="Times New Roman" w:hAnsi="Calibri" w:cs="Calibri"/>
                <w:color w:val="000000"/>
                <w:lang w:eastAsia="en-GB"/>
              </w:rPr>
              <w:t>***</w:t>
            </w:r>
          </w:p>
        </w:tc>
      </w:tr>
      <w:tr w:rsidR="0098719D" w:rsidRPr="0098719D" w14:paraId="500EB277" w14:textId="77777777" w:rsidTr="004B2FC3">
        <w:trPr>
          <w:trHeight w:val="290"/>
        </w:trPr>
        <w:tc>
          <w:tcPr>
            <w:tcW w:w="2497" w:type="dxa"/>
            <w:tcBorders>
              <w:top w:val="nil"/>
              <w:left w:val="single" w:sz="4" w:space="0" w:color="auto"/>
              <w:bottom w:val="single" w:sz="4" w:space="0" w:color="auto"/>
              <w:right w:val="single" w:sz="4" w:space="0" w:color="auto"/>
            </w:tcBorders>
            <w:shd w:val="clear" w:color="auto" w:fill="auto"/>
            <w:vAlign w:val="center"/>
            <w:hideMark/>
          </w:tcPr>
          <w:p w14:paraId="5E61BB72" w14:textId="6E9A440A" w:rsidR="0098719D" w:rsidRPr="0098719D" w:rsidRDefault="00AB30EA" w:rsidP="0098719D">
            <w:pPr>
              <w:spacing w:after="0" w:line="240" w:lineRule="auto"/>
              <w:rPr>
                <w:rFonts w:ascii="Calibri" w:eastAsia="Times New Roman" w:hAnsi="Calibri" w:cs="Calibri"/>
                <w:i/>
                <w:iCs/>
                <w:color w:val="000000"/>
                <w:lang w:eastAsia="en-GB"/>
              </w:rPr>
            </w:pPr>
            <w:r>
              <w:rPr>
                <w:rFonts w:ascii="Calibri" w:eastAsia="Times New Roman" w:hAnsi="Calibri" w:cs="Calibri"/>
                <w:i/>
                <w:iCs/>
                <w:color w:val="000000"/>
                <w:lang w:eastAsia="en-GB"/>
              </w:rPr>
              <w:t>O'Sullivan†</w:t>
            </w:r>
          </w:p>
        </w:tc>
        <w:tc>
          <w:tcPr>
            <w:tcW w:w="663" w:type="dxa"/>
            <w:tcBorders>
              <w:top w:val="nil"/>
              <w:left w:val="nil"/>
              <w:bottom w:val="single" w:sz="4" w:space="0" w:color="auto"/>
              <w:right w:val="single" w:sz="4" w:space="0" w:color="auto"/>
            </w:tcBorders>
            <w:shd w:val="clear" w:color="auto" w:fill="auto"/>
            <w:vAlign w:val="center"/>
            <w:hideMark/>
          </w:tcPr>
          <w:p w14:paraId="6660FE9F" w14:textId="77777777" w:rsidR="0098719D" w:rsidRPr="0098719D" w:rsidRDefault="0098719D" w:rsidP="0098719D">
            <w:pPr>
              <w:spacing w:after="0" w:line="240" w:lineRule="auto"/>
              <w:jc w:val="center"/>
              <w:rPr>
                <w:rFonts w:ascii="Calibri" w:eastAsia="Times New Roman" w:hAnsi="Calibri" w:cs="Calibri"/>
                <w:color w:val="000000"/>
                <w:lang w:eastAsia="en-GB"/>
              </w:rPr>
            </w:pPr>
            <w:r w:rsidRPr="0098719D">
              <w:rPr>
                <w:rFonts w:ascii="Calibri" w:eastAsia="Times New Roman" w:hAnsi="Calibri" w:cs="Calibri"/>
                <w:color w:val="000000"/>
                <w:lang w:eastAsia="en-GB"/>
              </w:rPr>
              <w:t>2016</w:t>
            </w:r>
          </w:p>
        </w:tc>
        <w:tc>
          <w:tcPr>
            <w:tcW w:w="2200" w:type="dxa"/>
            <w:tcBorders>
              <w:top w:val="nil"/>
              <w:left w:val="nil"/>
              <w:bottom w:val="single" w:sz="4" w:space="0" w:color="auto"/>
              <w:right w:val="single" w:sz="4" w:space="0" w:color="auto"/>
            </w:tcBorders>
            <w:shd w:val="clear" w:color="auto" w:fill="auto"/>
            <w:vAlign w:val="center"/>
            <w:hideMark/>
          </w:tcPr>
          <w:p w14:paraId="3214FD6B" w14:textId="77777777" w:rsidR="0098719D" w:rsidRPr="0098719D" w:rsidRDefault="0098719D" w:rsidP="0098719D">
            <w:pPr>
              <w:spacing w:after="0" w:line="240" w:lineRule="auto"/>
              <w:jc w:val="center"/>
              <w:rPr>
                <w:rFonts w:ascii="Calibri" w:eastAsia="Times New Roman" w:hAnsi="Calibri" w:cs="Calibri"/>
                <w:color w:val="000000"/>
                <w:lang w:eastAsia="en-GB"/>
              </w:rPr>
            </w:pPr>
            <w:r w:rsidRPr="0098719D">
              <w:rPr>
                <w:rFonts w:ascii="Calibri" w:eastAsia="Times New Roman" w:hAnsi="Calibri" w:cs="Calibri"/>
                <w:color w:val="000000"/>
                <w:lang w:eastAsia="en-GB"/>
              </w:rPr>
              <w:t>N/A</w:t>
            </w:r>
          </w:p>
        </w:tc>
        <w:tc>
          <w:tcPr>
            <w:tcW w:w="2120" w:type="dxa"/>
            <w:tcBorders>
              <w:top w:val="nil"/>
              <w:left w:val="nil"/>
              <w:bottom w:val="single" w:sz="4" w:space="0" w:color="auto"/>
              <w:right w:val="single" w:sz="4" w:space="0" w:color="auto"/>
            </w:tcBorders>
            <w:shd w:val="clear" w:color="auto" w:fill="auto"/>
            <w:vAlign w:val="center"/>
            <w:hideMark/>
          </w:tcPr>
          <w:p w14:paraId="6A4ABBAC" w14:textId="77777777" w:rsidR="0098719D" w:rsidRPr="0098719D" w:rsidRDefault="0098719D" w:rsidP="0098719D">
            <w:pPr>
              <w:spacing w:after="0" w:line="240" w:lineRule="auto"/>
              <w:jc w:val="center"/>
              <w:rPr>
                <w:rFonts w:ascii="Calibri" w:eastAsia="Times New Roman" w:hAnsi="Calibri" w:cs="Calibri"/>
                <w:color w:val="000000"/>
                <w:lang w:eastAsia="en-GB"/>
              </w:rPr>
            </w:pPr>
            <w:r w:rsidRPr="0098719D">
              <w:rPr>
                <w:rFonts w:ascii="Calibri" w:eastAsia="Times New Roman" w:hAnsi="Calibri" w:cs="Calibri"/>
                <w:color w:val="000000"/>
                <w:lang w:eastAsia="en-GB"/>
              </w:rPr>
              <w:t>N/A</w:t>
            </w:r>
          </w:p>
        </w:tc>
      </w:tr>
      <w:tr w:rsidR="0098719D" w:rsidRPr="0098719D" w14:paraId="4CDA2BF7" w14:textId="77777777" w:rsidTr="004B2FC3">
        <w:trPr>
          <w:trHeight w:val="290"/>
        </w:trPr>
        <w:tc>
          <w:tcPr>
            <w:tcW w:w="2497" w:type="dxa"/>
            <w:tcBorders>
              <w:top w:val="nil"/>
              <w:left w:val="single" w:sz="4" w:space="0" w:color="auto"/>
              <w:bottom w:val="single" w:sz="4" w:space="0" w:color="auto"/>
              <w:right w:val="single" w:sz="4" w:space="0" w:color="auto"/>
            </w:tcBorders>
            <w:shd w:val="clear" w:color="auto" w:fill="auto"/>
            <w:vAlign w:val="center"/>
            <w:hideMark/>
          </w:tcPr>
          <w:p w14:paraId="5EE1582B" w14:textId="77777777" w:rsidR="0098719D" w:rsidRPr="0098719D" w:rsidRDefault="0098719D" w:rsidP="0098719D">
            <w:pPr>
              <w:spacing w:after="0" w:line="240" w:lineRule="auto"/>
              <w:rPr>
                <w:rFonts w:ascii="Calibri" w:eastAsia="Times New Roman" w:hAnsi="Calibri" w:cs="Calibri"/>
                <w:i/>
                <w:iCs/>
                <w:color w:val="000000"/>
                <w:lang w:eastAsia="en-GB"/>
              </w:rPr>
            </w:pPr>
            <w:r w:rsidRPr="0098719D">
              <w:rPr>
                <w:rFonts w:ascii="Calibri" w:eastAsia="Times New Roman" w:hAnsi="Calibri" w:cs="Calibri"/>
                <w:i/>
                <w:iCs/>
                <w:color w:val="000000"/>
                <w:lang w:eastAsia="en-GB"/>
              </w:rPr>
              <w:t>Reichel</w:t>
            </w:r>
          </w:p>
        </w:tc>
        <w:tc>
          <w:tcPr>
            <w:tcW w:w="663" w:type="dxa"/>
            <w:tcBorders>
              <w:top w:val="nil"/>
              <w:left w:val="nil"/>
              <w:bottom w:val="single" w:sz="4" w:space="0" w:color="auto"/>
              <w:right w:val="single" w:sz="4" w:space="0" w:color="auto"/>
            </w:tcBorders>
            <w:shd w:val="clear" w:color="auto" w:fill="auto"/>
            <w:vAlign w:val="center"/>
            <w:hideMark/>
          </w:tcPr>
          <w:p w14:paraId="06005AC4" w14:textId="77777777" w:rsidR="0098719D" w:rsidRPr="0098719D" w:rsidRDefault="0098719D" w:rsidP="0098719D">
            <w:pPr>
              <w:spacing w:after="0" w:line="240" w:lineRule="auto"/>
              <w:jc w:val="center"/>
              <w:rPr>
                <w:rFonts w:ascii="Calibri" w:eastAsia="Times New Roman" w:hAnsi="Calibri" w:cs="Calibri"/>
                <w:color w:val="000000"/>
                <w:lang w:eastAsia="en-GB"/>
              </w:rPr>
            </w:pPr>
            <w:r w:rsidRPr="0098719D">
              <w:rPr>
                <w:rFonts w:ascii="Calibri" w:eastAsia="Times New Roman" w:hAnsi="Calibri" w:cs="Calibri"/>
                <w:color w:val="000000"/>
                <w:lang w:eastAsia="en-GB"/>
              </w:rPr>
              <w:t>1965</w:t>
            </w:r>
          </w:p>
        </w:tc>
        <w:tc>
          <w:tcPr>
            <w:tcW w:w="2200" w:type="dxa"/>
            <w:tcBorders>
              <w:top w:val="nil"/>
              <w:left w:val="nil"/>
              <w:bottom w:val="single" w:sz="4" w:space="0" w:color="auto"/>
              <w:right w:val="single" w:sz="4" w:space="0" w:color="auto"/>
            </w:tcBorders>
            <w:shd w:val="clear" w:color="auto" w:fill="auto"/>
            <w:vAlign w:val="center"/>
            <w:hideMark/>
          </w:tcPr>
          <w:p w14:paraId="56A6CF51" w14:textId="77777777" w:rsidR="0098719D" w:rsidRPr="0098719D" w:rsidRDefault="0098719D" w:rsidP="0098719D">
            <w:pPr>
              <w:spacing w:after="0" w:line="240" w:lineRule="auto"/>
              <w:jc w:val="center"/>
              <w:rPr>
                <w:rFonts w:ascii="Calibri" w:eastAsia="Times New Roman" w:hAnsi="Calibri" w:cs="Calibri"/>
                <w:color w:val="000000"/>
                <w:lang w:eastAsia="en-GB"/>
              </w:rPr>
            </w:pPr>
            <w:r w:rsidRPr="0098719D">
              <w:rPr>
                <w:rFonts w:ascii="Calibri" w:eastAsia="Times New Roman" w:hAnsi="Calibri" w:cs="Calibri"/>
                <w:color w:val="000000"/>
                <w:lang w:eastAsia="en-GB"/>
              </w:rPr>
              <w:t>***-</w:t>
            </w:r>
          </w:p>
        </w:tc>
        <w:tc>
          <w:tcPr>
            <w:tcW w:w="2120" w:type="dxa"/>
            <w:tcBorders>
              <w:top w:val="nil"/>
              <w:left w:val="nil"/>
              <w:bottom w:val="single" w:sz="4" w:space="0" w:color="auto"/>
              <w:right w:val="single" w:sz="4" w:space="0" w:color="auto"/>
            </w:tcBorders>
            <w:shd w:val="clear" w:color="auto" w:fill="auto"/>
            <w:noWrap/>
            <w:vAlign w:val="center"/>
            <w:hideMark/>
          </w:tcPr>
          <w:p w14:paraId="586C4684" w14:textId="77777777" w:rsidR="0098719D" w:rsidRPr="0098719D" w:rsidRDefault="0098719D" w:rsidP="0098719D">
            <w:pPr>
              <w:spacing w:after="0" w:line="240" w:lineRule="auto"/>
              <w:jc w:val="center"/>
              <w:rPr>
                <w:rFonts w:ascii="Calibri" w:eastAsia="Times New Roman" w:hAnsi="Calibri" w:cs="Calibri"/>
                <w:color w:val="000000"/>
                <w:lang w:eastAsia="en-GB"/>
              </w:rPr>
            </w:pPr>
            <w:r w:rsidRPr="0098719D">
              <w:rPr>
                <w:rFonts w:ascii="Calibri" w:eastAsia="Times New Roman" w:hAnsi="Calibri" w:cs="Calibri"/>
                <w:color w:val="000000"/>
                <w:lang w:eastAsia="en-GB"/>
              </w:rPr>
              <w:t>***</w:t>
            </w:r>
          </w:p>
        </w:tc>
      </w:tr>
      <w:tr w:rsidR="0098719D" w:rsidRPr="0098719D" w14:paraId="4401ECC3" w14:textId="77777777" w:rsidTr="004B2FC3">
        <w:trPr>
          <w:trHeight w:val="290"/>
        </w:trPr>
        <w:tc>
          <w:tcPr>
            <w:tcW w:w="2497" w:type="dxa"/>
            <w:vMerge w:val="restart"/>
            <w:tcBorders>
              <w:top w:val="nil"/>
              <w:left w:val="single" w:sz="4" w:space="0" w:color="auto"/>
              <w:bottom w:val="single" w:sz="4" w:space="0" w:color="auto"/>
              <w:right w:val="single" w:sz="4" w:space="0" w:color="auto"/>
            </w:tcBorders>
            <w:shd w:val="clear" w:color="auto" w:fill="auto"/>
            <w:vAlign w:val="center"/>
            <w:hideMark/>
          </w:tcPr>
          <w:p w14:paraId="68D57FCA" w14:textId="77777777" w:rsidR="0098719D" w:rsidRPr="0098719D" w:rsidRDefault="0098719D" w:rsidP="0098719D">
            <w:pPr>
              <w:spacing w:after="0" w:line="240" w:lineRule="auto"/>
              <w:rPr>
                <w:rFonts w:ascii="Calibri" w:eastAsia="Times New Roman" w:hAnsi="Calibri" w:cs="Calibri"/>
                <w:i/>
                <w:iCs/>
                <w:color w:val="000000"/>
                <w:lang w:eastAsia="en-GB"/>
              </w:rPr>
            </w:pPr>
            <w:r w:rsidRPr="0098719D">
              <w:rPr>
                <w:rFonts w:ascii="Calibri" w:eastAsia="Times New Roman" w:hAnsi="Calibri" w:cs="Calibri"/>
                <w:i/>
                <w:iCs/>
                <w:color w:val="000000"/>
                <w:lang w:eastAsia="en-GB"/>
              </w:rPr>
              <w:t>Tangiisuran</w:t>
            </w:r>
          </w:p>
        </w:tc>
        <w:tc>
          <w:tcPr>
            <w:tcW w:w="663" w:type="dxa"/>
            <w:tcBorders>
              <w:top w:val="nil"/>
              <w:left w:val="nil"/>
              <w:bottom w:val="single" w:sz="4" w:space="0" w:color="auto"/>
              <w:right w:val="single" w:sz="4" w:space="0" w:color="auto"/>
            </w:tcBorders>
            <w:shd w:val="clear" w:color="auto" w:fill="auto"/>
            <w:vAlign w:val="center"/>
            <w:hideMark/>
          </w:tcPr>
          <w:p w14:paraId="61945926" w14:textId="77777777" w:rsidR="0098719D" w:rsidRPr="0098719D" w:rsidRDefault="0098719D" w:rsidP="0098719D">
            <w:pPr>
              <w:spacing w:after="0" w:line="240" w:lineRule="auto"/>
              <w:jc w:val="center"/>
              <w:rPr>
                <w:rFonts w:ascii="Calibri" w:eastAsia="Times New Roman" w:hAnsi="Calibri" w:cs="Calibri"/>
                <w:color w:val="000000"/>
                <w:lang w:eastAsia="en-GB"/>
              </w:rPr>
            </w:pPr>
            <w:r w:rsidRPr="0098719D">
              <w:rPr>
                <w:rFonts w:ascii="Calibri" w:eastAsia="Times New Roman" w:hAnsi="Calibri" w:cs="Calibri"/>
                <w:color w:val="000000"/>
                <w:lang w:eastAsia="en-GB"/>
              </w:rPr>
              <w:t>2012</w:t>
            </w:r>
          </w:p>
        </w:tc>
        <w:tc>
          <w:tcPr>
            <w:tcW w:w="2200" w:type="dxa"/>
            <w:tcBorders>
              <w:top w:val="nil"/>
              <w:left w:val="nil"/>
              <w:bottom w:val="single" w:sz="4" w:space="0" w:color="auto"/>
              <w:right w:val="single" w:sz="4" w:space="0" w:color="auto"/>
            </w:tcBorders>
            <w:shd w:val="clear" w:color="auto" w:fill="auto"/>
            <w:vAlign w:val="center"/>
            <w:hideMark/>
          </w:tcPr>
          <w:p w14:paraId="132CEECF" w14:textId="77777777" w:rsidR="0098719D" w:rsidRPr="0098719D" w:rsidRDefault="0098719D" w:rsidP="0098719D">
            <w:pPr>
              <w:spacing w:after="0" w:line="240" w:lineRule="auto"/>
              <w:jc w:val="center"/>
              <w:rPr>
                <w:rFonts w:ascii="Calibri" w:eastAsia="Times New Roman" w:hAnsi="Calibri" w:cs="Calibri"/>
                <w:color w:val="000000"/>
                <w:lang w:eastAsia="en-GB"/>
              </w:rPr>
            </w:pPr>
            <w:r w:rsidRPr="0098719D">
              <w:rPr>
                <w:rFonts w:ascii="Calibri" w:eastAsia="Times New Roman" w:hAnsi="Calibri" w:cs="Calibri"/>
                <w:color w:val="000000"/>
                <w:lang w:eastAsia="en-GB"/>
              </w:rPr>
              <w:t>***-</w:t>
            </w:r>
          </w:p>
        </w:tc>
        <w:tc>
          <w:tcPr>
            <w:tcW w:w="2120" w:type="dxa"/>
            <w:tcBorders>
              <w:top w:val="nil"/>
              <w:left w:val="nil"/>
              <w:bottom w:val="single" w:sz="4" w:space="0" w:color="auto"/>
              <w:right w:val="single" w:sz="4" w:space="0" w:color="auto"/>
            </w:tcBorders>
            <w:shd w:val="clear" w:color="auto" w:fill="auto"/>
            <w:noWrap/>
            <w:vAlign w:val="center"/>
            <w:hideMark/>
          </w:tcPr>
          <w:p w14:paraId="3DD2332C" w14:textId="77777777" w:rsidR="0098719D" w:rsidRPr="0098719D" w:rsidRDefault="0098719D" w:rsidP="0098719D">
            <w:pPr>
              <w:spacing w:after="0" w:line="240" w:lineRule="auto"/>
              <w:jc w:val="center"/>
              <w:rPr>
                <w:rFonts w:ascii="Calibri" w:eastAsia="Times New Roman" w:hAnsi="Calibri" w:cs="Calibri"/>
                <w:color w:val="000000"/>
                <w:lang w:eastAsia="en-GB"/>
              </w:rPr>
            </w:pPr>
            <w:r w:rsidRPr="0098719D">
              <w:rPr>
                <w:rFonts w:ascii="Calibri" w:eastAsia="Times New Roman" w:hAnsi="Calibri" w:cs="Calibri"/>
                <w:color w:val="000000"/>
                <w:lang w:eastAsia="en-GB"/>
              </w:rPr>
              <w:t>***</w:t>
            </w:r>
          </w:p>
        </w:tc>
      </w:tr>
      <w:tr w:rsidR="0098719D" w:rsidRPr="0098719D" w14:paraId="70043068" w14:textId="77777777" w:rsidTr="004B2FC3">
        <w:trPr>
          <w:trHeight w:val="290"/>
        </w:trPr>
        <w:tc>
          <w:tcPr>
            <w:tcW w:w="2497" w:type="dxa"/>
            <w:vMerge/>
            <w:tcBorders>
              <w:top w:val="nil"/>
              <w:left w:val="single" w:sz="4" w:space="0" w:color="auto"/>
              <w:bottom w:val="single" w:sz="4" w:space="0" w:color="auto"/>
              <w:right w:val="single" w:sz="4" w:space="0" w:color="auto"/>
            </w:tcBorders>
            <w:vAlign w:val="center"/>
            <w:hideMark/>
          </w:tcPr>
          <w:p w14:paraId="18E4BD26" w14:textId="77777777" w:rsidR="0098719D" w:rsidRPr="0098719D" w:rsidRDefault="0098719D" w:rsidP="0098719D">
            <w:pPr>
              <w:spacing w:after="0" w:line="240" w:lineRule="auto"/>
              <w:rPr>
                <w:rFonts w:ascii="Calibri" w:eastAsia="Times New Roman" w:hAnsi="Calibri" w:cs="Calibri"/>
                <w:i/>
                <w:iCs/>
                <w:color w:val="000000"/>
                <w:lang w:eastAsia="en-GB"/>
              </w:rPr>
            </w:pPr>
          </w:p>
        </w:tc>
        <w:tc>
          <w:tcPr>
            <w:tcW w:w="663" w:type="dxa"/>
            <w:tcBorders>
              <w:top w:val="nil"/>
              <w:left w:val="nil"/>
              <w:bottom w:val="single" w:sz="4" w:space="0" w:color="auto"/>
              <w:right w:val="single" w:sz="4" w:space="0" w:color="auto"/>
            </w:tcBorders>
            <w:shd w:val="clear" w:color="auto" w:fill="auto"/>
            <w:vAlign w:val="center"/>
            <w:hideMark/>
          </w:tcPr>
          <w:p w14:paraId="1A391926" w14:textId="77777777" w:rsidR="0098719D" w:rsidRPr="0098719D" w:rsidRDefault="0098719D" w:rsidP="0098719D">
            <w:pPr>
              <w:spacing w:after="0" w:line="240" w:lineRule="auto"/>
              <w:jc w:val="center"/>
              <w:rPr>
                <w:rFonts w:ascii="Calibri" w:eastAsia="Times New Roman" w:hAnsi="Calibri" w:cs="Calibri"/>
                <w:color w:val="000000"/>
                <w:lang w:eastAsia="en-GB"/>
              </w:rPr>
            </w:pPr>
            <w:r w:rsidRPr="0098719D">
              <w:rPr>
                <w:rFonts w:ascii="Calibri" w:eastAsia="Times New Roman" w:hAnsi="Calibri" w:cs="Calibri"/>
                <w:color w:val="000000"/>
                <w:lang w:eastAsia="en-GB"/>
              </w:rPr>
              <w:t>2014</w:t>
            </w:r>
          </w:p>
        </w:tc>
        <w:tc>
          <w:tcPr>
            <w:tcW w:w="2200" w:type="dxa"/>
            <w:tcBorders>
              <w:top w:val="nil"/>
              <w:left w:val="nil"/>
              <w:bottom w:val="single" w:sz="4" w:space="0" w:color="auto"/>
              <w:right w:val="single" w:sz="4" w:space="0" w:color="auto"/>
            </w:tcBorders>
            <w:shd w:val="clear" w:color="auto" w:fill="auto"/>
            <w:vAlign w:val="center"/>
            <w:hideMark/>
          </w:tcPr>
          <w:p w14:paraId="1B867F14" w14:textId="77777777" w:rsidR="0098719D" w:rsidRPr="0098719D" w:rsidRDefault="0098719D" w:rsidP="0098719D">
            <w:pPr>
              <w:spacing w:after="0" w:line="240" w:lineRule="auto"/>
              <w:jc w:val="center"/>
              <w:rPr>
                <w:rFonts w:ascii="Calibri" w:eastAsia="Times New Roman" w:hAnsi="Calibri" w:cs="Calibri"/>
                <w:color w:val="000000"/>
                <w:lang w:eastAsia="en-GB"/>
              </w:rPr>
            </w:pPr>
            <w:r w:rsidRPr="0098719D">
              <w:rPr>
                <w:rFonts w:ascii="Calibri" w:eastAsia="Times New Roman" w:hAnsi="Calibri" w:cs="Calibri"/>
                <w:color w:val="000000"/>
                <w:lang w:eastAsia="en-GB"/>
              </w:rPr>
              <w:t>***-</w:t>
            </w:r>
          </w:p>
        </w:tc>
        <w:tc>
          <w:tcPr>
            <w:tcW w:w="2120" w:type="dxa"/>
            <w:tcBorders>
              <w:top w:val="nil"/>
              <w:left w:val="nil"/>
              <w:bottom w:val="single" w:sz="4" w:space="0" w:color="auto"/>
              <w:right w:val="single" w:sz="4" w:space="0" w:color="auto"/>
            </w:tcBorders>
            <w:shd w:val="clear" w:color="auto" w:fill="auto"/>
            <w:noWrap/>
            <w:vAlign w:val="center"/>
            <w:hideMark/>
          </w:tcPr>
          <w:p w14:paraId="11C5E58E" w14:textId="0643DA97" w:rsidR="0098719D" w:rsidRPr="0098719D" w:rsidRDefault="0098719D" w:rsidP="0098719D">
            <w:pPr>
              <w:spacing w:after="0" w:line="240" w:lineRule="auto"/>
              <w:jc w:val="center"/>
              <w:rPr>
                <w:rFonts w:ascii="Calibri" w:eastAsia="Times New Roman" w:hAnsi="Calibri" w:cs="Calibri"/>
                <w:color w:val="000000"/>
                <w:lang w:eastAsia="en-GB"/>
              </w:rPr>
            </w:pPr>
            <w:r w:rsidRPr="0098719D">
              <w:rPr>
                <w:rFonts w:ascii="Calibri" w:eastAsia="Times New Roman" w:hAnsi="Calibri" w:cs="Calibri"/>
                <w:color w:val="000000"/>
                <w:lang w:eastAsia="en-GB"/>
              </w:rPr>
              <w:t>***</w:t>
            </w:r>
          </w:p>
        </w:tc>
      </w:tr>
      <w:tr w:rsidR="00AB30EA" w:rsidRPr="0098719D" w14:paraId="05D2E264" w14:textId="77777777" w:rsidTr="00AB30EA">
        <w:trPr>
          <w:trHeight w:val="290"/>
        </w:trPr>
        <w:tc>
          <w:tcPr>
            <w:tcW w:w="7480" w:type="dxa"/>
            <w:gridSpan w:val="4"/>
            <w:tcBorders>
              <w:top w:val="single" w:sz="4" w:space="0" w:color="auto"/>
              <w:left w:val="single" w:sz="4" w:space="0" w:color="auto"/>
              <w:bottom w:val="single" w:sz="4" w:space="0" w:color="auto"/>
              <w:right w:val="single" w:sz="4" w:space="0" w:color="auto"/>
            </w:tcBorders>
            <w:vAlign w:val="center"/>
          </w:tcPr>
          <w:p w14:paraId="498170D8" w14:textId="3C75A308" w:rsidR="00AB30EA" w:rsidRPr="00AB30EA" w:rsidRDefault="004B2FC3" w:rsidP="004B2FC3">
            <w:pPr>
              <w:spacing w:after="0" w:line="240" w:lineRule="auto"/>
              <w:rPr>
                <w:rFonts w:ascii="Calibri" w:eastAsia="Times New Roman" w:hAnsi="Calibri" w:cs="Calibri"/>
                <w:i/>
                <w:iCs/>
                <w:color w:val="000000"/>
                <w:lang w:eastAsia="en-GB"/>
              </w:rPr>
            </w:pPr>
            <w:r>
              <w:rPr>
                <w:rFonts w:ascii="Calibri" w:eastAsia="Times New Roman" w:hAnsi="Calibri" w:cs="Calibri"/>
                <w:i/>
                <w:iCs/>
                <w:color w:val="000000"/>
                <w:sz w:val="16"/>
                <w:lang w:eastAsia="en-GB"/>
              </w:rPr>
              <w:t>* indicates study was awarded number item; - indicates the item was unclear or not described; Italics identifies studie</w:t>
            </w:r>
            <w:r w:rsidR="00F12BB1">
              <w:rPr>
                <w:rFonts w:ascii="Calibri" w:eastAsia="Times New Roman" w:hAnsi="Calibri" w:cs="Calibri"/>
                <w:i/>
                <w:iCs/>
                <w:color w:val="000000"/>
                <w:sz w:val="16"/>
                <w:lang w:eastAsia="en-GB"/>
              </w:rPr>
              <w:t>s</w:t>
            </w:r>
            <w:r w:rsidR="00AB30EA" w:rsidRPr="00AB30EA">
              <w:rPr>
                <w:rFonts w:ascii="Calibri" w:eastAsia="Times New Roman" w:hAnsi="Calibri" w:cs="Calibri"/>
                <w:i/>
                <w:iCs/>
                <w:color w:val="000000"/>
                <w:sz w:val="16"/>
                <w:lang w:eastAsia="en-GB"/>
              </w:rPr>
              <w:t xml:space="preserve"> where all participants wer</w:t>
            </w:r>
            <w:r w:rsidR="00AB30EA">
              <w:rPr>
                <w:rFonts w:ascii="Calibri" w:eastAsia="Times New Roman" w:hAnsi="Calibri" w:cs="Calibri"/>
                <w:i/>
                <w:iCs/>
                <w:color w:val="000000"/>
                <w:sz w:val="16"/>
                <w:lang w:eastAsia="en-GB"/>
              </w:rPr>
              <w:t>e</w:t>
            </w:r>
            <w:r w:rsidR="00AB30EA" w:rsidRPr="00AB30EA">
              <w:rPr>
                <w:rFonts w:ascii="Calibri" w:eastAsia="Times New Roman" w:hAnsi="Calibri" w:cs="Calibri"/>
                <w:i/>
                <w:iCs/>
                <w:color w:val="000000"/>
                <w:sz w:val="16"/>
                <w:lang w:eastAsia="en-GB"/>
              </w:rPr>
              <w:t xml:space="preserve"> ≥</w:t>
            </w:r>
            <w:r w:rsidR="00F12BB1">
              <w:rPr>
                <w:rFonts w:ascii="Calibri" w:eastAsia="Times New Roman" w:hAnsi="Calibri" w:cs="Calibri"/>
                <w:i/>
                <w:iCs/>
                <w:color w:val="000000"/>
                <w:sz w:val="16"/>
                <w:lang w:eastAsia="en-GB"/>
              </w:rPr>
              <w:t xml:space="preserve"> 65 years; </w:t>
            </w:r>
            <w:r w:rsidR="00AB30EA">
              <w:rPr>
                <w:rFonts w:ascii="Calibri" w:eastAsia="Times New Roman" w:hAnsi="Calibri" w:cs="Calibri"/>
                <w:i/>
                <w:iCs/>
                <w:color w:val="000000"/>
                <w:sz w:val="16"/>
                <w:lang w:eastAsia="en-GB"/>
              </w:rPr>
              <w:t xml:space="preserve">† Randomised Control Trial </w:t>
            </w:r>
          </w:p>
        </w:tc>
      </w:tr>
    </w:tbl>
    <w:p w14:paraId="5C56DD95" w14:textId="42C3AD65" w:rsidR="00412B93" w:rsidRDefault="00412B93" w:rsidP="00E65D46">
      <w:pPr>
        <w:rPr>
          <w:b/>
        </w:rPr>
      </w:pPr>
    </w:p>
    <w:p w14:paraId="67DFC8B7" w14:textId="61E4C414" w:rsidR="00661A3C" w:rsidRPr="004B2FC3" w:rsidRDefault="00661A3C" w:rsidP="00E65D46">
      <w:pPr>
        <w:rPr>
          <w:b/>
        </w:rPr>
      </w:pPr>
      <w:commentRangeStart w:id="14"/>
      <w:r>
        <w:rPr>
          <w:noProof/>
          <w:lang w:eastAsia="en-GB"/>
        </w:rPr>
        <w:lastRenderedPageBreak/>
        <w:drawing>
          <wp:inline distT="0" distB="0" distL="0" distR="0" wp14:anchorId="20432216" wp14:editId="4A7F7245">
            <wp:extent cx="4572000" cy="27432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commentRangeEnd w:id="14"/>
      <w:r w:rsidR="005773EA">
        <w:rPr>
          <w:rStyle w:val="CommentReference"/>
        </w:rPr>
        <w:commentReference w:id="14"/>
      </w:r>
    </w:p>
    <w:p w14:paraId="511C482F" w14:textId="5624AAD0" w:rsidR="004B2FC3" w:rsidRPr="004B2FC3" w:rsidRDefault="004B2FC3" w:rsidP="00E65D46">
      <w:pPr>
        <w:rPr>
          <w:b/>
        </w:rPr>
      </w:pPr>
    </w:p>
    <w:p w14:paraId="57B9D6FC" w14:textId="77777777" w:rsidR="004B2FC3" w:rsidRDefault="004B2FC3" w:rsidP="00E65D46">
      <w:pPr>
        <w:rPr>
          <w:b/>
          <w:i/>
        </w:rPr>
      </w:pPr>
    </w:p>
    <w:p w14:paraId="17C07F1F" w14:textId="307C881B" w:rsidR="00B56303" w:rsidRPr="00391C9C" w:rsidRDefault="00391C9C" w:rsidP="00E65D46">
      <w:pPr>
        <w:rPr>
          <w:b/>
        </w:rPr>
      </w:pPr>
      <w:r w:rsidRPr="00391C9C">
        <w:rPr>
          <w:b/>
        </w:rPr>
        <w:t xml:space="preserve">3.4. </w:t>
      </w:r>
      <w:r w:rsidR="00412B93" w:rsidRPr="00391C9C">
        <w:rPr>
          <w:b/>
        </w:rPr>
        <w:t>ADR Methodologies</w:t>
      </w:r>
    </w:p>
    <w:p w14:paraId="331E36ED" w14:textId="4F629E3F" w:rsidR="00106932" w:rsidRDefault="00106932" w:rsidP="002F77E9">
      <w:pPr>
        <w:spacing w:line="360" w:lineRule="auto"/>
        <w:jc w:val="both"/>
      </w:pPr>
      <w:r w:rsidRPr="00106932">
        <w:rPr>
          <w:i/>
          <w:u w:val="single"/>
        </w:rPr>
        <w:t>ADR Definition:</w:t>
      </w:r>
      <w:r w:rsidRPr="002E7B3A">
        <w:rPr>
          <w:i/>
        </w:rPr>
        <w:t xml:space="preserve"> </w:t>
      </w:r>
      <w:r w:rsidR="002E7B3A">
        <w:t>WHO 56% (14),</w:t>
      </w:r>
      <w:r w:rsidR="00412B93" w:rsidRPr="00412B93">
        <w:t xml:space="preserve"> </w:t>
      </w:r>
      <w:r w:rsidR="002E7B3A">
        <w:t>Edward’s and Aronson</w:t>
      </w:r>
      <w:r w:rsidR="00540AA3">
        <w:t xml:space="preserve"> 16% (4), a</w:t>
      </w:r>
      <w:r w:rsidR="00592D4C">
        <w:t xml:space="preserve">uthor </w:t>
      </w:r>
      <w:r w:rsidR="002E7B3A">
        <w:t>define</w:t>
      </w:r>
      <w:r w:rsidR="00540AA3">
        <w:t>d 8% (2)</w:t>
      </w:r>
      <w:r w:rsidR="002E7B3A">
        <w:t xml:space="preserve">, not documented 12% (3), local therapeutic committee 4% (1), Bates </w:t>
      </w:r>
      <w:r w:rsidR="00540AA3">
        <w:t>4% (1)</w:t>
      </w:r>
      <w:r w:rsidR="00412B93" w:rsidRPr="00412B93">
        <w:t xml:space="preserve">.  </w:t>
      </w:r>
    </w:p>
    <w:p w14:paraId="3CB09E47" w14:textId="77777777" w:rsidR="00106932" w:rsidRDefault="00106932" w:rsidP="002F77E9">
      <w:pPr>
        <w:spacing w:line="360" w:lineRule="auto"/>
        <w:jc w:val="both"/>
      </w:pPr>
      <w:r w:rsidRPr="00106932">
        <w:rPr>
          <w:i/>
          <w:u w:val="single"/>
        </w:rPr>
        <w:t>ADR Identification:</w:t>
      </w:r>
      <w:r>
        <w:t xml:space="preserve"> </w:t>
      </w:r>
      <w:r w:rsidR="007F335F">
        <w:t xml:space="preserve">ADR identification </w:t>
      </w:r>
      <w:r w:rsidR="002F77E9">
        <w:t xml:space="preserve">methods </w:t>
      </w:r>
      <w:r w:rsidR="007F335F">
        <w:t xml:space="preserve">varied between studies, varying from pharmacist led assessments to patient </w:t>
      </w:r>
      <w:r w:rsidR="00CF47C7">
        <w:t>facing SPC specific</w:t>
      </w:r>
      <w:r w:rsidR="007F335F">
        <w:t xml:space="preserve"> </w:t>
      </w:r>
      <w:commentRangeStart w:id="15"/>
      <w:r w:rsidR="007F335F">
        <w:t>questionnaires</w:t>
      </w:r>
      <w:commentRangeEnd w:id="15"/>
      <w:r w:rsidR="00540AA3">
        <w:rPr>
          <w:rStyle w:val="CommentReference"/>
        </w:rPr>
        <w:commentReference w:id="15"/>
      </w:r>
      <w:r w:rsidR="007F335F">
        <w:t xml:space="preserve">. </w:t>
      </w:r>
    </w:p>
    <w:p w14:paraId="10C31A29" w14:textId="328DB014" w:rsidR="00106932" w:rsidRDefault="00106932" w:rsidP="002F77E9">
      <w:pPr>
        <w:spacing w:line="360" w:lineRule="auto"/>
        <w:jc w:val="both"/>
      </w:pPr>
      <w:r w:rsidRPr="00106932">
        <w:rPr>
          <w:i/>
          <w:u w:val="single"/>
        </w:rPr>
        <w:t>Assessment of Causality:</w:t>
      </w:r>
      <w:r>
        <w:t xml:space="preserve"> </w:t>
      </w:r>
      <w:r w:rsidR="00412B93" w:rsidRPr="00412B93">
        <w:t>Causality was assess</w:t>
      </w:r>
      <w:r w:rsidR="00C5470D">
        <w:t>ed using Naranjo criteria</w:t>
      </w:r>
      <w:r w:rsidR="00540AA3">
        <w:t xml:space="preserve"> 56%</w:t>
      </w:r>
      <w:r w:rsidR="00C5470D">
        <w:t xml:space="preserve"> (</w:t>
      </w:r>
      <w:r w:rsidR="00540AA3">
        <w:t>14</w:t>
      </w:r>
      <w:r w:rsidR="00C5470D">
        <w:t>),</w:t>
      </w:r>
      <w:r w:rsidR="00540AA3">
        <w:t xml:space="preserve"> </w:t>
      </w:r>
      <w:r w:rsidR="00C5470D">
        <w:t>WHO-UMC</w:t>
      </w:r>
      <w:r w:rsidR="00540AA3">
        <w:t xml:space="preserve"> 24%</w:t>
      </w:r>
      <w:r w:rsidR="00C5470D">
        <w:t xml:space="preserve"> (</w:t>
      </w:r>
      <w:r w:rsidR="00540AA3">
        <w:t>6</w:t>
      </w:r>
      <w:r w:rsidR="00412B93" w:rsidRPr="00412B93">
        <w:t>)</w:t>
      </w:r>
      <w:r w:rsidR="00C5470D">
        <w:t>, not documented</w:t>
      </w:r>
      <w:r w:rsidR="00540AA3">
        <w:t xml:space="preserve"> 12%</w:t>
      </w:r>
      <w:r w:rsidR="00C5470D">
        <w:t xml:space="preserve"> (</w:t>
      </w:r>
      <w:r w:rsidR="00540AA3">
        <w:t>3</w:t>
      </w:r>
      <w:r w:rsidR="00C5470D">
        <w:t xml:space="preserve">), Kramer </w:t>
      </w:r>
      <w:r w:rsidR="00540AA3">
        <w:t xml:space="preserve">4% </w:t>
      </w:r>
      <w:r w:rsidR="00C5470D">
        <w:t>(</w:t>
      </w:r>
      <w:r w:rsidR="00540AA3">
        <w:t>1</w:t>
      </w:r>
      <w:r w:rsidR="00C5470D">
        <w:t xml:space="preserve">), Hallas </w:t>
      </w:r>
      <w:r w:rsidR="00540AA3">
        <w:t xml:space="preserve">4% </w:t>
      </w:r>
      <w:r w:rsidR="00C5470D">
        <w:t>(</w:t>
      </w:r>
      <w:r w:rsidR="00540AA3">
        <w:t>1</w:t>
      </w:r>
      <w:r w:rsidR="00C5470D">
        <w:t>)</w:t>
      </w:r>
      <w:r w:rsidR="00412B93" w:rsidRPr="00412B93">
        <w:t>.</w:t>
      </w:r>
      <w:r w:rsidR="007F335F">
        <w:t xml:space="preserve"> </w:t>
      </w:r>
    </w:p>
    <w:p w14:paraId="1DDC7D1F" w14:textId="373122AD" w:rsidR="00106932" w:rsidRDefault="00106932" w:rsidP="002F77E9">
      <w:pPr>
        <w:spacing w:line="360" w:lineRule="auto"/>
        <w:jc w:val="both"/>
      </w:pPr>
      <w:r w:rsidRPr="00106932">
        <w:rPr>
          <w:i/>
          <w:u w:val="single"/>
        </w:rPr>
        <w:t>Assessment of Severity:</w:t>
      </w:r>
      <w:r>
        <w:t xml:space="preserve"> </w:t>
      </w:r>
      <w:r w:rsidR="00E6620D">
        <w:t xml:space="preserve">Severity was not reported in </w:t>
      </w:r>
      <w:r w:rsidR="00540AA3">
        <w:t>12% (</w:t>
      </w:r>
      <w:r w:rsidR="00E6620D">
        <w:t>3</w:t>
      </w:r>
      <w:r w:rsidR="00540AA3">
        <w:t>)</w:t>
      </w:r>
      <w:r w:rsidR="00E6620D">
        <w:t xml:space="preserve"> papers. </w:t>
      </w:r>
      <w:r w:rsidR="007F335F">
        <w:t>Severity scales had a high tendency to be author defined</w:t>
      </w:r>
      <w:r w:rsidR="00E6620D">
        <w:t xml:space="preserve"> </w:t>
      </w:r>
      <w:r w:rsidR="00540AA3">
        <w:t>(32%, 8)</w:t>
      </w:r>
      <w:r w:rsidR="007F335F">
        <w:t xml:space="preserve">, lacking a standardised homogenous approach. </w:t>
      </w:r>
      <w:r>
        <w:t>Hartwig</w:t>
      </w:r>
      <w:r w:rsidR="00540AA3">
        <w:t xml:space="preserve"> 28% (7)</w:t>
      </w:r>
      <w:r>
        <w:t>, WHO-ART</w:t>
      </w:r>
      <w:r w:rsidR="009478D3">
        <w:t xml:space="preserve"> 12% (3)</w:t>
      </w:r>
      <w:r>
        <w:t>, Venulet</w:t>
      </w:r>
      <w:r w:rsidR="00540AA3">
        <w:t xml:space="preserve"> 4% (1)</w:t>
      </w:r>
      <w:r>
        <w:t>, national</w:t>
      </w:r>
      <w:r w:rsidR="009478D3">
        <w:t xml:space="preserve"> </w:t>
      </w:r>
      <w:r w:rsidR="009478D3" w:rsidRPr="009478D3">
        <w:rPr>
          <w:i/>
        </w:rPr>
        <w:t>(Spain)</w:t>
      </w:r>
      <w:r>
        <w:t xml:space="preserve"> pharmacolvigilance system</w:t>
      </w:r>
      <w:r w:rsidR="009478D3">
        <w:t xml:space="preserve"> 4% (1), European-medicines Agency-2014</w:t>
      </w:r>
      <w:r w:rsidR="009478D3" w:rsidRPr="009478D3">
        <w:t xml:space="preserve"> </w:t>
      </w:r>
      <w:r w:rsidR="009478D3">
        <w:t>4% (1)</w:t>
      </w:r>
      <w:r>
        <w:t>, Hurwitz</w:t>
      </w:r>
      <w:r w:rsidR="00600CB5">
        <w:t xml:space="preserve"> 4% (1)</w:t>
      </w:r>
      <w:r>
        <w:t>, Morimoto</w:t>
      </w:r>
      <w:r w:rsidR="00600CB5">
        <w:t xml:space="preserve"> 4% (1)</w:t>
      </w:r>
      <w:r>
        <w:t xml:space="preserve">.  </w:t>
      </w:r>
    </w:p>
    <w:p w14:paraId="3F7E1AC9" w14:textId="47D4F977" w:rsidR="00106932" w:rsidRPr="0062626D" w:rsidRDefault="00106932" w:rsidP="002F77E9">
      <w:pPr>
        <w:spacing w:line="360" w:lineRule="auto"/>
        <w:jc w:val="both"/>
      </w:pPr>
      <w:r w:rsidRPr="0083512F">
        <w:rPr>
          <w:i/>
          <w:u w:val="single"/>
        </w:rPr>
        <w:t>ADR Classification:</w:t>
      </w:r>
      <w:r w:rsidR="0083512F" w:rsidRPr="0062626D">
        <w:t xml:space="preserve"> </w:t>
      </w:r>
      <w:r w:rsidR="0062626D">
        <w:t xml:space="preserve">classification of ADRs was </w:t>
      </w:r>
      <w:r w:rsidR="0062626D" w:rsidRPr="0062626D">
        <w:t xml:space="preserve">not </w:t>
      </w:r>
      <w:r w:rsidR="0062626D">
        <w:t>reported</w:t>
      </w:r>
      <w:r w:rsidR="00BB6F44">
        <w:t xml:space="preserve"> 48% (1</w:t>
      </w:r>
      <w:r w:rsidR="006A6436">
        <w:t>1</w:t>
      </w:r>
      <w:r w:rsidR="00BB6F44">
        <w:t>)</w:t>
      </w:r>
      <w:r w:rsidR="0062626D" w:rsidRPr="0062626D">
        <w:t>,</w:t>
      </w:r>
      <w:r w:rsidR="00E246FC">
        <w:t xml:space="preserve"> Rawlins and Thompson 24% (6)</w:t>
      </w:r>
      <w:r w:rsidR="002E4E91">
        <w:t xml:space="preserve">, </w:t>
      </w:r>
      <w:r w:rsidR="0062626D" w:rsidRPr="0062626D">
        <w:t xml:space="preserve"> </w:t>
      </w:r>
      <w:r w:rsidR="00130196">
        <w:t>WHO-ART 16% (4)</w:t>
      </w:r>
      <w:r w:rsidR="00B43C4D">
        <w:t>, WHO-ART &amp; Rawlins</w:t>
      </w:r>
      <w:r w:rsidR="00130196">
        <w:t xml:space="preserve"> 4% (1)</w:t>
      </w:r>
      <w:r w:rsidR="00B43C4D">
        <w:t>,</w:t>
      </w:r>
      <w:r w:rsidR="00130196">
        <w:t xml:space="preserve"> MedDRA® SOC 4%</w:t>
      </w:r>
      <w:r w:rsidR="00BB6F44">
        <w:t xml:space="preserve"> </w:t>
      </w:r>
      <w:r w:rsidR="00130196">
        <w:t>(1),</w:t>
      </w:r>
      <w:r w:rsidR="00B43C4D">
        <w:t xml:space="preserve"> Meyboom &amp; Rawlins</w:t>
      </w:r>
      <w:r w:rsidR="006A6436">
        <w:t xml:space="preserve"> 4% (1)</w:t>
      </w:r>
      <w:r w:rsidR="00B43C4D">
        <w:t xml:space="preserve">, DoTS </w:t>
      </w:r>
      <w:r w:rsidR="00E246FC">
        <w:t>4% (</w:t>
      </w:r>
      <w:r w:rsidR="00B43C4D">
        <w:t>1</w:t>
      </w:r>
      <w:r w:rsidR="00E246FC">
        <w:t>).</w:t>
      </w:r>
    </w:p>
    <w:p w14:paraId="578E0379" w14:textId="3B667C00" w:rsidR="00E80BCC" w:rsidRPr="007F335F" w:rsidRDefault="00106932" w:rsidP="002F77E9">
      <w:pPr>
        <w:spacing w:line="360" w:lineRule="auto"/>
        <w:jc w:val="both"/>
        <w:sectPr w:rsidR="00E80BCC" w:rsidRPr="007F335F">
          <w:pgSz w:w="11906" w:h="16838"/>
          <w:pgMar w:top="1440" w:right="1440" w:bottom="1440" w:left="1440" w:header="708" w:footer="708" w:gutter="0"/>
          <w:cols w:space="708"/>
          <w:docGrid w:linePitch="360"/>
        </w:sectPr>
      </w:pPr>
      <w:r w:rsidRPr="00106932">
        <w:rPr>
          <w:i/>
          <w:u w:val="single"/>
        </w:rPr>
        <w:t>Assessment of Preventability:</w:t>
      </w:r>
      <w:r w:rsidRPr="00106932">
        <w:t xml:space="preserve"> </w:t>
      </w:r>
      <w:r w:rsidR="001171E5">
        <w:t>72% (18)</w:t>
      </w:r>
      <w:r w:rsidR="00B43C4D">
        <w:t xml:space="preserve"> studies</w:t>
      </w:r>
      <w:r w:rsidR="00080710">
        <w:t xml:space="preserve"> </w:t>
      </w:r>
      <w:r w:rsidR="00B43C4D">
        <w:t xml:space="preserve"> did not report on ADR p</w:t>
      </w:r>
      <w:r w:rsidR="007F335F">
        <w:t>reventability</w:t>
      </w:r>
      <w:r w:rsidR="00AD2BB8">
        <w:t>.</w:t>
      </w:r>
      <w:r w:rsidR="007F335F">
        <w:t xml:space="preserve"> Hallas</w:t>
      </w:r>
      <w:r w:rsidR="001171E5">
        <w:t xml:space="preserve"> 20% (5)</w:t>
      </w:r>
      <w:r w:rsidR="00B43C4D">
        <w:t xml:space="preserve">, Schumock &amp; Thornton </w:t>
      </w:r>
      <w:r w:rsidR="001171E5">
        <w:t>8% (2)</w:t>
      </w:r>
      <w:r w:rsidR="007F335F">
        <w:t xml:space="preserve">. </w:t>
      </w:r>
    </w:p>
    <w:p w14:paraId="7CF7B68F" w14:textId="77777777" w:rsidR="000C647E" w:rsidRDefault="000C647E" w:rsidP="000C647E">
      <w:pPr>
        <w:pStyle w:val="ListParagraph"/>
        <w:numPr>
          <w:ilvl w:val="1"/>
          <w:numId w:val="7"/>
        </w:numPr>
        <w:rPr>
          <w:b/>
          <w:bCs/>
          <w:iCs/>
        </w:rPr>
      </w:pPr>
      <w:r w:rsidRPr="000C647E">
        <w:rPr>
          <w:b/>
          <w:bCs/>
          <w:iCs/>
        </w:rPr>
        <w:lastRenderedPageBreak/>
        <w:t xml:space="preserve">ADR Prevalence </w:t>
      </w:r>
    </w:p>
    <w:p w14:paraId="66F9F3FB" w14:textId="22A15815" w:rsidR="000C647E" w:rsidRPr="000C647E" w:rsidRDefault="000C647E" w:rsidP="000C647E">
      <w:pPr>
        <w:ind w:firstLine="360"/>
        <w:rPr>
          <w:b/>
          <w:bCs/>
          <w:i/>
          <w:iCs/>
        </w:rPr>
      </w:pPr>
      <w:r w:rsidRPr="000C647E">
        <w:rPr>
          <w:b/>
          <w:i/>
        </w:rPr>
        <w:t xml:space="preserve">3.5.1 Overall Reported ADR Prevalence </w:t>
      </w:r>
    </w:p>
    <w:p w14:paraId="0773ACC5" w14:textId="2FFF7E34" w:rsidR="0048198F" w:rsidRDefault="00080710" w:rsidP="000C647E">
      <w:pPr>
        <w:spacing w:line="360" w:lineRule="auto"/>
        <w:ind w:left="360"/>
        <w:jc w:val="both"/>
      </w:pPr>
      <w:r>
        <w:t>25</w:t>
      </w:r>
      <w:r w:rsidR="00E439BE">
        <w:t xml:space="preserve"> s</w:t>
      </w:r>
      <w:r w:rsidR="00C36689" w:rsidRPr="00C36689">
        <w:t>tudies</w:t>
      </w:r>
      <w:r>
        <w:t xml:space="preserve"> (27</w:t>
      </w:r>
      <w:r w:rsidR="00E439BE">
        <w:t xml:space="preserve"> papers)</w:t>
      </w:r>
      <w:r w:rsidR="00C36689" w:rsidRPr="00C36689">
        <w:t xml:space="preserve"> reported </w:t>
      </w:r>
      <w:r>
        <w:t xml:space="preserve">in-hospital </w:t>
      </w:r>
      <w:r w:rsidR="00C36689" w:rsidRPr="00C36689">
        <w:t xml:space="preserve">ADR </w:t>
      </w:r>
      <w:r w:rsidR="000F5131">
        <w:t xml:space="preserve">prevalence </w:t>
      </w:r>
      <w:r w:rsidR="00E439BE">
        <w:t xml:space="preserve">in </w:t>
      </w:r>
      <w:r>
        <w:t xml:space="preserve">20,032 </w:t>
      </w:r>
      <w:r w:rsidR="00E439BE">
        <w:t xml:space="preserve">patients </w:t>
      </w:r>
      <w:r w:rsidR="00E439BE">
        <w:rPr>
          <w:rFonts w:cstheme="minorHAnsi"/>
        </w:rPr>
        <w:t>≥</w:t>
      </w:r>
      <w:r w:rsidR="00E439BE">
        <w:t xml:space="preserve"> 65 years. </w:t>
      </w:r>
      <w:r w:rsidR="00C5429B">
        <w:t>T</w:t>
      </w:r>
      <w:r w:rsidR="00860F78">
        <w:t xml:space="preserve">he ADR event numbers </w:t>
      </w:r>
      <w:r w:rsidR="001A22BC">
        <w:t>for all included</w:t>
      </w:r>
      <w:r w:rsidR="00860F78">
        <w:t xml:space="preserve"> studies / papers as a total of all reported participants </w:t>
      </w:r>
      <w:r w:rsidR="00B61E97">
        <w:t xml:space="preserve">adults </w:t>
      </w:r>
      <w:r w:rsidR="00860F78">
        <w:t xml:space="preserve">and those aged </w:t>
      </w:r>
      <w:r w:rsidR="00860F78">
        <w:rPr>
          <w:rFonts w:cstheme="minorHAnsi"/>
        </w:rPr>
        <w:t>≥</w:t>
      </w:r>
      <w:r w:rsidR="00860F78">
        <w:t xml:space="preserve"> 65 years</w:t>
      </w:r>
      <w:r w:rsidR="00C5429B">
        <w:t xml:space="preserve"> are shown in Table 3</w:t>
      </w:r>
      <w:r w:rsidR="00860F78">
        <w:t xml:space="preserve">.  </w:t>
      </w:r>
      <w:commentRangeStart w:id="16"/>
      <w:r w:rsidR="00BB10E0">
        <w:t xml:space="preserve">The overall </w:t>
      </w:r>
      <w:r w:rsidR="000C647E">
        <w:t xml:space="preserve">total </w:t>
      </w:r>
      <w:r w:rsidR="00BB10E0">
        <w:t>ADR</w:t>
      </w:r>
      <w:r w:rsidR="000F5131">
        <w:t xml:space="preserve"> median </w:t>
      </w:r>
      <w:r w:rsidR="00BB10E0">
        <w:t xml:space="preserve">prevalence for ADRs </w:t>
      </w:r>
      <w:r w:rsidR="00B61E97">
        <w:t xml:space="preserve">for all ages </w:t>
      </w:r>
      <w:r>
        <w:t xml:space="preserve">reported in the 25 </w:t>
      </w:r>
      <w:r w:rsidR="00BB10E0">
        <w:t xml:space="preserve">studies was </w:t>
      </w:r>
      <w:r w:rsidR="000F5131">
        <w:t xml:space="preserve">18.80% </w:t>
      </w:r>
      <w:r w:rsidR="00BB10E0">
        <w:t>(</w:t>
      </w:r>
      <w:r w:rsidR="000F5131">
        <w:t>IQR</w:t>
      </w:r>
      <w:r w:rsidR="00BB10E0">
        <w:t xml:space="preserve">, </w:t>
      </w:r>
      <w:r w:rsidR="000F5131">
        <w:t>9.29</w:t>
      </w:r>
      <w:r w:rsidR="00BB10E0">
        <w:t xml:space="preserve">% - </w:t>
      </w:r>
      <w:r w:rsidR="000F5131">
        <w:t>25.01</w:t>
      </w:r>
      <w:r w:rsidR="00BB10E0">
        <w:t>%)</w:t>
      </w:r>
      <w:r w:rsidR="004B716C">
        <w:t xml:space="preserve"> min 2.93 max 69.33</w:t>
      </w:r>
      <w:r w:rsidR="00BB10E0">
        <w:t xml:space="preserve">. </w:t>
      </w:r>
      <w:commentRangeEnd w:id="16"/>
      <w:r>
        <w:rPr>
          <w:rStyle w:val="CommentReference"/>
        </w:rPr>
        <w:commentReference w:id="16"/>
      </w:r>
    </w:p>
    <w:tbl>
      <w:tblPr>
        <w:tblStyle w:val="PlainTable4"/>
        <w:tblW w:w="9351"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689"/>
        <w:gridCol w:w="992"/>
        <w:gridCol w:w="993"/>
        <w:gridCol w:w="940"/>
        <w:gridCol w:w="847"/>
        <w:gridCol w:w="998"/>
        <w:gridCol w:w="900"/>
        <w:gridCol w:w="992"/>
      </w:tblGrid>
      <w:tr w:rsidR="00BB10E0" w:rsidRPr="00C57CE6" w14:paraId="20BF69EB" w14:textId="77777777" w:rsidTr="00136206">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351" w:type="dxa"/>
            <w:gridSpan w:val="8"/>
            <w:tcBorders>
              <w:top w:val="single" w:sz="4" w:space="0" w:color="auto"/>
              <w:bottom w:val="single" w:sz="4" w:space="0" w:color="auto"/>
            </w:tcBorders>
            <w:vAlign w:val="center"/>
          </w:tcPr>
          <w:p w14:paraId="67F0ECF5" w14:textId="25FB3D48" w:rsidR="00BB10E0" w:rsidRPr="00BB10E0" w:rsidRDefault="00BB10E0" w:rsidP="00BB10E0">
            <w:pPr>
              <w:rPr>
                <w:rFonts w:eastAsia="Times New Roman" w:cstheme="minorHAnsi"/>
                <w:bCs w:val="0"/>
                <w:color w:val="000000"/>
                <w:sz w:val="20"/>
                <w:szCs w:val="20"/>
                <w:u w:val="single"/>
                <w:lang w:eastAsia="en-GB"/>
              </w:rPr>
            </w:pPr>
            <w:r w:rsidRPr="00BB10E0">
              <w:rPr>
                <w:rFonts w:eastAsia="Times New Roman" w:cstheme="minorHAnsi"/>
                <w:color w:val="000000"/>
                <w:sz w:val="20"/>
                <w:szCs w:val="20"/>
                <w:u w:val="single"/>
                <w:lang w:eastAsia="en-GB"/>
              </w:rPr>
              <w:t>Table</w:t>
            </w:r>
            <w:r w:rsidR="00860F78">
              <w:rPr>
                <w:rFonts w:eastAsia="Times New Roman" w:cstheme="minorHAnsi"/>
                <w:color w:val="000000"/>
                <w:sz w:val="20"/>
                <w:szCs w:val="20"/>
                <w:u w:val="single"/>
                <w:lang w:eastAsia="en-GB"/>
              </w:rPr>
              <w:t xml:space="preserve"> 3.</w:t>
            </w:r>
            <w:r w:rsidRPr="00BB10E0">
              <w:rPr>
                <w:rFonts w:eastAsia="Times New Roman" w:cstheme="minorHAnsi"/>
                <w:color w:val="000000"/>
                <w:sz w:val="20"/>
                <w:szCs w:val="20"/>
                <w:u w:val="single"/>
                <w:lang w:eastAsia="en-GB"/>
              </w:rPr>
              <w:t>: R</w:t>
            </w:r>
            <w:r w:rsidR="00860F78">
              <w:rPr>
                <w:rFonts w:eastAsia="Times New Roman" w:cstheme="minorHAnsi"/>
                <w:color w:val="000000"/>
                <w:sz w:val="20"/>
                <w:szCs w:val="20"/>
                <w:u w:val="single"/>
                <w:lang w:eastAsia="en-GB"/>
              </w:rPr>
              <w:t xml:space="preserve">eported </w:t>
            </w:r>
            <w:r w:rsidRPr="00BB10E0">
              <w:rPr>
                <w:rFonts w:eastAsia="Times New Roman" w:cstheme="minorHAnsi"/>
                <w:color w:val="000000"/>
                <w:sz w:val="20"/>
                <w:szCs w:val="20"/>
                <w:u w:val="single"/>
                <w:lang w:eastAsia="en-GB"/>
              </w:rPr>
              <w:t>ADR events for included papers/studies</w:t>
            </w:r>
          </w:p>
        </w:tc>
      </w:tr>
      <w:tr w:rsidR="008144DB" w:rsidRPr="00C57CE6" w14:paraId="0CA8C26B" w14:textId="77777777" w:rsidTr="005D473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bottom w:val="single" w:sz="4" w:space="0" w:color="auto"/>
            </w:tcBorders>
            <w:vAlign w:val="center"/>
            <w:hideMark/>
          </w:tcPr>
          <w:p w14:paraId="1B05B3E5" w14:textId="69263883" w:rsidR="008144DB" w:rsidRPr="00C57CE6" w:rsidRDefault="008144DB" w:rsidP="00C57CE6">
            <w:pPr>
              <w:rPr>
                <w:rFonts w:eastAsia="Times New Roman" w:cstheme="minorHAnsi"/>
                <w:bCs w:val="0"/>
                <w:color w:val="000000"/>
                <w:sz w:val="20"/>
                <w:szCs w:val="20"/>
                <w:u w:val="single"/>
                <w:lang w:eastAsia="en-GB"/>
              </w:rPr>
            </w:pPr>
            <w:r w:rsidRPr="00C57CE6">
              <w:rPr>
                <w:rFonts w:eastAsia="Times New Roman" w:cstheme="minorHAnsi"/>
                <w:bCs w:val="0"/>
                <w:color w:val="000000"/>
                <w:sz w:val="20"/>
                <w:szCs w:val="20"/>
                <w:u w:val="single"/>
                <w:lang w:eastAsia="en-GB"/>
              </w:rPr>
              <w:t>Author</w:t>
            </w:r>
          </w:p>
        </w:tc>
        <w:tc>
          <w:tcPr>
            <w:tcW w:w="992" w:type="dxa"/>
            <w:tcBorders>
              <w:top w:val="single" w:sz="4" w:space="0" w:color="auto"/>
              <w:bottom w:val="single" w:sz="4" w:space="0" w:color="auto"/>
            </w:tcBorders>
            <w:noWrap/>
            <w:vAlign w:val="center"/>
            <w:hideMark/>
          </w:tcPr>
          <w:p w14:paraId="71C955E4" w14:textId="37A1D28F" w:rsidR="008144DB" w:rsidRPr="00C57CE6" w:rsidRDefault="008144DB" w:rsidP="00C57CE6">
            <w:pPr>
              <w:cnfStyle w:val="000000100000" w:firstRow="0" w:lastRow="0" w:firstColumn="0" w:lastColumn="0" w:oddVBand="0" w:evenVBand="0" w:oddHBand="1" w:evenHBand="0" w:firstRowFirstColumn="0" w:firstRowLastColumn="0" w:lastRowFirstColumn="0" w:lastRowLastColumn="0"/>
              <w:rPr>
                <w:rFonts w:eastAsia="Times New Roman" w:cstheme="minorHAnsi"/>
                <w:bCs/>
                <w:color w:val="000000"/>
                <w:sz w:val="20"/>
                <w:szCs w:val="20"/>
                <w:u w:val="single"/>
                <w:lang w:eastAsia="en-GB"/>
              </w:rPr>
            </w:pPr>
            <w:r w:rsidRPr="00C57CE6">
              <w:rPr>
                <w:rFonts w:eastAsia="Times New Roman" w:cstheme="minorHAnsi"/>
                <w:bCs/>
                <w:color w:val="000000"/>
                <w:sz w:val="20"/>
                <w:szCs w:val="20"/>
                <w:u w:val="single"/>
                <w:lang w:eastAsia="en-GB"/>
              </w:rPr>
              <w:t>Paper Total N</w:t>
            </w:r>
          </w:p>
        </w:tc>
        <w:tc>
          <w:tcPr>
            <w:tcW w:w="993" w:type="dxa"/>
            <w:tcBorders>
              <w:top w:val="single" w:sz="4" w:space="0" w:color="auto"/>
              <w:bottom w:val="single" w:sz="4" w:space="0" w:color="auto"/>
            </w:tcBorders>
            <w:noWrap/>
            <w:vAlign w:val="center"/>
            <w:hideMark/>
          </w:tcPr>
          <w:p w14:paraId="53F0FE65" w14:textId="5B738239" w:rsidR="008144DB" w:rsidRPr="00C57CE6" w:rsidRDefault="008144DB" w:rsidP="00C57CE6">
            <w:pPr>
              <w:cnfStyle w:val="000000100000" w:firstRow="0" w:lastRow="0" w:firstColumn="0" w:lastColumn="0" w:oddVBand="0" w:evenVBand="0" w:oddHBand="1" w:evenHBand="0" w:firstRowFirstColumn="0" w:firstRowLastColumn="0" w:lastRowFirstColumn="0" w:lastRowLastColumn="0"/>
              <w:rPr>
                <w:rFonts w:eastAsia="Times New Roman" w:cstheme="minorHAnsi"/>
                <w:bCs/>
                <w:color w:val="000000"/>
                <w:sz w:val="20"/>
                <w:szCs w:val="20"/>
                <w:u w:val="single"/>
                <w:lang w:eastAsia="en-GB"/>
              </w:rPr>
            </w:pPr>
            <w:r w:rsidRPr="00C57CE6">
              <w:rPr>
                <w:rFonts w:eastAsia="Times New Roman" w:cstheme="minorHAnsi"/>
                <w:bCs/>
                <w:color w:val="000000"/>
                <w:sz w:val="20"/>
                <w:szCs w:val="20"/>
                <w:u w:val="single"/>
                <w:lang w:eastAsia="en-GB"/>
              </w:rPr>
              <w:t>Paper total n pt ≥ 1 ADR</w:t>
            </w:r>
          </w:p>
        </w:tc>
        <w:tc>
          <w:tcPr>
            <w:tcW w:w="940" w:type="dxa"/>
            <w:tcBorders>
              <w:top w:val="single" w:sz="4" w:space="0" w:color="auto"/>
              <w:bottom w:val="single" w:sz="4" w:space="0" w:color="auto"/>
            </w:tcBorders>
            <w:noWrap/>
            <w:vAlign w:val="center"/>
            <w:hideMark/>
          </w:tcPr>
          <w:p w14:paraId="5F5C3830" w14:textId="5CBEA0E5" w:rsidR="008144DB" w:rsidRPr="00C57CE6" w:rsidRDefault="008144DB" w:rsidP="00C57CE6">
            <w:pPr>
              <w:cnfStyle w:val="000000100000" w:firstRow="0" w:lastRow="0" w:firstColumn="0" w:lastColumn="0" w:oddVBand="0" w:evenVBand="0" w:oddHBand="1" w:evenHBand="0" w:firstRowFirstColumn="0" w:firstRowLastColumn="0" w:lastRowFirstColumn="0" w:lastRowLastColumn="0"/>
              <w:rPr>
                <w:rFonts w:eastAsia="Times New Roman" w:cstheme="minorHAnsi"/>
                <w:bCs/>
                <w:color w:val="000000"/>
                <w:sz w:val="20"/>
                <w:szCs w:val="20"/>
                <w:u w:val="single"/>
                <w:lang w:eastAsia="en-GB"/>
              </w:rPr>
            </w:pPr>
            <w:r w:rsidRPr="00C57CE6">
              <w:rPr>
                <w:rFonts w:eastAsia="Times New Roman" w:cstheme="minorHAnsi"/>
                <w:bCs/>
                <w:color w:val="000000"/>
                <w:sz w:val="20"/>
                <w:szCs w:val="20"/>
                <w:u w:val="single"/>
                <w:lang w:eastAsia="en-GB"/>
              </w:rPr>
              <w:t>Paper total % pt ADR</w:t>
            </w:r>
          </w:p>
        </w:tc>
        <w:tc>
          <w:tcPr>
            <w:tcW w:w="847" w:type="dxa"/>
            <w:tcBorders>
              <w:top w:val="single" w:sz="4" w:space="0" w:color="auto"/>
              <w:bottom w:val="single" w:sz="4" w:space="0" w:color="auto"/>
            </w:tcBorders>
            <w:noWrap/>
            <w:vAlign w:val="center"/>
            <w:hideMark/>
          </w:tcPr>
          <w:p w14:paraId="6FE47EEC" w14:textId="77777777" w:rsidR="008144DB" w:rsidRPr="00C57CE6" w:rsidRDefault="008144DB" w:rsidP="00C57CE6">
            <w:pPr>
              <w:cnfStyle w:val="000000100000" w:firstRow="0" w:lastRow="0" w:firstColumn="0" w:lastColumn="0" w:oddVBand="0" w:evenVBand="0" w:oddHBand="1" w:evenHBand="0" w:firstRowFirstColumn="0" w:firstRowLastColumn="0" w:lastRowFirstColumn="0" w:lastRowLastColumn="0"/>
              <w:rPr>
                <w:rFonts w:eastAsia="Times New Roman" w:cstheme="minorHAnsi"/>
                <w:bCs/>
                <w:color w:val="000000"/>
                <w:sz w:val="20"/>
                <w:szCs w:val="20"/>
                <w:u w:val="single"/>
                <w:lang w:eastAsia="en-GB"/>
              </w:rPr>
            </w:pPr>
            <w:r w:rsidRPr="00C57CE6">
              <w:rPr>
                <w:rFonts w:eastAsia="Times New Roman" w:cstheme="minorHAnsi"/>
                <w:bCs/>
                <w:color w:val="000000"/>
                <w:sz w:val="20"/>
                <w:szCs w:val="20"/>
                <w:u w:val="single"/>
                <w:lang w:eastAsia="en-GB"/>
              </w:rPr>
              <w:t>n ≥ 65</w:t>
            </w:r>
          </w:p>
        </w:tc>
        <w:tc>
          <w:tcPr>
            <w:tcW w:w="998" w:type="dxa"/>
            <w:tcBorders>
              <w:top w:val="single" w:sz="4" w:space="0" w:color="auto"/>
              <w:bottom w:val="single" w:sz="4" w:space="0" w:color="auto"/>
            </w:tcBorders>
            <w:vAlign w:val="center"/>
          </w:tcPr>
          <w:p w14:paraId="519BD3B6" w14:textId="756556D1" w:rsidR="008144DB" w:rsidRPr="00C57CE6" w:rsidRDefault="008144DB" w:rsidP="00C57CE6">
            <w:pPr>
              <w:cnfStyle w:val="000000100000" w:firstRow="0" w:lastRow="0" w:firstColumn="0" w:lastColumn="0" w:oddVBand="0" w:evenVBand="0" w:oddHBand="1" w:evenHBand="0" w:firstRowFirstColumn="0" w:firstRowLastColumn="0" w:lastRowFirstColumn="0" w:lastRowLastColumn="0"/>
              <w:rPr>
                <w:rFonts w:eastAsia="Times New Roman" w:cstheme="minorHAnsi"/>
                <w:bCs/>
                <w:color w:val="000000"/>
                <w:sz w:val="20"/>
                <w:szCs w:val="20"/>
                <w:u w:val="single"/>
                <w:lang w:eastAsia="en-GB"/>
              </w:rPr>
            </w:pPr>
            <w:r w:rsidRPr="00C57CE6">
              <w:rPr>
                <w:rFonts w:eastAsia="Times New Roman" w:cstheme="minorHAnsi"/>
                <w:bCs/>
                <w:color w:val="000000"/>
                <w:sz w:val="20"/>
                <w:szCs w:val="20"/>
                <w:u w:val="single"/>
                <w:lang w:eastAsia="en-GB"/>
              </w:rPr>
              <w:t>% of N ≥65</w:t>
            </w:r>
          </w:p>
        </w:tc>
        <w:tc>
          <w:tcPr>
            <w:tcW w:w="900" w:type="dxa"/>
            <w:tcBorders>
              <w:top w:val="single" w:sz="4" w:space="0" w:color="auto"/>
              <w:bottom w:val="single" w:sz="4" w:space="0" w:color="auto"/>
            </w:tcBorders>
            <w:noWrap/>
            <w:vAlign w:val="center"/>
            <w:hideMark/>
          </w:tcPr>
          <w:p w14:paraId="2BE61CBF" w14:textId="248506DA" w:rsidR="008144DB" w:rsidRPr="00C57CE6" w:rsidRDefault="008144DB" w:rsidP="00C57CE6">
            <w:pPr>
              <w:cnfStyle w:val="000000100000" w:firstRow="0" w:lastRow="0" w:firstColumn="0" w:lastColumn="0" w:oddVBand="0" w:evenVBand="0" w:oddHBand="1" w:evenHBand="0" w:firstRowFirstColumn="0" w:firstRowLastColumn="0" w:lastRowFirstColumn="0" w:lastRowLastColumn="0"/>
              <w:rPr>
                <w:rFonts w:eastAsia="Times New Roman" w:cstheme="minorHAnsi"/>
                <w:bCs/>
                <w:color w:val="000000"/>
                <w:sz w:val="20"/>
                <w:szCs w:val="20"/>
                <w:u w:val="single"/>
                <w:lang w:eastAsia="en-GB"/>
              </w:rPr>
            </w:pPr>
            <w:r w:rsidRPr="00C57CE6">
              <w:rPr>
                <w:rFonts w:eastAsia="Times New Roman" w:cstheme="minorHAnsi"/>
                <w:bCs/>
                <w:color w:val="000000"/>
                <w:sz w:val="20"/>
                <w:szCs w:val="20"/>
                <w:u w:val="single"/>
                <w:lang w:eastAsia="en-GB"/>
              </w:rPr>
              <w:t>≥ 65 pt ADRs</w:t>
            </w:r>
          </w:p>
        </w:tc>
        <w:tc>
          <w:tcPr>
            <w:tcW w:w="992" w:type="dxa"/>
            <w:tcBorders>
              <w:top w:val="single" w:sz="4" w:space="0" w:color="auto"/>
              <w:bottom w:val="single" w:sz="4" w:space="0" w:color="auto"/>
            </w:tcBorders>
            <w:noWrap/>
            <w:vAlign w:val="center"/>
            <w:hideMark/>
          </w:tcPr>
          <w:p w14:paraId="35E98C5A" w14:textId="05C4C780" w:rsidR="008144DB" w:rsidRPr="00C57CE6" w:rsidRDefault="008144DB" w:rsidP="00C57CE6">
            <w:pPr>
              <w:cnfStyle w:val="000000100000" w:firstRow="0" w:lastRow="0" w:firstColumn="0" w:lastColumn="0" w:oddVBand="0" w:evenVBand="0" w:oddHBand="1" w:evenHBand="0" w:firstRowFirstColumn="0" w:firstRowLastColumn="0" w:lastRowFirstColumn="0" w:lastRowLastColumn="0"/>
              <w:rPr>
                <w:rFonts w:eastAsia="Times New Roman" w:cstheme="minorHAnsi"/>
                <w:bCs/>
                <w:color w:val="000000"/>
                <w:sz w:val="20"/>
                <w:szCs w:val="20"/>
                <w:u w:val="single"/>
                <w:lang w:eastAsia="en-GB"/>
              </w:rPr>
            </w:pPr>
            <w:r w:rsidRPr="00C57CE6">
              <w:rPr>
                <w:rFonts w:eastAsia="Times New Roman" w:cstheme="minorHAnsi"/>
                <w:bCs/>
                <w:color w:val="000000"/>
                <w:sz w:val="20"/>
                <w:szCs w:val="20"/>
                <w:u w:val="single"/>
                <w:lang w:eastAsia="en-GB"/>
              </w:rPr>
              <w:t>% pt ≥ 65 ADR</w:t>
            </w:r>
          </w:p>
        </w:tc>
      </w:tr>
      <w:tr w:rsidR="008144DB" w:rsidRPr="0048198F" w14:paraId="35489F80" w14:textId="77777777" w:rsidTr="005D4733">
        <w:trPr>
          <w:trHeight w:val="29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nil"/>
            </w:tcBorders>
            <w:shd w:val="clear" w:color="auto" w:fill="auto"/>
            <w:vAlign w:val="center"/>
            <w:hideMark/>
          </w:tcPr>
          <w:p w14:paraId="41373A8B" w14:textId="7BED4E70" w:rsidR="008144DB" w:rsidRPr="0048198F" w:rsidRDefault="008144DB" w:rsidP="00A75F77">
            <w:pPr>
              <w:rPr>
                <w:rFonts w:eastAsia="Times New Roman" w:cstheme="minorHAnsi"/>
                <w:color w:val="000000"/>
                <w:sz w:val="20"/>
                <w:szCs w:val="20"/>
                <w:lang w:eastAsia="en-GB"/>
              </w:rPr>
            </w:pPr>
            <w:r w:rsidRPr="0048198F">
              <w:rPr>
                <w:rFonts w:cstheme="minorHAnsi"/>
                <w:sz w:val="20"/>
                <w:szCs w:val="20"/>
              </w:rPr>
              <w:t xml:space="preserve">Ayub </w:t>
            </w:r>
            <w:r w:rsidR="00A75F77">
              <w:rPr>
                <w:rFonts w:cstheme="minorHAnsi"/>
                <w:noProof/>
                <w:sz w:val="20"/>
                <w:szCs w:val="20"/>
              </w:rPr>
              <w:t>[22]</w:t>
            </w:r>
          </w:p>
        </w:tc>
        <w:tc>
          <w:tcPr>
            <w:tcW w:w="992" w:type="dxa"/>
            <w:tcBorders>
              <w:top w:val="single" w:sz="4" w:space="0" w:color="auto"/>
            </w:tcBorders>
            <w:shd w:val="clear" w:color="auto" w:fill="auto"/>
            <w:noWrap/>
            <w:vAlign w:val="center"/>
            <w:hideMark/>
          </w:tcPr>
          <w:p w14:paraId="361C17A1" w14:textId="77777777" w:rsidR="008144DB" w:rsidRPr="0048198F" w:rsidRDefault="008144DB" w:rsidP="00C57CE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GB"/>
              </w:rPr>
            </w:pPr>
            <w:r w:rsidRPr="0048198F">
              <w:rPr>
                <w:rFonts w:eastAsia="Times New Roman" w:cstheme="minorHAnsi"/>
                <w:color w:val="000000"/>
                <w:sz w:val="20"/>
                <w:szCs w:val="20"/>
                <w:lang w:eastAsia="en-GB"/>
              </w:rPr>
              <w:t>270</w:t>
            </w:r>
          </w:p>
        </w:tc>
        <w:tc>
          <w:tcPr>
            <w:tcW w:w="993" w:type="dxa"/>
            <w:tcBorders>
              <w:top w:val="single" w:sz="4" w:space="0" w:color="auto"/>
            </w:tcBorders>
            <w:shd w:val="clear" w:color="auto" w:fill="auto"/>
            <w:noWrap/>
            <w:vAlign w:val="center"/>
            <w:hideMark/>
          </w:tcPr>
          <w:p w14:paraId="6EC35EC4" w14:textId="77777777" w:rsidR="008144DB" w:rsidRPr="0048198F" w:rsidRDefault="008144DB" w:rsidP="00C57CE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GB"/>
              </w:rPr>
            </w:pPr>
            <w:r w:rsidRPr="0048198F">
              <w:rPr>
                <w:rFonts w:eastAsia="Times New Roman" w:cstheme="minorHAnsi"/>
                <w:color w:val="000000"/>
                <w:sz w:val="20"/>
                <w:szCs w:val="20"/>
                <w:lang w:eastAsia="en-GB"/>
              </w:rPr>
              <w:t>20</w:t>
            </w:r>
          </w:p>
        </w:tc>
        <w:tc>
          <w:tcPr>
            <w:tcW w:w="940" w:type="dxa"/>
            <w:tcBorders>
              <w:top w:val="single" w:sz="4" w:space="0" w:color="auto"/>
            </w:tcBorders>
            <w:shd w:val="clear" w:color="auto" w:fill="auto"/>
            <w:noWrap/>
            <w:vAlign w:val="center"/>
            <w:hideMark/>
          </w:tcPr>
          <w:p w14:paraId="581778E4" w14:textId="77777777" w:rsidR="008144DB" w:rsidRPr="0048198F" w:rsidRDefault="008144DB" w:rsidP="00C57CE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GB"/>
              </w:rPr>
            </w:pPr>
            <w:r w:rsidRPr="0048198F">
              <w:rPr>
                <w:rFonts w:eastAsia="Times New Roman" w:cstheme="minorHAnsi"/>
                <w:color w:val="000000"/>
                <w:sz w:val="20"/>
                <w:szCs w:val="20"/>
                <w:lang w:eastAsia="en-GB"/>
              </w:rPr>
              <w:t>7.41</w:t>
            </w:r>
          </w:p>
        </w:tc>
        <w:tc>
          <w:tcPr>
            <w:tcW w:w="847" w:type="dxa"/>
            <w:tcBorders>
              <w:top w:val="single" w:sz="4" w:space="0" w:color="auto"/>
            </w:tcBorders>
            <w:shd w:val="clear" w:color="auto" w:fill="auto"/>
            <w:noWrap/>
            <w:vAlign w:val="center"/>
            <w:hideMark/>
          </w:tcPr>
          <w:p w14:paraId="1785AE0E" w14:textId="77777777" w:rsidR="008144DB" w:rsidRPr="0048198F" w:rsidRDefault="008144DB" w:rsidP="00C57CE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GB"/>
              </w:rPr>
            </w:pPr>
            <w:r w:rsidRPr="0048198F">
              <w:rPr>
                <w:rFonts w:eastAsia="Times New Roman" w:cstheme="minorHAnsi"/>
                <w:color w:val="000000"/>
                <w:sz w:val="20"/>
                <w:szCs w:val="20"/>
                <w:lang w:eastAsia="en-GB"/>
              </w:rPr>
              <w:t>97</w:t>
            </w:r>
          </w:p>
        </w:tc>
        <w:tc>
          <w:tcPr>
            <w:tcW w:w="998" w:type="dxa"/>
            <w:tcBorders>
              <w:top w:val="single" w:sz="4" w:space="0" w:color="auto"/>
            </w:tcBorders>
            <w:shd w:val="clear" w:color="auto" w:fill="auto"/>
            <w:vAlign w:val="center"/>
          </w:tcPr>
          <w:p w14:paraId="40FA45B9" w14:textId="4BC07501" w:rsidR="008144DB" w:rsidRPr="0048198F" w:rsidRDefault="008144DB" w:rsidP="00C57CE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GB"/>
              </w:rPr>
            </w:pPr>
            <w:r w:rsidRPr="0048198F">
              <w:rPr>
                <w:rFonts w:eastAsia="Times New Roman" w:cstheme="minorHAnsi"/>
                <w:color w:val="000000"/>
                <w:sz w:val="20"/>
                <w:szCs w:val="20"/>
                <w:lang w:eastAsia="en-GB"/>
              </w:rPr>
              <w:t>35.93</w:t>
            </w:r>
          </w:p>
        </w:tc>
        <w:tc>
          <w:tcPr>
            <w:tcW w:w="900" w:type="dxa"/>
            <w:tcBorders>
              <w:top w:val="single" w:sz="4" w:space="0" w:color="auto"/>
            </w:tcBorders>
            <w:shd w:val="clear" w:color="auto" w:fill="auto"/>
            <w:noWrap/>
            <w:vAlign w:val="center"/>
            <w:hideMark/>
          </w:tcPr>
          <w:p w14:paraId="7E72FFC9" w14:textId="1F3E7C3C" w:rsidR="008144DB" w:rsidRPr="0048198F" w:rsidRDefault="008144DB" w:rsidP="00C57CE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GB"/>
              </w:rPr>
            </w:pPr>
            <w:r w:rsidRPr="0048198F">
              <w:rPr>
                <w:rFonts w:eastAsia="Times New Roman" w:cstheme="minorHAnsi"/>
                <w:color w:val="000000"/>
                <w:sz w:val="20"/>
                <w:szCs w:val="20"/>
                <w:lang w:eastAsia="en-GB"/>
              </w:rPr>
              <w:t>7</w:t>
            </w:r>
          </w:p>
        </w:tc>
        <w:tc>
          <w:tcPr>
            <w:tcW w:w="992" w:type="dxa"/>
            <w:tcBorders>
              <w:top w:val="single" w:sz="4" w:space="0" w:color="auto"/>
            </w:tcBorders>
            <w:shd w:val="clear" w:color="auto" w:fill="auto"/>
            <w:noWrap/>
            <w:vAlign w:val="center"/>
            <w:hideMark/>
          </w:tcPr>
          <w:p w14:paraId="1CCBC4C6" w14:textId="1BE608DE" w:rsidR="008144DB" w:rsidRPr="0048198F" w:rsidRDefault="008144DB" w:rsidP="00C57CE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GB"/>
              </w:rPr>
            </w:pPr>
            <w:r w:rsidRPr="0048198F">
              <w:rPr>
                <w:rFonts w:eastAsia="Times New Roman" w:cstheme="minorHAnsi"/>
                <w:color w:val="000000"/>
                <w:sz w:val="20"/>
                <w:szCs w:val="20"/>
                <w:lang w:eastAsia="en-GB"/>
              </w:rPr>
              <w:t>7.22</w:t>
            </w:r>
          </w:p>
        </w:tc>
      </w:tr>
      <w:tr w:rsidR="008144DB" w:rsidRPr="0048198F" w14:paraId="1BA5D82C" w14:textId="77777777" w:rsidTr="005D473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689" w:type="dxa"/>
            <w:tcBorders>
              <w:top w:val="nil"/>
            </w:tcBorders>
            <w:shd w:val="clear" w:color="auto" w:fill="auto"/>
            <w:vAlign w:val="center"/>
            <w:hideMark/>
          </w:tcPr>
          <w:p w14:paraId="3E1BB8FB" w14:textId="5EF59042" w:rsidR="008144DB" w:rsidRPr="0048198F" w:rsidRDefault="008144DB" w:rsidP="00A75F77">
            <w:pPr>
              <w:rPr>
                <w:rFonts w:eastAsia="Times New Roman" w:cstheme="minorHAnsi"/>
                <w:color w:val="000000"/>
                <w:sz w:val="20"/>
                <w:szCs w:val="20"/>
                <w:lang w:eastAsia="en-GB"/>
              </w:rPr>
            </w:pPr>
            <w:r w:rsidRPr="0048198F">
              <w:rPr>
                <w:rFonts w:cstheme="minorHAnsi"/>
                <w:sz w:val="20"/>
                <w:szCs w:val="20"/>
              </w:rPr>
              <w:t xml:space="preserve">Bowman </w:t>
            </w:r>
            <w:r w:rsidR="00A75F77">
              <w:rPr>
                <w:rFonts w:cstheme="minorHAnsi"/>
                <w:noProof/>
                <w:sz w:val="20"/>
                <w:szCs w:val="20"/>
              </w:rPr>
              <w:t>[23]</w:t>
            </w:r>
          </w:p>
        </w:tc>
        <w:tc>
          <w:tcPr>
            <w:tcW w:w="992" w:type="dxa"/>
            <w:shd w:val="clear" w:color="auto" w:fill="auto"/>
            <w:noWrap/>
            <w:vAlign w:val="center"/>
            <w:hideMark/>
          </w:tcPr>
          <w:p w14:paraId="7E4C17F7" w14:textId="77777777" w:rsidR="008144DB" w:rsidRPr="0048198F" w:rsidRDefault="008144DB" w:rsidP="00C57CE6">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en-GB"/>
              </w:rPr>
            </w:pPr>
            <w:r w:rsidRPr="0048198F">
              <w:rPr>
                <w:rFonts w:eastAsia="Times New Roman" w:cstheme="minorHAnsi"/>
                <w:color w:val="000000"/>
                <w:sz w:val="20"/>
                <w:szCs w:val="20"/>
                <w:lang w:eastAsia="en-GB"/>
              </w:rPr>
              <w:t>1024</w:t>
            </w:r>
          </w:p>
        </w:tc>
        <w:tc>
          <w:tcPr>
            <w:tcW w:w="993" w:type="dxa"/>
            <w:shd w:val="clear" w:color="auto" w:fill="auto"/>
            <w:noWrap/>
            <w:vAlign w:val="center"/>
            <w:hideMark/>
          </w:tcPr>
          <w:p w14:paraId="48406A9F" w14:textId="77777777" w:rsidR="008144DB" w:rsidRPr="0048198F" w:rsidRDefault="008144DB" w:rsidP="00C57CE6">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en-GB"/>
              </w:rPr>
            </w:pPr>
            <w:r w:rsidRPr="0048198F">
              <w:rPr>
                <w:rFonts w:eastAsia="Times New Roman" w:cstheme="minorHAnsi"/>
                <w:color w:val="000000"/>
                <w:sz w:val="20"/>
                <w:szCs w:val="20"/>
                <w:lang w:eastAsia="en-GB"/>
              </w:rPr>
              <w:t>237</w:t>
            </w:r>
          </w:p>
        </w:tc>
        <w:tc>
          <w:tcPr>
            <w:tcW w:w="940" w:type="dxa"/>
            <w:shd w:val="clear" w:color="auto" w:fill="auto"/>
            <w:noWrap/>
            <w:vAlign w:val="center"/>
            <w:hideMark/>
          </w:tcPr>
          <w:p w14:paraId="6A473465" w14:textId="77777777" w:rsidR="008144DB" w:rsidRPr="0048198F" w:rsidRDefault="008144DB" w:rsidP="00C57CE6">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en-GB"/>
              </w:rPr>
            </w:pPr>
            <w:r w:rsidRPr="0048198F">
              <w:rPr>
                <w:rFonts w:eastAsia="Times New Roman" w:cstheme="minorHAnsi"/>
                <w:color w:val="000000"/>
                <w:sz w:val="20"/>
                <w:szCs w:val="20"/>
                <w:lang w:eastAsia="en-GB"/>
              </w:rPr>
              <w:t>23.14</w:t>
            </w:r>
          </w:p>
        </w:tc>
        <w:tc>
          <w:tcPr>
            <w:tcW w:w="847" w:type="dxa"/>
            <w:shd w:val="clear" w:color="auto" w:fill="auto"/>
            <w:noWrap/>
            <w:vAlign w:val="center"/>
            <w:hideMark/>
          </w:tcPr>
          <w:p w14:paraId="48B1F057" w14:textId="77777777" w:rsidR="008144DB" w:rsidRPr="0048198F" w:rsidRDefault="008144DB" w:rsidP="00C57CE6">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en-GB"/>
              </w:rPr>
            </w:pPr>
            <w:r w:rsidRPr="0048198F">
              <w:rPr>
                <w:rFonts w:eastAsia="Times New Roman" w:cstheme="minorHAnsi"/>
                <w:color w:val="000000"/>
                <w:sz w:val="20"/>
                <w:szCs w:val="20"/>
                <w:lang w:eastAsia="en-GB"/>
              </w:rPr>
              <w:t>301</w:t>
            </w:r>
          </w:p>
        </w:tc>
        <w:tc>
          <w:tcPr>
            <w:tcW w:w="998" w:type="dxa"/>
            <w:shd w:val="clear" w:color="auto" w:fill="auto"/>
            <w:vAlign w:val="center"/>
          </w:tcPr>
          <w:p w14:paraId="575AB1E1" w14:textId="3155828D" w:rsidR="008144DB" w:rsidRPr="0048198F" w:rsidRDefault="008144DB" w:rsidP="00C57CE6">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en-GB"/>
              </w:rPr>
            </w:pPr>
            <w:r w:rsidRPr="0048198F">
              <w:rPr>
                <w:rFonts w:eastAsia="Times New Roman" w:cstheme="minorHAnsi"/>
                <w:color w:val="000000"/>
                <w:sz w:val="20"/>
                <w:szCs w:val="20"/>
                <w:lang w:eastAsia="en-GB"/>
              </w:rPr>
              <w:t>29.39</w:t>
            </w:r>
          </w:p>
        </w:tc>
        <w:tc>
          <w:tcPr>
            <w:tcW w:w="900" w:type="dxa"/>
            <w:shd w:val="clear" w:color="auto" w:fill="auto"/>
            <w:noWrap/>
            <w:vAlign w:val="center"/>
            <w:hideMark/>
          </w:tcPr>
          <w:p w14:paraId="6D5E17CA" w14:textId="04C64009" w:rsidR="008144DB" w:rsidRPr="0048198F" w:rsidRDefault="008144DB" w:rsidP="00C57CE6">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en-GB"/>
              </w:rPr>
            </w:pPr>
            <w:r w:rsidRPr="0048198F">
              <w:rPr>
                <w:rFonts w:eastAsia="Times New Roman" w:cstheme="minorHAnsi"/>
                <w:color w:val="000000"/>
                <w:sz w:val="20"/>
                <w:szCs w:val="20"/>
                <w:lang w:eastAsia="en-GB"/>
              </w:rPr>
              <w:t>89</w:t>
            </w:r>
          </w:p>
        </w:tc>
        <w:tc>
          <w:tcPr>
            <w:tcW w:w="992" w:type="dxa"/>
            <w:shd w:val="clear" w:color="auto" w:fill="auto"/>
            <w:noWrap/>
            <w:vAlign w:val="center"/>
            <w:hideMark/>
          </w:tcPr>
          <w:p w14:paraId="4DC38696" w14:textId="654F5D4D" w:rsidR="008144DB" w:rsidRPr="0048198F" w:rsidRDefault="008144DB" w:rsidP="00C57CE6">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en-GB"/>
              </w:rPr>
            </w:pPr>
            <w:r w:rsidRPr="0048198F">
              <w:rPr>
                <w:rFonts w:eastAsia="Times New Roman" w:cstheme="minorHAnsi"/>
                <w:color w:val="000000"/>
                <w:sz w:val="20"/>
                <w:szCs w:val="20"/>
                <w:lang w:eastAsia="en-GB"/>
              </w:rPr>
              <w:t>29.57</w:t>
            </w:r>
          </w:p>
        </w:tc>
      </w:tr>
      <w:tr w:rsidR="008144DB" w:rsidRPr="0048198F" w14:paraId="3848AB2C" w14:textId="77777777" w:rsidTr="005D4733">
        <w:trPr>
          <w:trHeight w:val="290"/>
        </w:trPr>
        <w:tc>
          <w:tcPr>
            <w:cnfStyle w:val="001000000000" w:firstRow="0" w:lastRow="0" w:firstColumn="1" w:lastColumn="0" w:oddVBand="0" w:evenVBand="0" w:oddHBand="0" w:evenHBand="0" w:firstRowFirstColumn="0" w:firstRowLastColumn="0" w:lastRowFirstColumn="0" w:lastRowLastColumn="0"/>
            <w:tcW w:w="2689" w:type="dxa"/>
            <w:shd w:val="clear" w:color="auto" w:fill="auto"/>
            <w:vAlign w:val="center"/>
            <w:hideMark/>
          </w:tcPr>
          <w:p w14:paraId="4462D61E" w14:textId="1DB38E89" w:rsidR="008144DB" w:rsidRPr="0048198F" w:rsidRDefault="008144DB" w:rsidP="00080710">
            <w:pPr>
              <w:rPr>
                <w:rFonts w:eastAsia="Times New Roman" w:cstheme="minorHAnsi"/>
                <w:color w:val="000000"/>
                <w:sz w:val="20"/>
                <w:szCs w:val="20"/>
                <w:lang w:eastAsia="en-GB"/>
              </w:rPr>
            </w:pPr>
            <w:r w:rsidRPr="0048198F">
              <w:rPr>
                <w:rFonts w:cstheme="minorHAnsi"/>
                <w:sz w:val="20"/>
                <w:szCs w:val="20"/>
              </w:rPr>
              <w:t xml:space="preserve">Caldron-Ospina </w:t>
            </w:r>
            <w:r w:rsidR="00A75F77">
              <w:rPr>
                <w:rFonts w:cstheme="minorHAnsi"/>
                <w:noProof/>
                <w:sz w:val="20"/>
                <w:szCs w:val="20"/>
              </w:rPr>
              <w:t>[24]</w:t>
            </w:r>
          </w:p>
        </w:tc>
        <w:tc>
          <w:tcPr>
            <w:tcW w:w="992" w:type="dxa"/>
            <w:shd w:val="clear" w:color="auto" w:fill="auto"/>
            <w:noWrap/>
            <w:vAlign w:val="center"/>
            <w:hideMark/>
          </w:tcPr>
          <w:p w14:paraId="5735214C" w14:textId="77777777" w:rsidR="008144DB" w:rsidRPr="0048198F" w:rsidRDefault="008144DB" w:rsidP="00C57CE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GB"/>
              </w:rPr>
            </w:pPr>
            <w:r w:rsidRPr="0048198F">
              <w:rPr>
                <w:rFonts w:eastAsia="Times New Roman" w:cstheme="minorHAnsi"/>
                <w:color w:val="000000"/>
                <w:sz w:val="20"/>
                <w:szCs w:val="20"/>
                <w:lang w:eastAsia="en-GB"/>
              </w:rPr>
              <w:t>104</w:t>
            </w:r>
          </w:p>
        </w:tc>
        <w:tc>
          <w:tcPr>
            <w:tcW w:w="993" w:type="dxa"/>
            <w:shd w:val="clear" w:color="auto" w:fill="auto"/>
            <w:noWrap/>
            <w:vAlign w:val="center"/>
            <w:hideMark/>
          </w:tcPr>
          <w:p w14:paraId="2C4B3F65" w14:textId="77777777" w:rsidR="008144DB" w:rsidRPr="0048198F" w:rsidRDefault="008144DB" w:rsidP="00C57CE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GB"/>
              </w:rPr>
            </w:pPr>
            <w:r w:rsidRPr="0048198F">
              <w:rPr>
                <w:rFonts w:eastAsia="Times New Roman" w:cstheme="minorHAnsi"/>
                <w:color w:val="000000"/>
                <w:sz w:val="20"/>
                <w:szCs w:val="20"/>
                <w:lang w:eastAsia="en-GB"/>
              </w:rPr>
              <w:t>26</w:t>
            </w:r>
          </w:p>
        </w:tc>
        <w:tc>
          <w:tcPr>
            <w:tcW w:w="940" w:type="dxa"/>
            <w:shd w:val="clear" w:color="auto" w:fill="auto"/>
            <w:noWrap/>
            <w:vAlign w:val="center"/>
            <w:hideMark/>
          </w:tcPr>
          <w:p w14:paraId="5DCBD6EA" w14:textId="77777777" w:rsidR="008144DB" w:rsidRPr="0048198F" w:rsidRDefault="008144DB" w:rsidP="00C57CE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GB"/>
              </w:rPr>
            </w:pPr>
            <w:r w:rsidRPr="0048198F">
              <w:rPr>
                <w:rFonts w:eastAsia="Times New Roman" w:cstheme="minorHAnsi"/>
                <w:color w:val="000000"/>
                <w:sz w:val="20"/>
                <w:szCs w:val="20"/>
                <w:lang w:eastAsia="en-GB"/>
              </w:rPr>
              <w:t>25.00</w:t>
            </w:r>
          </w:p>
        </w:tc>
        <w:tc>
          <w:tcPr>
            <w:tcW w:w="847" w:type="dxa"/>
            <w:shd w:val="clear" w:color="auto" w:fill="auto"/>
            <w:noWrap/>
            <w:vAlign w:val="center"/>
            <w:hideMark/>
          </w:tcPr>
          <w:p w14:paraId="7000A4F3" w14:textId="77777777" w:rsidR="008144DB" w:rsidRPr="0048198F" w:rsidRDefault="008144DB" w:rsidP="00C57CE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GB"/>
              </w:rPr>
            </w:pPr>
            <w:r w:rsidRPr="0048198F">
              <w:rPr>
                <w:rFonts w:eastAsia="Times New Roman" w:cstheme="minorHAnsi"/>
                <w:color w:val="000000"/>
                <w:sz w:val="20"/>
                <w:szCs w:val="20"/>
                <w:lang w:eastAsia="en-GB"/>
              </w:rPr>
              <w:t>48</w:t>
            </w:r>
          </w:p>
        </w:tc>
        <w:tc>
          <w:tcPr>
            <w:tcW w:w="998" w:type="dxa"/>
            <w:shd w:val="clear" w:color="auto" w:fill="auto"/>
            <w:vAlign w:val="center"/>
          </w:tcPr>
          <w:p w14:paraId="28B5748D" w14:textId="387E373C" w:rsidR="008144DB" w:rsidRPr="0048198F" w:rsidRDefault="008144DB" w:rsidP="00C57CE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GB"/>
              </w:rPr>
            </w:pPr>
            <w:r w:rsidRPr="0048198F">
              <w:rPr>
                <w:rFonts w:eastAsia="Times New Roman" w:cstheme="minorHAnsi"/>
                <w:color w:val="000000"/>
                <w:sz w:val="20"/>
                <w:szCs w:val="20"/>
                <w:lang w:eastAsia="en-GB"/>
              </w:rPr>
              <w:t>46.15</w:t>
            </w:r>
          </w:p>
        </w:tc>
        <w:tc>
          <w:tcPr>
            <w:tcW w:w="900" w:type="dxa"/>
            <w:shd w:val="clear" w:color="auto" w:fill="auto"/>
            <w:noWrap/>
            <w:vAlign w:val="center"/>
            <w:hideMark/>
          </w:tcPr>
          <w:p w14:paraId="63C4E53A" w14:textId="5AA1C93A" w:rsidR="008144DB" w:rsidRPr="0048198F" w:rsidRDefault="008144DB" w:rsidP="00C57CE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GB"/>
              </w:rPr>
            </w:pPr>
            <w:r w:rsidRPr="0048198F">
              <w:rPr>
                <w:rFonts w:eastAsia="Times New Roman" w:cstheme="minorHAnsi"/>
                <w:color w:val="000000"/>
                <w:sz w:val="20"/>
                <w:szCs w:val="20"/>
                <w:lang w:eastAsia="en-GB"/>
              </w:rPr>
              <w:t>11</w:t>
            </w:r>
          </w:p>
        </w:tc>
        <w:tc>
          <w:tcPr>
            <w:tcW w:w="992" w:type="dxa"/>
            <w:shd w:val="clear" w:color="auto" w:fill="auto"/>
            <w:noWrap/>
            <w:vAlign w:val="center"/>
            <w:hideMark/>
          </w:tcPr>
          <w:p w14:paraId="139AD217" w14:textId="54FA50D8" w:rsidR="008144DB" w:rsidRPr="0048198F" w:rsidRDefault="008144DB" w:rsidP="00C57CE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GB"/>
              </w:rPr>
            </w:pPr>
            <w:r w:rsidRPr="0048198F">
              <w:rPr>
                <w:rFonts w:eastAsia="Times New Roman" w:cstheme="minorHAnsi"/>
                <w:color w:val="000000"/>
                <w:sz w:val="20"/>
                <w:szCs w:val="20"/>
                <w:lang w:eastAsia="en-GB"/>
              </w:rPr>
              <w:t>22.92</w:t>
            </w:r>
          </w:p>
        </w:tc>
      </w:tr>
      <w:tr w:rsidR="008144DB" w:rsidRPr="0048198F" w14:paraId="4C33C345" w14:textId="77777777" w:rsidTr="005D473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689" w:type="dxa"/>
            <w:shd w:val="clear" w:color="auto" w:fill="auto"/>
            <w:vAlign w:val="center"/>
            <w:hideMark/>
          </w:tcPr>
          <w:p w14:paraId="4987A5E0" w14:textId="531A6894" w:rsidR="008144DB" w:rsidRPr="0048198F" w:rsidRDefault="008144DB" w:rsidP="00080710">
            <w:pPr>
              <w:rPr>
                <w:rFonts w:eastAsia="Times New Roman" w:cstheme="minorHAnsi"/>
                <w:color w:val="000000"/>
                <w:sz w:val="20"/>
                <w:szCs w:val="20"/>
                <w:lang w:eastAsia="en-GB"/>
              </w:rPr>
            </w:pPr>
            <w:r w:rsidRPr="0048198F">
              <w:rPr>
                <w:rFonts w:cstheme="minorHAnsi"/>
                <w:sz w:val="20"/>
                <w:szCs w:val="20"/>
              </w:rPr>
              <w:t xml:space="preserve">Davies </w:t>
            </w:r>
            <w:r w:rsidR="00A75F77">
              <w:rPr>
                <w:rFonts w:cstheme="minorHAnsi"/>
                <w:noProof/>
                <w:sz w:val="20"/>
                <w:szCs w:val="20"/>
              </w:rPr>
              <w:t>[29]</w:t>
            </w:r>
          </w:p>
        </w:tc>
        <w:tc>
          <w:tcPr>
            <w:tcW w:w="992" w:type="dxa"/>
            <w:shd w:val="clear" w:color="auto" w:fill="auto"/>
            <w:noWrap/>
            <w:vAlign w:val="center"/>
            <w:hideMark/>
          </w:tcPr>
          <w:p w14:paraId="59BB2070" w14:textId="77777777" w:rsidR="008144DB" w:rsidRPr="0048198F" w:rsidRDefault="008144DB" w:rsidP="00C57CE6">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en-GB"/>
              </w:rPr>
            </w:pPr>
            <w:r w:rsidRPr="0048198F">
              <w:rPr>
                <w:rFonts w:eastAsia="Times New Roman" w:cstheme="minorHAnsi"/>
                <w:color w:val="000000"/>
                <w:sz w:val="20"/>
                <w:szCs w:val="20"/>
                <w:lang w:eastAsia="en-GB"/>
              </w:rPr>
              <w:t>3322</w:t>
            </w:r>
          </w:p>
        </w:tc>
        <w:tc>
          <w:tcPr>
            <w:tcW w:w="993" w:type="dxa"/>
            <w:shd w:val="clear" w:color="auto" w:fill="auto"/>
            <w:noWrap/>
            <w:vAlign w:val="center"/>
            <w:hideMark/>
          </w:tcPr>
          <w:p w14:paraId="7AD8412D" w14:textId="77777777" w:rsidR="008144DB" w:rsidRPr="0048198F" w:rsidRDefault="008144DB" w:rsidP="00C57CE6">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en-GB"/>
              </w:rPr>
            </w:pPr>
            <w:r w:rsidRPr="0048198F">
              <w:rPr>
                <w:rFonts w:eastAsia="Times New Roman" w:cstheme="minorHAnsi"/>
                <w:color w:val="000000"/>
                <w:sz w:val="20"/>
                <w:szCs w:val="20"/>
                <w:lang w:eastAsia="en-GB"/>
              </w:rPr>
              <w:t>545</w:t>
            </w:r>
          </w:p>
        </w:tc>
        <w:tc>
          <w:tcPr>
            <w:tcW w:w="940" w:type="dxa"/>
            <w:shd w:val="clear" w:color="auto" w:fill="auto"/>
            <w:noWrap/>
            <w:vAlign w:val="center"/>
            <w:hideMark/>
          </w:tcPr>
          <w:p w14:paraId="5549490B" w14:textId="77777777" w:rsidR="008144DB" w:rsidRPr="0048198F" w:rsidRDefault="008144DB" w:rsidP="00C57CE6">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en-GB"/>
              </w:rPr>
            </w:pPr>
            <w:r w:rsidRPr="0048198F">
              <w:rPr>
                <w:rFonts w:eastAsia="Times New Roman" w:cstheme="minorHAnsi"/>
                <w:color w:val="000000"/>
                <w:sz w:val="20"/>
                <w:szCs w:val="20"/>
                <w:lang w:eastAsia="en-GB"/>
              </w:rPr>
              <w:t>16.41</w:t>
            </w:r>
          </w:p>
        </w:tc>
        <w:tc>
          <w:tcPr>
            <w:tcW w:w="847" w:type="dxa"/>
            <w:shd w:val="clear" w:color="auto" w:fill="auto"/>
            <w:noWrap/>
            <w:vAlign w:val="center"/>
            <w:hideMark/>
          </w:tcPr>
          <w:p w14:paraId="778401D6" w14:textId="77777777" w:rsidR="008144DB" w:rsidRPr="0048198F" w:rsidRDefault="008144DB" w:rsidP="00C57CE6">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en-GB"/>
              </w:rPr>
            </w:pPr>
            <w:r w:rsidRPr="0048198F">
              <w:rPr>
                <w:rFonts w:eastAsia="Times New Roman" w:cstheme="minorHAnsi"/>
                <w:color w:val="000000"/>
                <w:sz w:val="20"/>
                <w:szCs w:val="20"/>
                <w:lang w:eastAsia="en-GB"/>
              </w:rPr>
              <w:t>1787</w:t>
            </w:r>
          </w:p>
        </w:tc>
        <w:tc>
          <w:tcPr>
            <w:tcW w:w="998" w:type="dxa"/>
            <w:shd w:val="clear" w:color="auto" w:fill="auto"/>
            <w:vAlign w:val="center"/>
          </w:tcPr>
          <w:p w14:paraId="27D6B962" w14:textId="5D19D4BC" w:rsidR="008144DB" w:rsidRPr="0048198F" w:rsidRDefault="008144DB" w:rsidP="00C57CE6">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en-GB"/>
              </w:rPr>
            </w:pPr>
            <w:r w:rsidRPr="0048198F">
              <w:rPr>
                <w:rFonts w:eastAsia="Times New Roman" w:cstheme="minorHAnsi"/>
                <w:color w:val="000000"/>
                <w:sz w:val="20"/>
                <w:szCs w:val="20"/>
                <w:lang w:eastAsia="en-GB"/>
              </w:rPr>
              <w:t>53.79</w:t>
            </w:r>
          </w:p>
        </w:tc>
        <w:tc>
          <w:tcPr>
            <w:tcW w:w="900" w:type="dxa"/>
            <w:shd w:val="clear" w:color="auto" w:fill="auto"/>
            <w:noWrap/>
            <w:vAlign w:val="center"/>
            <w:hideMark/>
          </w:tcPr>
          <w:p w14:paraId="1E475C97" w14:textId="0FD15DC6" w:rsidR="008144DB" w:rsidRPr="0048198F" w:rsidRDefault="008144DB" w:rsidP="00C57CE6">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en-GB"/>
              </w:rPr>
            </w:pPr>
            <w:r w:rsidRPr="0048198F">
              <w:rPr>
                <w:rFonts w:eastAsia="Times New Roman" w:cstheme="minorHAnsi"/>
                <w:color w:val="000000"/>
                <w:sz w:val="20"/>
                <w:szCs w:val="20"/>
                <w:lang w:eastAsia="en-GB"/>
              </w:rPr>
              <w:t>328</w:t>
            </w:r>
          </w:p>
        </w:tc>
        <w:tc>
          <w:tcPr>
            <w:tcW w:w="992" w:type="dxa"/>
            <w:shd w:val="clear" w:color="auto" w:fill="auto"/>
            <w:noWrap/>
            <w:vAlign w:val="center"/>
            <w:hideMark/>
          </w:tcPr>
          <w:p w14:paraId="32B7CB6C" w14:textId="5615A49F" w:rsidR="008144DB" w:rsidRPr="0048198F" w:rsidRDefault="008144DB" w:rsidP="00C57CE6">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en-GB"/>
              </w:rPr>
            </w:pPr>
            <w:r w:rsidRPr="0048198F">
              <w:rPr>
                <w:rFonts w:eastAsia="Times New Roman" w:cstheme="minorHAnsi"/>
                <w:color w:val="000000"/>
                <w:sz w:val="20"/>
                <w:szCs w:val="20"/>
                <w:lang w:eastAsia="en-GB"/>
              </w:rPr>
              <w:t>18.35</w:t>
            </w:r>
          </w:p>
        </w:tc>
      </w:tr>
      <w:tr w:rsidR="008144DB" w:rsidRPr="0048198F" w14:paraId="43ED2B65" w14:textId="77777777" w:rsidTr="005D4733">
        <w:trPr>
          <w:trHeight w:val="290"/>
        </w:trPr>
        <w:tc>
          <w:tcPr>
            <w:cnfStyle w:val="001000000000" w:firstRow="0" w:lastRow="0" w:firstColumn="1" w:lastColumn="0" w:oddVBand="0" w:evenVBand="0" w:oddHBand="0" w:evenHBand="0" w:firstRowFirstColumn="0" w:firstRowLastColumn="0" w:lastRowFirstColumn="0" w:lastRowLastColumn="0"/>
            <w:tcW w:w="2689" w:type="dxa"/>
            <w:shd w:val="clear" w:color="auto" w:fill="auto"/>
            <w:vAlign w:val="center"/>
            <w:hideMark/>
          </w:tcPr>
          <w:p w14:paraId="48371127" w14:textId="497F21C9" w:rsidR="008144DB" w:rsidRPr="0048198F" w:rsidRDefault="008144DB" w:rsidP="00A75F77">
            <w:pPr>
              <w:rPr>
                <w:rFonts w:eastAsia="Times New Roman" w:cstheme="minorHAnsi"/>
                <w:color w:val="000000"/>
                <w:sz w:val="20"/>
                <w:szCs w:val="20"/>
                <w:lang w:eastAsia="en-GB"/>
              </w:rPr>
            </w:pPr>
            <w:r w:rsidRPr="0048198F">
              <w:rPr>
                <w:rFonts w:cstheme="minorHAnsi"/>
                <w:sz w:val="20"/>
                <w:szCs w:val="20"/>
              </w:rPr>
              <w:t xml:space="preserve">Ganeva </w:t>
            </w:r>
            <w:r w:rsidR="00A75F77">
              <w:rPr>
                <w:rFonts w:cstheme="minorHAnsi"/>
                <w:noProof/>
                <w:sz w:val="20"/>
                <w:szCs w:val="20"/>
              </w:rPr>
              <w:t>[33]</w:t>
            </w:r>
          </w:p>
        </w:tc>
        <w:tc>
          <w:tcPr>
            <w:tcW w:w="992" w:type="dxa"/>
            <w:shd w:val="clear" w:color="auto" w:fill="auto"/>
            <w:noWrap/>
            <w:vAlign w:val="center"/>
            <w:hideMark/>
          </w:tcPr>
          <w:p w14:paraId="3FBFB067" w14:textId="77777777" w:rsidR="008144DB" w:rsidRPr="0048198F" w:rsidRDefault="008144DB" w:rsidP="00C57CE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GB"/>
              </w:rPr>
            </w:pPr>
            <w:r w:rsidRPr="0048198F">
              <w:rPr>
                <w:rFonts w:eastAsia="Times New Roman" w:cstheme="minorHAnsi"/>
                <w:color w:val="000000"/>
                <w:sz w:val="20"/>
                <w:szCs w:val="20"/>
                <w:lang w:eastAsia="en-GB"/>
              </w:rPr>
              <w:t>674</w:t>
            </w:r>
          </w:p>
        </w:tc>
        <w:tc>
          <w:tcPr>
            <w:tcW w:w="993" w:type="dxa"/>
            <w:shd w:val="clear" w:color="auto" w:fill="auto"/>
            <w:noWrap/>
            <w:vAlign w:val="center"/>
            <w:hideMark/>
          </w:tcPr>
          <w:p w14:paraId="37DF2421" w14:textId="77777777" w:rsidR="008144DB" w:rsidRPr="0048198F" w:rsidRDefault="008144DB" w:rsidP="00C57CE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GB"/>
              </w:rPr>
            </w:pPr>
            <w:r w:rsidRPr="0048198F">
              <w:rPr>
                <w:rFonts w:eastAsia="Times New Roman" w:cstheme="minorHAnsi"/>
                <w:color w:val="000000"/>
                <w:sz w:val="20"/>
                <w:szCs w:val="20"/>
                <w:lang w:eastAsia="en-GB"/>
              </w:rPr>
              <w:t>42</w:t>
            </w:r>
          </w:p>
        </w:tc>
        <w:tc>
          <w:tcPr>
            <w:tcW w:w="940" w:type="dxa"/>
            <w:shd w:val="clear" w:color="auto" w:fill="auto"/>
            <w:noWrap/>
            <w:vAlign w:val="center"/>
            <w:hideMark/>
          </w:tcPr>
          <w:p w14:paraId="0679CF1F" w14:textId="77777777" w:rsidR="008144DB" w:rsidRPr="0048198F" w:rsidRDefault="008144DB" w:rsidP="00C57CE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GB"/>
              </w:rPr>
            </w:pPr>
            <w:r w:rsidRPr="0048198F">
              <w:rPr>
                <w:rFonts w:eastAsia="Times New Roman" w:cstheme="minorHAnsi"/>
                <w:color w:val="000000"/>
                <w:sz w:val="20"/>
                <w:szCs w:val="20"/>
                <w:lang w:eastAsia="en-GB"/>
              </w:rPr>
              <w:t>6.23</w:t>
            </w:r>
          </w:p>
        </w:tc>
        <w:tc>
          <w:tcPr>
            <w:tcW w:w="847" w:type="dxa"/>
            <w:shd w:val="clear" w:color="auto" w:fill="auto"/>
            <w:noWrap/>
            <w:vAlign w:val="center"/>
            <w:hideMark/>
          </w:tcPr>
          <w:p w14:paraId="0A0B9688" w14:textId="77777777" w:rsidR="008144DB" w:rsidRPr="0048198F" w:rsidRDefault="008144DB" w:rsidP="00C57CE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GB"/>
              </w:rPr>
            </w:pPr>
            <w:r w:rsidRPr="0048198F">
              <w:rPr>
                <w:rFonts w:eastAsia="Times New Roman" w:cstheme="minorHAnsi"/>
                <w:color w:val="000000"/>
                <w:sz w:val="20"/>
                <w:szCs w:val="20"/>
                <w:lang w:eastAsia="en-GB"/>
              </w:rPr>
              <w:t>203</w:t>
            </w:r>
          </w:p>
        </w:tc>
        <w:tc>
          <w:tcPr>
            <w:tcW w:w="998" w:type="dxa"/>
            <w:shd w:val="clear" w:color="auto" w:fill="auto"/>
            <w:vAlign w:val="center"/>
          </w:tcPr>
          <w:p w14:paraId="0167A408" w14:textId="43030544" w:rsidR="008144DB" w:rsidRPr="0048198F" w:rsidRDefault="008144DB" w:rsidP="00C57CE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GB"/>
              </w:rPr>
            </w:pPr>
            <w:r w:rsidRPr="0048198F">
              <w:rPr>
                <w:rFonts w:eastAsia="Times New Roman" w:cstheme="minorHAnsi"/>
                <w:color w:val="000000"/>
                <w:sz w:val="20"/>
                <w:szCs w:val="20"/>
                <w:lang w:eastAsia="en-GB"/>
              </w:rPr>
              <w:t>30.12</w:t>
            </w:r>
          </w:p>
        </w:tc>
        <w:tc>
          <w:tcPr>
            <w:tcW w:w="900" w:type="dxa"/>
            <w:shd w:val="clear" w:color="auto" w:fill="auto"/>
            <w:noWrap/>
            <w:vAlign w:val="center"/>
            <w:hideMark/>
          </w:tcPr>
          <w:p w14:paraId="799A90B5" w14:textId="46F835F6" w:rsidR="008144DB" w:rsidRPr="0048198F" w:rsidRDefault="008144DB" w:rsidP="00C57CE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GB"/>
              </w:rPr>
            </w:pPr>
            <w:r w:rsidRPr="0048198F">
              <w:rPr>
                <w:rFonts w:eastAsia="Times New Roman" w:cstheme="minorHAnsi"/>
                <w:color w:val="000000"/>
                <w:sz w:val="20"/>
                <w:szCs w:val="20"/>
                <w:lang w:eastAsia="en-GB"/>
              </w:rPr>
              <w:t>19</w:t>
            </w:r>
          </w:p>
        </w:tc>
        <w:tc>
          <w:tcPr>
            <w:tcW w:w="992" w:type="dxa"/>
            <w:shd w:val="clear" w:color="auto" w:fill="auto"/>
            <w:noWrap/>
            <w:vAlign w:val="center"/>
            <w:hideMark/>
          </w:tcPr>
          <w:p w14:paraId="39AE5D86" w14:textId="4C8E2B0F" w:rsidR="008144DB" w:rsidRPr="0048198F" w:rsidRDefault="008144DB" w:rsidP="00C57CE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GB"/>
              </w:rPr>
            </w:pPr>
            <w:r w:rsidRPr="0048198F">
              <w:rPr>
                <w:rFonts w:eastAsia="Times New Roman" w:cstheme="minorHAnsi"/>
                <w:color w:val="000000"/>
                <w:sz w:val="20"/>
                <w:szCs w:val="20"/>
                <w:lang w:eastAsia="en-GB"/>
              </w:rPr>
              <w:t>9.36</w:t>
            </w:r>
          </w:p>
        </w:tc>
      </w:tr>
      <w:tr w:rsidR="008144DB" w:rsidRPr="0048198F" w14:paraId="302F5208" w14:textId="77777777" w:rsidTr="005D473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689" w:type="dxa"/>
            <w:shd w:val="clear" w:color="auto" w:fill="auto"/>
            <w:vAlign w:val="center"/>
            <w:hideMark/>
          </w:tcPr>
          <w:p w14:paraId="7CA6A425" w14:textId="4641E83B" w:rsidR="008144DB" w:rsidRPr="0048198F" w:rsidRDefault="008144DB" w:rsidP="00A75F77">
            <w:pPr>
              <w:rPr>
                <w:rFonts w:eastAsia="Times New Roman" w:cstheme="minorHAnsi"/>
                <w:color w:val="000000"/>
                <w:sz w:val="20"/>
                <w:szCs w:val="20"/>
                <w:lang w:eastAsia="en-GB"/>
              </w:rPr>
            </w:pPr>
            <w:r w:rsidRPr="0048198F">
              <w:rPr>
                <w:rFonts w:cstheme="minorHAnsi"/>
                <w:sz w:val="20"/>
                <w:szCs w:val="20"/>
              </w:rPr>
              <w:t xml:space="preserve">Ganeva </w:t>
            </w:r>
            <w:r w:rsidR="00A75F77">
              <w:rPr>
                <w:rFonts w:cstheme="minorHAnsi"/>
                <w:noProof/>
                <w:sz w:val="20"/>
                <w:szCs w:val="20"/>
              </w:rPr>
              <w:t>[32]</w:t>
            </w:r>
          </w:p>
        </w:tc>
        <w:tc>
          <w:tcPr>
            <w:tcW w:w="992" w:type="dxa"/>
            <w:shd w:val="clear" w:color="auto" w:fill="auto"/>
            <w:noWrap/>
            <w:vAlign w:val="center"/>
            <w:hideMark/>
          </w:tcPr>
          <w:p w14:paraId="7191A427" w14:textId="77777777" w:rsidR="008144DB" w:rsidRPr="0048198F" w:rsidRDefault="008144DB" w:rsidP="00C57CE6">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en-GB"/>
              </w:rPr>
            </w:pPr>
            <w:r w:rsidRPr="0048198F">
              <w:rPr>
                <w:rFonts w:eastAsia="Times New Roman" w:cstheme="minorHAnsi"/>
                <w:color w:val="000000"/>
                <w:sz w:val="20"/>
                <w:szCs w:val="20"/>
                <w:lang w:eastAsia="en-GB"/>
              </w:rPr>
              <w:t>750</w:t>
            </w:r>
          </w:p>
        </w:tc>
        <w:tc>
          <w:tcPr>
            <w:tcW w:w="993" w:type="dxa"/>
            <w:shd w:val="clear" w:color="auto" w:fill="auto"/>
            <w:noWrap/>
            <w:vAlign w:val="center"/>
            <w:hideMark/>
          </w:tcPr>
          <w:p w14:paraId="7B536C71" w14:textId="77777777" w:rsidR="008144DB" w:rsidRPr="0048198F" w:rsidRDefault="008144DB" w:rsidP="00C57CE6">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en-GB"/>
              </w:rPr>
            </w:pPr>
            <w:r w:rsidRPr="0048198F">
              <w:rPr>
                <w:rFonts w:eastAsia="Times New Roman" w:cstheme="minorHAnsi"/>
                <w:color w:val="000000"/>
                <w:sz w:val="20"/>
                <w:szCs w:val="20"/>
                <w:lang w:eastAsia="en-GB"/>
              </w:rPr>
              <w:t>22</w:t>
            </w:r>
          </w:p>
        </w:tc>
        <w:tc>
          <w:tcPr>
            <w:tcW w:w="940" w:type="dxa"/>
            <w:shd w:val="clear" w:color="auto" w:fill="auto"/>
            <w:noWrap/>
            <w:vAlign w:val="center"/>
            <w:hideMark/>
          </w:tcPr>
          <w:p w14:paraId="4A742A0E" w14:textId="77777777" w:rsidR="008144DB" w:rsidRPr="0048198F" w:rsidRDefault="008144DB" w:rsidP="00C57CE6">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en-GB"/>
              </w:rPr>
            </w:pPr>
            <w:r w:rsidRPr="0048198F">
              <w:rPr>
                <w:rFonts w:eastAsia="Times New Roman" w:cstheme="minorHAnsi"/>
                <w:color w:val="000000"/>
                <w:sz w:val="20"/>
                <w:szCs w:val="20"/>
                <w:lang w:eastAsia="en-GB"/>
              </w:rPr>
              <w:t>2.93</w:t>
            </w:r>
          </w:p>
        </w:tc>
        <w:tc>
          <w:tcPr>
            <w:tcW w:w="847" w:type="dxa"/>
            <w:shd w:val="clear" w:color="auto" w:fill="auto"/>
            <w:noWrap/>
            <w:vAlign w:val="center"/>
            <w:hideMark/>
          </w:tcPr>
          <w:p w14:paraId="657E306D" w14:textId="77777777" w:rsidR="008144DB" w:rsidRPr="0048198F" w:rsidRDefault="008144DB" w:rsidP="00C57CE6">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en-GB"/>
              </w:rPr>
            </w:pPr>
            <w:r w:rsidRPr="0048198F">
              <w:rPr>
                <w:rFonts w:eastAsia="Times New Roman" w:cstheme="minorHAnsi"/>
                <w:color w:val="000000"/>
                <w:sz w:val="20"/>
                <w:szCs w:val="20"/>
                <w:lang w:eastAsia="en-GB"/>
              </w:rPr>
              <w:t>222</w:t>
            </w:r>
          </w:p>
        </w:tc>
        <w:tc>
          <w:tcPr>
            <w:tcW w:w="998" w:type="dxa"/>
            <w:shd w:val="clear" w:color="auto" w:fill="auto"/>
            <w:vAlign w:val="center"/>
          </w:tcPr>
          <w:p w14:paraId="7EA9FDD6" w14:textId="65EDDACA" w:rsidR="008144DB" w:rsidRPr="0048198F" w:rsidRDefault="008144DB" w:rsidP="00C57CE6">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en-GB"/>
              </w:rPr>
            </w:pPr>
            <w:r w:rsidRPr="0048198F">
              <w:rPr>
                <w:rFonts w:eastAsia="Times New Roman" w:cstheme="minorHAnsi"/>
                <w:color w:val="000000"/>
                <w:sz w:val="20"/>
                <w:szCs w:val="20"/>
                <w:lang w:eastAsia="en-GB"/>
              </w:rPr>
              <w:t>29.60</w:t>
            </w:r>
          </w:p>
        </w:tc>
        <w:tc>
          <w:tcPr>
            <w:tcW w:w="900" w:type="dxa"/>
            <w:shd w:val="clear" w:color="auto" w:fill="auto"/>
            <w:noWrap/>
            <w:vAlign w:val="center"/>
            <w:hideMark/>
          </w:tcPr>
          <w:p w14:paraId="3514C188" w14:textId="40BC6600" w:rsidR="008144DB" w:rsidRPr="0048198F" w:rsidRDefault="008144DB" w:rsidP="00C57CE6">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en-GB"/>
              </w:rPr>
            </w:pPr>
            <w:r w:rsidRPr="0048198F">
              <w:rPr>
                <w:rFonts w:eastAsia="Times New Roman" w:cstheme="minorHAnsi"/>
                <w:color w:val="000000"/>
                <w:sz w:val="20"/>
                <w:szCs w:val="20"/>
                <w:lang w:eastAsia="en-GB"/>
              </w:rPr>
              <w:t>11</w:t>
            </w:r>
          </w:p>
        </w:tc>
        <w:tc>
          <w:tcPr>
            <w:tcW w:w="992" w:type="dxa"/>
            <w:shd w:val="clear" w:color="auto" w:fill="auto"/>
            <w:noWrap/>
            <w:vAlign w:val="center"/>
            <w:hideMark/>
          </w:tcPr>
          <w:p w14:paraId="78514283" w14:textId="2D9B1A91" w:rsidR="008144DB" w:rsidRPr="0048198F" w:rsidRDefault="008144DB" w:rsidP="00C57CE6">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en-GB"/>
              </w:rPr>
            </w:pPr>
            <w:r w:rsidRPr="0048198F">
              <w:rPr>
                <w:rFonts w:eastAsia="Times New Roman" w:cstheme="minorHAnsi"/>
                <w:color w:val="000000"/>
                <w:sz w:val="20"/>
                <w:szCs w:val="20"/>
                <w:lang w:eastAsia="en-GB"/>
              </w:rPr>
              <w:t>4.95</w:t>
            </w:r>
          </w:p>
        </w:tc>
      </w:tr>
      <w:tr w:rsidR="008144DB" w:rsidRPr="0048198F" w14:paraId="06CB6BA2" w14:textId="77777777" w:rsidTr="005D4733">
        <w:trPr>
          <w:trHeight w:val="290"/>
        </w:trPr>
        <w:tc>
          <w:tcPr>
            <w:cnfStyle w:val="001000000000" w:firstRow="0" w:lastRow="0" w:firstColumn="1" w:lastColumn="0" w:oddVBand="0" w:evenVBand="0" w:oddHBand="0" w:evenHBand="0" w:firstRowFirstColumn="0" w:firstRowLastColumn="0" w:lastRowFirstColumn="0" w:lastRowLastColumn="0"/>
            <w:tcW w:w="2689" w:type="dxa"/>
            <w:shd w:val="clear" w:color="auto" w:fill="auto"/>
            <w:vAlign w:val="center"/>
            <w:hideMark/>
          </w:tcPr>
          <w:p w14:paraId="226ABA21" w14:textId="745D873F" w:rsidR="008144DB" w:rsidRPr="0048198F" w:rsidRDefault="008144DB" w:rsidP="00BC6FDE">
            <w:pPr>
              <w:rPr>
                <w:rFonts w:eastAsia="Times New Roman" w:cstheme="minorHAnsi"/>
                <w:color w:val="000000"/>
                <w:sz w:val="20"/>
                <w:szCs w:val="20"/>
                <w:lang w:eastAsia="en-GB"/>
              </w:rPr>
            </w:pPr>
            <w:r w:rsidRPr="0048198F">
              <w:rPr>
                <w:rFonts w:cstheme="minorHAnsi"/>
                <w:sz w:val="20"/>
                <w:szCs w:val="20"/>
              </w:rPr>
              <w:t xml:space="preserve">Ganeva </w:t>
            </w:r>
            <w:r w:rsidR="00BC6FDE">
              <w:rPr>
                <w:rFonts w:cstheme="minorHAnsi"/>
                <w:noProof/>
                <w:sz w:val="20"/>
                <w:szCs w:val="20"/>
              </w:rPr>
              <w:t>[51]</w:t>
            </w:r>
          </w:p>
        </w:tc>
        <w:tc>
          <w:tcPr>
            <w:tcW w:w="992" w:type="dxa"/>
            <w:shd w:val="clear" w:color="auto" w:fill="auto"/>
            <w:noWrap/>
            <w:vAlign w:val="center"/>
            <w:hideMark/>
          </w:tcPr>
          <w:p w14:paraId="2623A1E7" w14:textId="77777777" w:rsidR="008144DB" w:rsidRPr="0048198F" w:rsidRDefault="008144DB" w:rsidP="00C57CE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GB"/>
              </w:rPr>
            </w:pPr>
            <w:r w:rsidRPr="0048198F">
              <w:rPr>
                <w:rFonts w:eastAsia="Times New Roman" w:cstheme="minorHAnsi"/>
                <w:color w:val="000000"/>
                <w:sz w:val="20"/>
                <w:szCs w:val="20"/>
                <w:lang w:eastAsia="en-GB"/>
              </w:rPr>
              <w:t>1041</w:t>
            </w:r>
          </w:p>
        </w:tc>
        <w:tc>
          <w:tcPr>
            <w:tcW w:w="993" w:type="dxa"/>
            <w:shd w:val="clear" w:color="auto" w:fill="auto"/>
            <w:noWrap/>
            <w:vAlign w:val="center"/>
            <w:hideMark/>
          </w:tcPr>
          <w:p w14:paraId="4006F475" w14:textId="77777777" w:rsidR="008144DB" w:rsidRPr="0048198F" w:rsidRDefault="008144DB" w:rsidP="00C57CE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GB"/>
              </w:rPr>
            </w:pPr>
            <w:r w:rsidRPr="0048198F">
              <w:rPr>
                <w:rFonts w:eastAsia="Times New Roman" w:cstheme="minorHAnsi"/>
                <w:color w:val="000000"/>
                <w:sz w:val="20"/>
                <w:szCs w:val="20"/>
                <w:lang w:eastAsia="en-GB"/>
              </w:rPr>
              <w:t>81</w:t>
            </w:r>
          </w:p>
        </w:tc>
        <w:tc>
          <w:tcPr>
            <w:tcW w:w="940" w:type="dxa"/>
            <w:shd w:val="clear" w:color="auto" w:fill="auto"/>
            <w:noWrap/>
            <w:vAlign w:val="center"/>
            <w:hideMark/>
          </w:tcPr>
          <w:p w14:paraId="65DD08AA" w14:textId="77777777" w:rsidR="008144DB" w:rsidRPr="0048198F" w:rsidRDefault="008144DB" w:rsidP="00C57CE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GB"/>
              </w:rPr>
            </w:pPr>
            <w:r w:rsidRPr="0048198F">
              <w:rPr>
                <w:rFonts w:eastAsia="Times New Roman" w:cstheme="minorHAnsi"/>
                <w:color w:val="000000"/>
                <w:sz w:val="20"/>
                <w:szCs w:val="20"/>
                <w:lang w:eastAsia="en-GB"/>
              </w:rPr>
              <w:t>7.78</w:t>
            </w:r>
          </w:p>
        </w:tc>
        <w:tc>
          <w:tcPr>
            <w:tcW w:w="847" w:type="dxa"/>
            <w:shd w:val="clear" w:color="auto" w:fill="auto"/>
            <w:noWrap/>
            <w:vAlign w:val="center"/>
            <w:hideMark/>
          </w:tcPr>
          <w:p w14:paraId="6BA24BA1" w14:textId="77777777" w:rsidR="008144DB" w:rsidRPr="0048198F" w:rsidRDefault="008144DB" w:rsidP="00C57CE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GB"/>
              </w:rPr>
            </w:pPr>
            <w:r w:rsidRPr="0048198F">
              <w:rPr>
                <w:rFonts w:eastAsia="Times New Roman" w:cstheme="minorHAnsi"/>
                <w:color w:val="000000"/>
                <w:sz w:val="20"/>
                <w:szCs w:val="20"/>
                <w:lang w:eastAsia="en-GB"/>
              </w:rPr>
              <w:t>244</w:t>
            </w:r>
          </w:p>
        </w:tc>
        <w:tc>
          <w:tcPr>
            <w:tcW w:w="998" w:type="dxa"/>
            <w:shd w:val="clear" w:color="auto" w:fill="auto"/>
            <w:vAlign w:val="center"/>
          </w:tcPr>
          <w:p w14:paraId="41FAA789" w14:textId="70EF7675" w:rsidR="008144DB" w:rsidRPr="0048198F" w:rsidRDefault="008144DB" w:rsidP="00C57CE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GB"/>
              </w:rPr>
            </w:pPr>
            <w:r w:rsidRPr="0048198F">
              <w:rPr>
                <w:rFonts w:eastAsia="Times New Roman" w:cstheme="minorHAnsi"/>
                <w:color w:val="000000"/>
                <w:sz w:val="20"/>
                <w:szCs w:val="20"/>
                <w:lang w:eastAsia="en-GB"/>
              </w:rPr>
              <w:t>23.44</w:t>
            </w:r>
          </w:p>
        </w:tc>
        <w:tc>
          <w:tcPr>
            <w:tcW w:w="900" w:type="dxa"/>
            <w:shd w:val="clear" w:color="auto" w:fill="auto"/>
            <w:noWrap/>
            <w:vAlign w:val="center"/>
            <w:hideMark/>
          </w:tcPr>
          <w:p w14:paraId="4C3C5294" w14:textId="4D7B9F3C" w:rsidR="008144DB" w:rsidRPr="0048198F" w:rsidRDefault="008144DB" w:rsidP="00C57CE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GB"/>
              </w:rPr>
            </w:pPr>
            <w:r w:rsidRPr="0048198F">
              <w:rPr>
                <w:rFonts w:eastAsia="Times New Roman" w:cstheme="minorHAnsi"/>
                <w:color w:val="000000"/>
                <w:sz w:val="20"/>
                <w:szCs w:val="20"/>
                <w:lang w:eastAsia="en-GB"/>
              </w:rPr>
              <w:t>15</w:t>
            </w:r>
          </w:p>
        </w:tc>
        <w:tc>
          <w:tcPr>
            <w:tcW w:w="992" w:type="dxa"/>
            <w:shd w:val="clear" w:color="auto" w:fill="auto"/>
            <w:noWrap/>
            <w:vAlign w:val="center"/>
            <w:hideMark/>
          </w:tcPr>
          <w:p w14:paraId="4138D19B" w14:textId="709DE44D" w:rsidR="008144DB" w:rsidRPr="0048198F" w:rsidRDefault="008144DB" w:rsidP="00C57CE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GB"/>
              </w:rPr>
            </w:pPr>
            <w:r w:rsidRPr="0048198F">
              <w:rPr>
                <w:rFonts w:eastAsia="Times New Roman" w:cstheme="minorHAnsi"/>
                <w:color w:val="000000"/>
                <w:sz w:val="20"/>
                <w:szCs w:val="20"/>
                <w:lang w:eastAsia="en-GB"/>
              </w:rPr>
              <w:t>6.15</w:t>
            </w:r>
          </w:p>
        </w:tc>
      </w:tr>
      <w:tr w:rsidR="00136206" w:rsidRPr="0048198F" w14:paraId="1C52BC8A" w14:textId="77777777" w:rsidTr="005D473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689" w:type="dxa"/>
            <w:shd w:val="clear" w:color="auto" w:fill="auto"/>
            <w:vAlign w:val="center"/>
          </w:tcPr>
          <w:p w14:paraId="208894D8" w14:textId="4E889821" w:rsidR="00136206" w:rsidRPr="0048198F" w:rsidRDefault="00136206" w:rsidP="00136206">
            <w:pPr>
              <w:rPr>
                <w:rFonts w:cstheme="minorHAnsi"/>
                <w:sz w:val="20"/>
                <w:szCs w:val="20"/>
              </w:rPr>
            </w:pPr>
            <w:r>
              <w:rPr>
                <w:rFonts w:cstheme="minorHAnsi"/>
                <w:sz w:val="20"/>
                <w:szCs w:val="20"/>
              </w:rPr>
              <w:t xml:space="preserve">Giardina </w:t>
            </w:r>
            <w:r>
              <w:rPr>
                <w:rFonts w:cstheme="minorHAnsi"/>
                <w:noProof/>
                <w:sz w:val="20"/>
                <w:szCs w:val="20"/>
              </w:rPr>
              <w:t>[34]</w:t>
            </w:r>
          </w:p>
        </w:tc>
        <w:tc>
          <w:tcPr>
            <w:tcW w:w="992" w:type="dxa"/>
            <w:shd w:val="clear" w:color="auto" w:fill="auto"/>
            <w:noWrap/>
            <w:vAlign w:val="center"/>
          </w:tcPr>
          <w:p w14:paraId="32C2E11C" w14:textId="554ED4FB" w:rsidR="00136206" w:rsidRPr="0048198F" w:rsidRDefault="00136206" w:rsidP="00136206">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en-GB"/>
              </w:rPr>
            </w:pPr>
            <w:r>
              <w:rPr>
                <w:rFonts w:eastAsia="Times New Roman" w:cstheme="minorHAnsi"/>
                <w:color w:val="000000"/>
                <w:sz w:val="20"/>
                <w:szCs w:val="20"/>
                <w:lang w:eastAsia="en-GB"/>
              </w:rPr>
              <w:t>4802</w:t>
            </w:r>
          </w:p>
        </w:tc>
        <w:tc>
          <w:tcPr>
            <w:tcW w:w="993" w:type="dxa"/>
            <w:shd w:val="clear" w:color="auto" w:fill="auto"/>
            <w:noWrap/>
            <w:vAlign w:val="center"/>
          </w:tcPr>
          <w:p w14:paraId="7942C350" w14:textId="68E69E29" w:rsidR="00136206" w:rsidRPr="0048198F" w:rsidRDefault="00136206" w:rsidP="00136206">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en-GB"/>
              </w:rPr>
            </w:pPr>
            <w:r>
              <w:rPr>
                <w:rFonts w:eastAsia="Times New Roman" w:cstheme="minorHAnsi"/>
                <w:color w:val="000000"/>
                <w:sz w:val="20"/>
                <w:szCs w:val="20"/>
                <w:lang w:eastAsia="en-GB"/>
              </w:rPr>
              <w:t>153</w:t>
            </w:r>
          </w:p>
        </w:tc>
        <w:tc>
          <w:tcPr>
            <w:tcW w:w="940" w:type="dxa"/>
            <w:shd w:val="clear" w:color="auto" w:fill="auto"/>
            <w:noWrap/>
            <w:vAlign w:val="center"/>
          </w:tcPr>
          <w:p w14:paraId="114BD398" w14:textId="51246188" w:rsidR="00136206" w:rsidRPr="0048198F" w:rsidRDefault="00136206" w:rsidP="00136206">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en-GB"/>
              </w:rPr>
            </w:pPr>
            <w:r>
              <w:rPr>
                <w:rFonts w:eastAsia="Times New Roman" w:cstheme="minorHAnsi"/>
                <w:color w:val="000000"/>
                <w:sz w:val="20"/>
                <w:szCs w:val="20"/>
                <w:lang w:eastAsia="en-GB"/>
              </w:rPr>
              <w:t>3.19</w:t>
            </w:r>
          </w:p>
        </w:tc>
        <w:tc>
          <w:tcPr>
            <w:tcW w:w="847" w:type="dxa"/>
            <w:shd w:val="clear" w:color="auto" w:fill="auto"/>
            <w:noWrap/>
            <w:vAlign w:val="center"/>
          </w:tcPr>
          <w:p w14:paraId="250127B1" w14:textId="36D4AE7C" w:rsidR="00136206" w:rsidRPr="0048198F" w:rsidRDefault="00136206" w:rsidP="00136206">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en-GB"/>
              </w:rPr>
            </w:pPr>
            <w:r>
              <w:rPr>
                <w:rFonts w:eastAsia="Times New Roman" w:cstheme="minorHAnsi"/>
                <w:color w:val="000000"/>
                <w:sz w:val="20"/>
                <w:szCs w:val="20"/>
                <w:lang w:eastAsia="en-GB"/>
              </w:rPr>
              <w:t>3646</w:t>
            </w:r>
          </w:p>
        </w:tc>
        <w:tc>
          <w:tcPr>
            <w:tcW w:w="998" w:type="dxa"/>
            <w:shd w:val="clear" w:color="auto" w:fill="auto"/>
            <w:vAlign w:val="center"/>
          </w:tcPr>
          <w:p w14:paraId="385C70FE" w14:textId="10A10073" w:rsidR="00136206" w:rsidRPr="0048198F" w:rsidRDefault="00136206" w:rsidP="00136206">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en-GB"/>
              </w:rPr>
            </w:pPr>
            <w:r>
              <w:rPr>
                <w:rFonts w:eastAsia="Times New Roman" w:cstheme="minorHAnsi"/>
                <w:color w:val="000000"/>
                <w:sz w:val="20"/>
                <w:szCs w:val="20"/>
                <w:lang w:eastAsia="en-GB"/>
              </w:rPr>
              <w:t>75.93</w:t>
            </w:r>
          </w:p>
        </w:tc>
        <w:tc>
          <w:tcPr>
            <w:tcW w:w="900" w:type="dxa"/>
            <w:shd w:val="clear" w:color="auto" w:fill="auto"/>
            <w:noWrap/>
            <w:vAlign w:val="center"/>
          </w:tcPr>
          <w:p w14:paraId="4D6782E2" w14:textId="10465601" w:rsidR="00136206" w:rsidRPr="0048198F" w:rsidRDefault="00136206" w:rsidP="00136206">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en-GB"/>
              </w:rPr>
            </w:pPr>
            <w:r>
              <w:rPr>
                <w:rFonts w:eastAsia="Times New Roman" w:cstheme="minorHAnsi"/>
                <w:color w:val="000000"/>
                <w:sz w:val="20"/>
                <w:szCs w:val="20"/>
                <w:lang w:eastAsia="en-GB"/>
              </w:rPr>
              <w:t>114</w:t>
            </w:r>
          </w:p>
        </w:tc>
        <w:tc>
          <w:tcPr>
            <w:tcW w:w="992" w:type="dxa"/>
            <w:shd w:val="clear" w:color="auto" w:fill="auto"/>
            <w:noWrap/>
            <w:vAlign w:val="center"/>
          </w:tcPr>
          <w:p w14:paraId="1715044D" w14:textId="6151C499" w:rsidR="00136206" w:rsidRPr="0048198F" w:rsidRDefault="00136206" w:rsidP="00136206">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en-GB"/>
              </w:rPr>
            </w:pPr>
            <w:r>
              <w:rPr>
                <w:rFonts w:eastAsia="Times New Roman" w:cstheme="minorHAnsi"/>
                <w:color w:val="000000"/>
                <w:sz w:val="20"/>
                <w:szCs w:val="20"/>
                <w:lang w:eastAsia="en-GB"/>
              </w:rPr>
              <w:t>3.13</w:t>
            </w:r>
          </w:p>
        </w:tc>
      </w:tr>
      <w:tr w:rsidR="00136206" w:rsidRPr="0048198F" w14:paraId="438A1D6A" w14:textId="77777777" w:rsidTr="005D4733">
        <w:trPr>
          <w:trHeight w:val="290"/>
        </w:trPr>
        <w:tc>
          <w:tcPr>
            <w:cnfStyle w:val="001000000000" w:firstRow="0" w:lastRow="0" w:firstColumn="1" w:lastColumn="0" w:oddVBand="0" w:evenVBand="0" w:oddHBand="0" w:evenHBand="0" w:firstRowFirstColumn="0" w:firstRowLastColumn="0" w:lastRowFirstColumn="0" w:lastRowLastColumn="0"/>
            <w:tcW w:w="2689" w:type="dxa"/>
            <w:shd w:val="clear" w:color="auto" w:fill="auto"/>
            <w:vAlign w:val="center"/>
            <w:hideMark/>
          </w:tcPr>
          <w:p w14:paraId="44ECCB3E" w14:textId="0D8608F4" w:rsidR="00136206" w:rsidRPr="0048198F" w:rsidRDefault="00136206" w:rsidP="00136206">
            <w:pPr>
              <w:rPr>
                <w:rFonts w:eastAsia="Times New Roman" w:cstheme="minorHAnsi"/>
                <w:color w:val="000000"/>
                <w:sz w:val="20"/>
                <w:szCs w:val="20"/>
                <w:lang w:eastAsia="en-GB"/>
              </w:rPr>
            </w:pPr>
            <w:r w:rsidRPr="0048198F">
              <w:rPr>
                <w:rFonts w:cstheme="minorHAnsi"/>
                <w:sz w:val="20"/>
                <w:szCs w:val="20"/>
              </w:rPr>
              <w:t xml:space="preserve">Gonzalez-Martin </w:t>
            </w:r>
            <w:r>
              <w:rPr>
                <w:rFonts w:cstheme="minorHAnsi"/>
                <w:noProof/>
                <w:sz w:val="20"/>
                <w:szCs w:val="20"/>
              </w:rPr>
              <w:t>[35]</w:t>
            </w:r>
          </w:p>
        </w:tc>
        <w:tc>
          <w:tcPr>
            <w:tcW w:w="992" w:type="dxa"/>
            <w:shd w:val="clear" w:color="auto" w:fill="auto"/>
            <w:noWrap/>
            <w:vAlign w:val="center"/>
            <w:hideMark/>
          </w:tcPr>
          <w:p w14:paraId="1E347062" w14:textId="77777777" w:rsidR="00136206" w:rsidRPr="0048198F" w:rsidRDefault="00136206" w:rsidP="0013620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GB"/>
              </w:rPr>
            </w:pPr>
            <w:r w:rsidRPr="0048198F">
              <w:rPr>
                <w:rFonts w:eastAsia="Times New Roman" w:cstheme="minorHAnsi"/>
                <w:color w:val="000000"/>
                <w:sz w:val="20"/>
                <w:szCs w:val="20"/>
                <w:lang w:eastAsia="en-GB"/>
              </w:rPr>
              <w:t>201</w:t>
            </w:r>
          </w:p>
        </w:tc>
        <w:tc>
          <w:tcPr>
            <w:tcW w:w="993" w:type="dxa"/>
            <w:shd w:val="clear" w:color="auto" w:fill="auto"/>
            <w:noWrap/>
            <w:vAlign w:val="center"/>
            <w:hideMark/>
          </w:tcPr>
          <w:p w14:paraId="5CC8341F" w14:textId="77777777" w:rsidR="00136206" w:rsidRPr="0048198F" w:rsidRDefault="00136206" w:rsidP="0013620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GB"/>
              </w:rPr>
            </w:pPr>
            <w:r w:rsidRPr="0048198F">
              <w:rPr>
                <w:rFonts w:eastAsia="Times New Roman" w:cstheme="minorHAnsi"/>
                <w:color w:val="000000"/>
                <w:sz w:val="20"/>
                <w:szCs w:val="20"/>
                <w:lang w:eastAsia="en-GB"/>
              </w:rPr>
              <w:t>58</w:t>
            </w:r>
          </w:p>
        </w:tc>
        <w:tc>
          <w:tcPr>
            <w:tcW w:w="940" w:type="dxa"/>
            <w:shd w:val="clear" w:color="auto" w:fill="auto"/>
            <w:noWrap/>
            <w:vAlign w:val="center"/>
            <w:hideMark/>
          </w:tcPr>
          <w:p w14:paraId="07845EE9" w14:textId="77777777" w:rsidR="00136206" w:rsidRPr="0048198F" w:rsidRDefault="00136206" w:rsidP="0013620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GB"/>
              </w:rPr>
            </w:pPr>
            <w:r w:rsidRPr="0048198F">
              <w:rPr>
                <w:rFonts w:eastAsia="Times New Roman" w:cstheme="minorHAnsi"/>
                <w:color w:val="000000"/>
                <w:sz w:val="20"/>
                <w:szCs w:val="20"/>
                <w:lang w:eastAsia="en-GB"/>
              </w:rPr>
              <w:t>28.86</w:t>
            </w:r>
          </w:p>
        </w:tc>
        <w:tc>
          <w:tcPr>
            <w:tcW w:w="847" w:type="dxa"/>
            <w:shd w:val="clear" w:color="auto" w:fill="auto"/>
            <w:noWrap/>
            <w:vAlign w:val="center"/>
            <w:hideMark/>
          </w:tcPr>
          <w:p w14:paraId="7C39B55B" w14:textId="77777777" w:rsidR="00136206" w:rsidRPr="0048198F" w:rsidRDefault="00136206" w:rsidP="0013620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GB"/>
              </w:rPr>
            </w:pPr>
            <w:r w:rsidRPr="0048198F">
              <w:rPr>
                <w:rFonts w:eastAsia="Times New Roman" w:cstheme="minorHAnsi"/>
                <w:color w:val="000000"/>
                <w:sz w:val="20"/>
                <w:szCs w:val="20"/>
                <w:lang w:eastAsia="en-GB"/>
              </w:rPr>
              <w:t>106</w:t>
            </w:r>
          </w:p>
        </w:tc>
        <w:tc>
          <w:tcPr>
            <w:tcW w:w="998" w:type="dxa"/>
            <w:shd w:val="clear" w:color="auto" w:fill="auto"/>
            <w:vAlign w:val="center"/>
          </w:tcPr>
          <w:p w14:paraId="59AE9B75" w14:textId="2DA0691B" w:rsidR="00136206" w:rsidRPr="0048198F" w:rsidRDefault="00136206" w:rsidP="0013620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GB"/>
              </w:rPr>
            </w:pPr>
            <w:r w:rsidRPr="0048198F">
              <w:rPr>
                <w:rFonts w:eastAsia="Times New Roman" w:cstheme="minorHAnsi"/>
                <w:color w:val="000000"/>
                <w:sz w:val="20"/>
                <w:szCs w:val="20"/>
                <w:lang w:eastAsia="en-GB"/>
              </w:rPr>
              <w:t>52.74</w:t>
            </w:r>
          </w:p>
        </w:tc>
        <w:tc>
          <w:tcPr>
            <w:tcW w:w="900" w:type="dxa"/>
            <w:shd w:val="clear" w:color="auto" w:fill="auto"/>
            <w:noWrap/>
            <w:vAlign w:val="center"/>
            <w:hideMark/>
          </w:tcPr>
          <w:p w14:paraId="4CEF6469" w14:textId="23D750A8" w:rsidR="00136206" w:rsidRPr="0048198F" w:rsidRDefault="00136206" w:rsidP="0013620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GB"/>
              </w:rPr>
            </w:pPr>
            <w:r w:rsidRPr="0048198F">
              <w:rPr>
                <w:rFonts w:eastAsia="Times New Roman" w:cstheme="minorHAnsi"/>
                <w:color w:val="000000"/>
                <w:sz w:val="20"/>
                <w:szCs w:val="20"/>
                <w:lang w:eastAsia="en-GB"/>
              </w:rPr>
              <w:t>35</w:t>
            </w:r>
          </w:p>
        </w:tc>
        <w:tc>
          <w:tcPr>
            <w:tcW w:w="992" w:type="dxa"/>
            <w:shd w:val="clear" w:color="auto" w:fill="auto"/>
            <w:noWrap/>
            <w:vAlign w:val="center"/>
            <w:hideMark/>
          </w:tcPr>
          <w:p w14:paraId="16EBEFD5" w14:textId="0F8C8D57" w:rsidR="00136206" w:rsidRPr="0048198F" w:rsidRDefault="00136206" w:rsidP="0013620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GB"/>
              </w:rPr>
            </w:pPr>
            <w:r w:rsidRPr="0048198F">
              <w:rPr>
                <w:rFonts w:eastAsia="Times New Roman" w:cstheme="minorHAnsi"/>
                <w:color w:val="000000"/>
                <w:sz w:val="20"/>
                <w:szCs w:val="20"/>
                <w:lang w:eastAsia="en-GB"/>
              </w:rPr>
              <w:t>33.02</w:t>
            </w:r>
          </w:p>
        </w:tc>
      </w:tr>
      <w:tr w:rsidR="00136206" w:rsidRPr="0048198F" w14:paraId="058BCF50" w14:textId="77777777" w:rsidTr="005D4733">
        <w:trPr>
          <w:cnfStyle w:val="000000100000" w:firstRow="0" w:lastRow="0" w:firstColumn="0" w:lastColumn="0" w:oddVBand="0" w:evenVBand="0" w:oddHBand="1"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2689" w:type="dxa"/>
            <w:shd w:val="clear" w:color="auto" w:fill="auto"/>
            <w:vAlign w:val="center"/>
            <w:hideMark/>
          </w:tcPr>
          <w:p w14:paraId="24973816" w14:textId="65E44001" w:rsidR="00136206" w:rsidRPr="0048198F" w:rsidRDefault="00136206" w:rsidP="00136206">
            <w:pPr>
              <w:rPr>
                <w:rFonts w:eastAsia="Times New Roman" w:cstheme="minorHAnsi"/>
                <w:color w:val="000000"/>
                <w:sz w:val="20"/>
                <w:szCs w:val="20"/>
                <w:lang w:eastAsia="en-GB"/>
              </w:rPr>
            </w:pPr>
            <w:r w:rsidRPr="0048198F">
              <w:rPr>
                <w:rFonts w:cstheme="minorHAnsi"/>
                <w:sz w:val="20"/>
                <w:szCs w:val="20"/>
              </w:rPr>
              <w:t xml:space="preserve">Harugeri </w:t>
            </w:r>
            <w:r>
              <w:rPr>
                <w:rFonts w:cstheme="minorHAnsi"/>
                <w:noProof/>
                <w:sz w:val="20"/>
                <w:szCs w:val="20"/>
              </w:rPr>
              <w:t>[36]</w:t>
            </w:r>
          </w:p>
        </w:tc>
        <w:tc>
          <w:tcPr>
            <w:tcW w:w="992" w:type="dxa"/>
            <w:shd w:val="clear" w:color="auto" w:fill="auto"/>
            <w:noWrap/>
            <w:vAlign w:val="center"/>
            <w:hideMark/>
          </w:tcPr>
          <w:p w14:paraId="7A847E1A" w14:textId="77777777" w:rsidR="00136206" w:rsidRPr="0048198F" w:rsidRDefault="00136206" w:rsidP="00136206">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en-GB"/>
              </w:rPr>
            </w:pPr>
            <w:r w:rsidRPr="0048198F">
              <w:rPr>
                <w:rFonts w:eastAsia="Times New Roman" w:cstheme="minorHAnsi"/>
                <w:color w:val="000000"/>
                <w:sz w:val="20"/>
                <w:szCs w:val="20"/>
                <w:lang w:eastAsia="en-GB"/>
              </w:rPr>
              <w:t>920</w:t>
            </w:r>
          </w:p>
        </w:tc>
        <w:tc>
          <w:tcPr>
            <w:tcW w:w="993" w:type="dxa"/>
            <w:shd w:val="clear" w:color="auto" w:fill="auto"/>
            <w:noWrap/>
            <w:vAlign w:val="center"/>
            <w:hideMark/>
          </w:tcPr>
          <w:p w14:paraId="47E6AA73" w14:textId="77777777" w:rsidR="00136206" w:rsidRPr="0048198F" w:rsidRDefault="00136206" w:rsidP="00136206">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en-GB"/>
              </w:rPr>
            </w:pPr>
            <w:r w:rsidRPr="0048198F">
              <w:rPr>
                <w:rFonts w:eastAsia="Times New Roman" w:cstheme="minorHAnsi"/>
                <w:color w:val="000000"/>
                <w:sz w:val="20"/>
                <w:szCs w:val="20"/>
                <w:lang w:eastAsia="en-GB"/>
              </w:rPr>
              <w:t>296</w:t>
            </w:r>
          </w:p>
        </w:tc>
        <w:tc>
          <w:tcPr>
            <w:tcW w:w="940" w:type="dxa"/>
            <w:shd w:val="clear" w:color="auto" w:fill="auto"/>
            <w:noWrap/>
            <w:vAlign w:val="center"/>
            <w:hideMark/>
          </w:tcPr>
          <w:p w14:paraId="7725D31E" w14:textId="77777777" w:rsidR="00136206" w:rsidRPr="0048198F" w:rsidRDefault="00136206" w:rsidP="00136206">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en-GB"/>
              </w:rPr>
            </w:pPr>
            <w:r w:rsidRPr="0048198F">
              <w:rPr>
                <w:rFonts w:eastAsia="Times New Roman" w:cstheme="minorHAnsi"/>
                <w:color w:val="000000"/>
                <w:sz w:val="20"/>
                <w:szCs w:val="20"/>
                <w:lang w:eastAsia="en-GB"/>
              </w:rPr>
              <w:t>32.17</w:t>
            </w:r>
          </w:p>
        </w:tc>
        <w:tc>
          <w:tcPr>
            <w:tcW w:w="847" w:type="dxa"/>
            <w:shd w:val="clear" w:color="auto" w:fill="auto"/>
            <w:noWrap/>
            <w:vAlign w:val="center"/>
            <w:hideMark/>
          </w:tcPr>
          <w:p w14:paraId="012121D6" w14:textId="77777777" w:rsidR="00136206" w:rsidRPr="0048198F" w:rsidRDefault="00136206" w:rsidP="00136206">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en-GB"/>
              </w:rPr>
            </w:pPr>
            <w:r w:rsidRPr="0048198F">
              <w:rPr>
                <w:rFonts w:eastAsia="Times New Roman" w:cstheme="minorHAnsi"/>
                <w:color w:val="000000"/>
                <w:sz w:val="20"/>
                <w:szCs w:val="20"/>
                <w:lang w:eastAsia="en-GB"/>
              </w:rPr>
              <w:t>370</w:t>
            </w:r>
          </w:p>
        </w:tc>
        <w:tc>
          <w:tcPr>
            <w:tcW w:w="998" w:type="dxa"/>
            <w:shd w:val="clear" w:color="auto" w:fill="auto"/>
            <w:vAlign w:val="center"/>
          </w:tcPr>
          <w:p w14:paraId="61960DF8" w14:textId="7DECFB5C" w:rsidR="00136206" w:rsidRPr="0048198F" w:rsidRDefault="00136206" w:rsidP="00136206">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en-GB"/>
              </w:rPr>
            </w:pPr>
            <w:r w:rsidRPr="0048198F">
              <w:rPr>
                <w:rFonts w:eastAsia="Times New Roman" w:cstheme="minorHAnsi"/>
                <w:color w:val="000000"/>
                <w:sz w:val="20"/>
                <w:szCs w:val="20"/>
                <w:lang w:eastAsia="en-GB"/>
              </w:rPr>
              <w:t>40.22</w:t>
            </w:r>
          </w:p>
        </w:tc>
        <w:tc>
          <w:tcPr>
            <w:tcW w:w="900" w:type="dxa"/>
            <w:shd w:val="clear" w:color="auto" w:fill="auto"/>
            <w:noWrap/>
            <w:vAlign w:val="center"/>
            <w:hideMark/>
          </w:tcPr>
          <w:p w14:paraId="6F1BACA3" w14:textId="2863C7EE" w:rsidR="00136206" w:rsidRPr="0048198F" w:rsidRDefault="00136206" w:rsidP="00136206">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en-GB"/>
              </w:rPr>
            </w:pPr>
            <w:r w:rsidRPr="0048198F">
              <w:rPr>
                <w:rFonts w:eastAsia="Times New Roman" w:cstheme="minorHAnsi"/>
                <w:color w:val="000000"/>
                <w:sz w:val="20"/>
                <w:szCs w:val="20"/>
                <w:lang w:eastAsia="en-GB"/>
              </w:rPr>
              <w:t>112</w:t>
            </w:r>
          </w:p>
        </w:tc>
        <w:tc>
          <w:tcPr>
            <w:tcW w:w="992" w:type="dxa"/>
            <w:shd w:val="clear" w:color="auto" w:fill="auto"/>
            <w:noWrap/>
            <w:vAlign w:val="center"/>
            <w:hideMark/>
          </w:tcPr>
          <w:p w14:paraId="13BAD544" w14:textId="658B8CC9" w:rsidR="00136206" w:rsidRPr="0048198F" w:rsidRDefault="00136206" w:rsidP="00136206">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en-GB"/>
              </w:rPr>
            </w:pPr>
            <w:r w:rsidRPr="0048198F">
              <w:rPr>
                <w:rFonts w:eastAsia="Times New Roman" w:cstheme="minorHAnsi"/>
                <w:color w:val="000000"/>
                <w:sz w:val="20"/>
                <w:szCs w:val="20"/>
                <w:lang w:eastAsia="en-GB"/>
              </w:rPr>
              <w:t>30.27</w:t>
            </w:r>
          </w:p>
        </w:tc>
      </w:tr>
      <w:tr w:rsidR="00682EB4" w:rsidRPr="0048198F" w14:paraId="37D2E20E" w14:textId="77777777" w:rsidTr="005D4733">
        <w:trPr>
          <w:trHeight w:val="361"/>
        </w:trPr>
        <w:tc>
          <w:tcPr>
            <w:cnfStyle w:val="001000000000" w:firstRow="0" w:lastRow="0" w:firstColumn="1" w:lastColumn="0" w:oddVBand="0" w:evenVBand="0" w:oddHBand="0" w:evenHBand="0" w:firstRowFirstColumn="0" w:firstRowLastColumn="0" w:lastRowFirstColumn="0" w:lastRowLastColumn="0"/>
            <w:tcW w:w="2689" w:type="dxa"/>
            <w:shd w:val="clear" w:color="auto" w:fill="auto"/>
            <w:vAlign w:val="center"/>
          </w:tcPr>
          <w:p w14:paraId="7B966F7E" w14:textId="2EB789F4" w:rsidR="00682EB4" w:rsidRPr="0048198F" w:rsidRDefault="00682EB4" w:rsidP="00682EB4">
            <w:pPr>
              <w:rPr>
                <w:rFonts w:cstheme="minorHAnsi"/>
                <w:sz w:val="20"/>
                <w:szCs w:val="20"/>
              </w:rPr>
            </w:pPr>
            <w:r>
              <w:rPr>
                <w:rFonts w:cstheme="minorHAnsi"/>
                <w:sz w:val="20"/>
                <w:szCs w:val="20"/>
              </w:rPr>
              <w:t xml:space="preserve">Kaur </w:t>
            </w:r>
            <w:r>
              <w:rPr>
                <w:rFonts w:cstheme="minorHAnsi"/>
                <w:noProof/>
                <w:sz w:val="20"/>
                <w:szCs w:val="20"/>
              </w:rPr>
              <w:t>[37]</w:t>
            </w:r>
          </w:p>
        </w:tc>
        <w:tc>
          <w:tcPr>
            <w:tcW w:w="992" w:type="dxa"/>
            <w:shd w:val="clear" w:color="auto" w:fill="auto"/>
            <w:noWrap/>
            <w:vAlign w:val="center"/>
          </w:tcPr>
          <w:p w14:paraId="554031E7" w14:textId="7ABE8D00" w:rsidR="00682EB4" w:rsidRPr="0048198F" w:rsidRDefault="00682EB4" w:rsidP="0013620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GB"/>
              </w:rPr>
            </w:pPr>
            <w:r>
              <w:rPr>
                <w:rFonts w:eastAsia="Times New Roman" w:cstheme="minorHAnsi"/>
                <w:color w:val="000000"/>
                <w:sz w:val="20"/>
                <w:szCs w:val="20"/>
                <w:lang w:eastAsia="en-GB"/>
              </w:rPr>
              <w:t>658</w:t>
            </w:r>
          </w:p>
        </w:tc>
        <w:tc>
          <w:tcPr>
            <w:tcW w:w="993" w:type="dxa"/>
            <w:shd w:val="clear" w:color="auto" w:fill="auto"/>
            <w:noWrap/>
            <w:vAlign w:val="center"/>
          </w:tcPr>
          <w:p w14:paraId="1AC75D56" w14:textId="7CDC2987" w:rsidR="00682EB4" w:rsidRPr="0048198F" w:rsidRDefault="00682EB4" w:rsidP="0013620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GB"/>
              </w:rPr>
            </w:pPr>
            <w:r>
              <w:rPr>
                <w:rFonts w:eastAsia="Times New Roman" w:cstheme="minorHAnsi"/>
                <w:color w:val="000000"/>
                <w:sz w:val="20"/>
                <w:szCs w:val="20"/>
                <w:lang w:eastAsia="en-GB"/>
              </w:rPr>
              <w:t>103</w:t>
            </w:r>
          </w:p>
        </w:tc>
        <w:tc>
          <w:tcPr>
            <w:tcW w:w="940" w:type="dxa"/>
            <w:shd w:val="clear" w:color="auto" w:fill="auto"/>
            <w:noWrap/>
            <w:vAlign w:val="center"/>
          </w:tcPr>
          <w:p w14:paraId="6D546DBA" w14:textId="22963B91" w:rsidR="00682EB4" w:rsidRPr="0048198F" w:rsidRDefault="00682EB4" w:rsidP="0013620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GB"/>
              </w:rPr>
            </w:pPr>
            <w:r>
              <w:rPr>
                <w:rFonts w:eastAsia="Times New Roman" w:cstheme="minorHAnsi"/>
                <w:color w:val="000000"/>
                <w:sz w:val="20"/>
                <w:szCs w:val="20"/>
                <w:lang w:eastAsia="en-GB"/>
              </w:rPr>
              <w:t>15.65</w:t>
            </w:r>
          </w:p>
        </w:tc>
        <w:tc>
          <w:tcPr>
            <w:tcW w:w="847" w:type="dxa"/>
            <w:shd w:val="clear" w:color="auto" w:fill="auto"/>
            <w:noWrap/>
            <w:vAlign w:val="center"/>
          </w:tcPr>
          <w:p w14:paraId="5B026F55" w14:textId="4261F60A" w:rsidR="00682EB4" w:rsidRPr="0048198F" w:rsidRDefault="00682EB4" w:rsidP="0013620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GB"/>
              </w:rPr>
            </w:pPr>
            <w:r>
              <w:rPr>
                <w:rFonts w:eastAsia="Times New Roman" w:cstheme="minorHAnsi"/>
                <w:color w:val="000000"/>
                <w:sz w:val="20"/>
                <w:szCs w:val="20"/>
                <w:lang w:eastAsia="en-GB"/>
              </w:rPr>
              <w:t>467</w:t>
            </w:r>
          </w:p>
        </w:tc>
        <w:tc>
          <w:tcPr>
            <w:tcW w:w="998" w:type="dxa"/>
            <w:shd w:val="clear" w:color="auto" w:fill="auto"/>
            <w:vAlign w:val="center"/>
          </w:tcPr>
          <w:p w14:paraId="0775E5FA" w14:textId="259CB5CC" w:rsidR="00682EB4" w:rsidRPr="0048198F" w:rsidRDefault="00682EB4" w:rsidP="0013620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GB"/>
              </w:rPr>
            </w:pPr>
            <w:r>
              <w:rPr>
                <w:rFonts w:eastAsia="Times New Roman" w:cstheme="minorHAnsi"/>
                <w:color w:val="000000"/>
                <w:sz w:val="20"/>
                <w:szCs w:val="20"/>
                <w:lang w:eastAsia="en-GB"/>
              </w:rPr>
              <w:t>70.97</w:t>
            </w:r>
          </w:p>
        </w:tc>
        <w:tc>
          <w:tcPr>
            <w:tcW w:w="900" w:type="dxa"/>
            <w:shd w:val="clear" w:color="auto" w:fill="auto"/>
            <w:noWrap/>
            <w:vAlign w:val="center"/>
          </w:tcPr>
          <w:p w14:paraId="51044FFB" w14:textId="68DB87D9" w:rsidR="00682EB4" w:rsidRPr="0048198F" w:rsidRDefault="00682EB4" w:rsidP="0013620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GB"/>
              </w:rPr>
            </w:pPr>
            <w:r>
              <w:rPr>
                <w:rFonts w:eastAsia="Times New Roman" w:cstheme="minorHAnsi"/>
                <w:color w:val="000000"/>
                <w:sz w:val="20"/>
                <w:szCs w:val="20"/>
                <w:lang w:eastAsia="en-GB"/>
              </w:rPr>
              <w:t>72</w:t>
            </w:r>
          </w:p>
        </w:tc>
        <w:tc>
          <w:tcPr>
            <w:tcW w:w="992" w:type="dxa"/>
            <w:shd w:val="clear" w:color="auto" w:fill="auto"/>
            <w:noWrap/>
            <w:vAlign w:val="center"/>
          </w:tcPr>
          <w:p w14:paraId="2D7D37D0" w14:textId="55684444" w:rsidR="00682EB4" w:rsidRPr="0048198F" w:rsidRDefault="00682EB4" w:rsidP="0013620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GB"/>
              </w:rPr>
            </w:pPr>
            <w:r>
              <w:rPr>
                <w:rFonts w:eastAsia="Times New Roman" w:cstheme="minorHAnsi"/>
                <w:color w:val="000000"/>
                <w:sz w:val="20"/>
                <w:szCs w:val="20"/>
                <w:lang w:eastAsia="en-GB"/>
              </w:rPr>
              <w:t>15.42</w:t>
            </w:r>
          </w:p>
        </w:tc>
      </w:tr>
      <w:tr w:rsidR="00136206" w:rsidRPr="0048198F" w14:paraId="15662D13" w14:textId="77777777" w:rsidTr="005D4733">
        <w:trPr>
          <w:cnfStyle w:val="000000100000" w:firstRow="0" w:lastRow="0" w:firstColumn="0" w:lastColumn="0" w:oddVBand="0" w:evenVBand="0" w:oddHBand="1" w:evenHBand="0" w:firstRowFirstColumn="0" w:firstRowLastColumn="0" w:lastRowFirstColumn="0" w:lastRowLastColumn="0"/>
          <w:trHeight w:val="109"/>
        </w:trPr>
        <w:tc>
          <w:tcPr>
            <w:cnfStyle w:val="001000000000" w:firstRow="0" w:lastRow="0" w:firstColumn="1" w:lastColumn="0" w:oddVBand="0" w:evenVBand="0" w:oddHBand="0" w:evenHBand="0" w:firstRowFirstColumn="0" w:firstRowLastColumn="0" w:lastRowFirstColumn="0" w:lastRowLastColumn="0"/>
            <w:tcW w:w="2689" w:type="dxa"/>
            <w:shd w:val="clear" w:color="auto" w:fill="auto"/>
            <w:vAlign w:val="center"/>
            <w:hideMark/>
          </w:tcPr>
          <w:p w14:paraId="4D38B00F" w14:textId="0E2F6956" w:rsidR="00136206" w:rsidRPr="0048198F" w:rsidRDefault="00136206" w:rsidP="00136206">
            <w:pPr>
              <w:rPr>
                <w:rFonts w:eastAsia="Times New Roman" w:cstheme="minorHAnsi"/>
                <w:color w:val="000000"/>
                <w:sz w:val="20"/>
                <w:szCs w:val="20"/>
                <w:lang w:eastAsia="en-GB"/>
              </w:rPr>
            </w:pPr>
            <w:r w:rsidRPr="0048198F">
              <w:rPr>
                <w:rFonts w:cstheme="minorHAnsi"/>
                <w:sz w:val="20"/>
                <w:szCs w:val="20"/>
              </w:rPr>
              <w:t xml:space="preserve">Mohebbi </w:t>
            </w:r>
            <w:r>
              <w:rPr>
                <w:rFonts w:cstheme="minorHAnsi"/>
                <w:noProof/>
                <w:sz w:val="20"/>
                <w:szCs w:val="20"/>
              </w:rPr>
              <w:t>[40]</w:t>
            </w:r>
          </w:p>
        </w:tc>
        <w:tc>
          <w:tcPr>
            <w:tcW w:w="992" w:type="dxa"/>
            <w:shd w:val="clear" w:color="auto" w:fill="auto"/>
            <w:noWrap/>
            <w:vAlign w:val="center"/>
            <w:hideMark/>
          </w:tcPr>
          <w:p w14:paraId="77DED782" w14:textId="77777777" w:rsidR="00136206" w:rsidRPr="0048198F" w:rsidRDefault="00136206" w:rsidP="00136206">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en-GB"/>
              </w:rPr>
            </w:pPr>
            <w:r w:rsidRPr="0048198F">
              <w:rPr>
                <w:rFonts w:eastAsia="Times New Roman" w:cstheme="minorHAnsi"/>
                <w:color w:val="000000"/>
                <w:sz w:val="20"/>
                <w:szCs w:val="20"/>
                <w:lang w:eastAsia="en-GB"/>
              </w:rPr>
              <w:t>677</w:t>
            </w:r>
          </w:p>
        </w:tc>
        <w:tc>
          <w:tcPr>
            <w:tcW w:w="993" w:type="dxa"/>
            <w:shd w:val="clear" w:color="auto" w:fill="auto"/>
            <w:noWrap/>
            <w:vAlign w:val="center"/>
            <w:hideMark/>
          </w:tcPr>
          <w:p w14:paraId="3AFEA065" w14:textId="77777777" w:rsidR="00136206" w:rsidRPr="0048198F" w:rsidRDefault="00136206" w:rsidP="00136206">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en-GB"/>
              </w:rPr>
            </w:pPr>
            <w:r w:rsidRPr="0048198F">
              <w:rPr>
                <w:rFonts w:eastAsia="Times New Roman" w:cstheme="minorHAnsi"/>
                <w:color w:val="000000"/>
                <w:sz w:val="20"/>
                <w:szCs w:val="20"/>
                <w:lang w:eastAsia="en-GB"/>
              </w:rPr>
              <w:t>164</w:t>
            </w:r>
          </w:p>
        </w:tc>
        <w:tc>
          <w:tcPr>
            <w:tcW w:w="940" w:type="dxa"/>
            <w:shd w:val="clear" w:color="auto" w:fill="auto"/>
            <w:noWrap/>
            <w:vAlign w:val="center"/>
            <w:hideMark/>
          </w:tcPr>
          <w:p w14:paraId="555C1A6E" w14:textId="77777777" w:rsidR="00136206" w:rsidRPr="0048198F" w:rsidRDefault="00136206" w:rsidP="00136206">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en-GB"/>
              </w:rPr>
            </w:pPr>
            <w:r w:rsidRPr="0048198F">
              <w:rPr>
                <w:rFonts w:eastAsia="Times New Roman" w:cstheme="minorHAnsi"/>
                <w:color w:val="000000"/>
                <w:sz w:val="20"/>
                <w:szCs w:val="20"/>
                <w:lang w:eastAsia="en-GB"/>
              </w:rPr>
              <w:t>24.22</w:t>
            </w:r>
          </w:p>
        </w:tc>
        <w:tc>
          <w:tcPr>
            <w:tcW w:w="847" w:type="dxa"/>
            <w:shd w:val="clear" w:color="auto" w:fill="auto"/>
            <w:noWrap/>
            <w:vAlign w:val="center"/>
            <w:hideMark/>
          </w:tcPr>
          <w:p w14:paraId="496EE2B3" w14:textId="77777777" w:rsidR="00136206" w:rsidRPr="0048198F" w:rsidRDefault="00136206" w:rsidP="00136206">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en-GB"/>
              </w:rPr>
            </w:pPr>
            <w:r w:rsidRPr="0048198F">
              <w:rPr>
                <w:rFonts w:eastAsia="Times New Roman" w:cstheme="minorHAnsi"/>
                <w:color w:val="000000"/>
                <w:sz w:val="20"/>
                <w:szCs w:val="20"/>
                <w:lang w:eastAsia="en-GB"/>
              </w:rPr>
              <w:t>204</w:t>
            </w:r>
          </w:p>
        </w:tc>
        <w:tc>
          <w:tcPr>
            <w:tcW w:w="998" w:type="dxa"/>
            <w:shd w:val="clear" w:color="auto" w:fill="auto"/>
            <w:vAlign w:val="center"/>
          </w:tcPr>
          <w:p w14:paraId="3B539689" w14:textId="0773EE5D" w:rsidR="00136206" w:rsidRPr="0048198F" w:rsidRDefault="00136206" w:rsidP="00136206">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en-GB"/>
              </w:rPr>
            </w:pPr>
            <w:r w:rsidRPr="0048198F">
              <w:rPr>
                <w:rFonts w:eastAsia="Times New Roman" w:cstheme="minorHAnsi"/>
                <w:color w:val="000000"/>
                <w:sz w:val="20"/>
                <w:szCs w:val="20"/>
                <w:lang w:eastAsia="en-GB"/>
              </w:rPr>
              <w:t>30.13</w:t>
            </w:r>
          </w:p>
        </w:tc>
        <w:tc>
          <w:tcPr>
            <w:tcW w:w="900" w:type="dxa"/>
            <w:shd w:val="clear" w:color="auto" w:fill="auto"/>
            <w:noWrap/>
            <w:vAlign w:val="center"/>
            <w:hideMark/>
          </w:tcPr>
          <w:p w14:paraId="3DFBC6B8" w14:textId="6DB08927" w:rsidR="00136206" w:rsidRPr="0048198F" w:rsidRDefault="00136206" w:rsidP="00136206">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en-GB"/>
              </w:rPr>
            </w:pPr>
            <w:r w:rsidRPr="0048198F">
              <w:rPr>
                <w:rFonts w:eastAsia="Times New Roman" w:cstheme="minorHAnsi"/>
                <w:color w:val="000000"/>
                <w:sz w:val="20"/>
                <w:szCs w:val="20"/>
                <w:lang w:eastAsia="en-GB"/>
              </w:rPr>
              <w:t>46</w:t>
            </w:r>
          </w:p>
        </w:tc>
        <w:tc>
          <w:tcPr>
            <w:tcW w:w="992" w:type="dxa"/>
            <w:shd w:val="clear" w:color="auto" w:fill="auto"/>
            <w:noWrap/>
            <w:vAlign w:val="center"/>
            <w:hideMark/>
          </w:tcPr>
          <w:p w14:paraId="7F034493" w14:textId="332182A4" w:rsidR="00136206" w:rsidRPr="0048198F" w:rsidRDefault="00136206" w:rsidP="00136206">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en-GB"/>
              </w:rPr>
            </w:pPr>
            <w:r w:rsidRPr="0048198F">
              <w:rPr>
                <w:rFonts w:eastAsia="Times New Roman" w:cstheme="minorHAnsi"/>
                <w:color w:val="000000"/>
                <w:sz w:val="20"/>
                <w:szCs w:val="20"/>
                <w:lang w:eastAsia="en-GB"/>
              </w:rPr>
              <w:t>22.55</w:t>
            </w:r>
          </w:p>
        </w:tc>
      </w:tr>
      <w:tr w:rsidR="00136206" w:rsidRPr="0048198F" w14:paraId="3F7349CC" w14:textId="77777777" w:rsidTr="005D4733">
        <w:trPr>
          <w:trHeight w:val="290"/>
        </w:trPr>
        <w:tc>
          <w:tcPr>
            <w:cnfStyle w:val="001000000000" w:firstRow="0" w:lastRow="0" w:firstColumn="1" w:lastColumn="0" w:oddVBand="0" w:evenVBand="0" w:oddHBand="0" w:evenHBand="0" w:firstRowFirstColumn="0" w:firstRowLastColumn="0" w:lastRowFirstColumn="0" w:lastRowLastColumn="0"/>
            <w:tcW w:w="2689" w:type="dxa"/>
            <w:shd w:val="clear" w:color="auto" w:fill="auto"/>
            <w:vAlign w:val="center"/>
            <w:hideMark/>
          </w:tcPr>
          <w:p w14:paraId="0BDBFC9C" w14:textId="49A8078E" w:rsidR="00136206" w:rsidRPr="0048198F" w:rsidRDefault="00136206" w:rsidP="00136206">
            <w:pPr>
              <w:rPr>
                <w:rFonts w:eastAsia="Times New Roman" w:cstheme="minorHAnsi"/>
                <w:color w:val="000000"/>
                <w:sz w:val="20"/>
                <w:szCs w:val="20"/>
                <w:lang w:eastAsia="en-GB"/>
              </w:rPr>
            </w:pPr>
            <w:r w:rsidRPr="0048198F">
              <w:rPr>
                <w:rFonts w:cstheme="minorHAnsi"/>
                <w:sz w:val="20"/>
                <w:szCs w:val="20"/>
              </w:rPr>
              <w:t xml:space="preserve">Mugosa </w:t>
            </w:r>
            <w:r>
              <w:rPr>
                <w:rFonts w:cstheme="minorHAnsi"/>
                <w:noProof/>
                <w:sz w:val="20"/>
                <w:szCs w:val="20"/>
              </w:rPr>
              <w:t>[41]</w:t>
            </w:r>
          </w:p>
        </w:tc>
        <w:tc>
          <w:tcPr>
            <w:tcW w:w="992" w:type="dxa"/>
            <w:shd w:val="clear" w:color="auto" w:fill="auto"/>
            <w:noWrap/>
            <w:vAlign w:val="center"/>
            <w:hideMark/>
          </w:tcPr>
          <w:p w14:paraId="0F777D25" w14:textId="77777777" w:rsidR="00136206" w:rsidRPr="0048198F" w:rsidRDefault="00136206" w:rsidP="0013620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GB"/>
              </w:rPr>
            </w:pPr>
            <w:r w:rsidRPr="0048198F">
              <w:rPr>
                <w:rFonts w:eastAsia="Times New Roman" w:cstheme="minorHAnsi"/>
                <w:color w:val="000000"/>
                <w:sz w:val="20"/>
                <w:szCs w:val="20"/>
                <w:lang w:eastAsia="en-GB"/>
              </w:rPr>
              <w:t>200</w:t>
            </w:r>
          </w:p>
        </w:tc>
        <w:tc>
          <w:tcPr>
            <w:tcW w:w="993" w:type="dxa"/>
            <w:shd w:val="clear" w:color="auto" w:fill="auto"/>
            <w:noWrap/>
            <w:vAlign w:val="center"/>
            <w:hideMark/>
          </w:tcPr>
          <w:p w14:paraId="76089D59" w14:textId="77777777" w:rsidR="00136206" w:rsidRPr="0048198F" w:rsidRDefault="00136206" w:rsidP="0013620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GB"/>
              </w:rPr>
            </w:pPr>
            <w:r w:rsidRPr="0048198F">
              <w:rPr>
                <w:rFonts w:eastAsia="Times New Roman" w:cstheme="minorHAnsi"/>
                <w:color w:val="000000"/>
                <w:sz w:val="20"/>
                <w:szCs w:val="20"/>
                <w:lang w:eastAsia="en-GB"/>
              </w:rPr>
              <w:t>66</w:t>
            </w:r>
          </w:p>
        </w:tc>
        <w:tc>
          <w:tcPr>
            <w:tcW w:w="940" w:type="dxa"/>
            <w:shd w:val="clear" w:color="auto" w:fill="auto"/>
            <w:noWrap/>
            <w:vAlign w:val="center"/>
            <w:hideMark/>
          </w:tcPr>
          <w:p w14:paraId="43896647" w14:textId="77777777" w:rsidR="00136206" w:rsidRPr="0048198F" w:rsidRDefault="00136206" w:rsidP="0013620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GB"/>
              </w:rPr>
            </w:pPr>
            <w:r w:rsidRPr="0048198F">
              <w:rPr>
                <w:rFonts w:eastAsia="Times New Roman" w:cstheme="minorHAnsi"/>
                <w:color w:val="000000"/>
                <w:sz w:val="20"/>
                <w:szCs w:val="20"/>
                <w:lang w:eastAsia="en-GB"/>
              </w:rPr>
              <w:t>33.00</w:t>
            </w:r>
          </w:p>
        </w:tc>
        <w:tc>
          <w:tcPr>
            <w:tcW w:w="847" w:type="dxa"/>
            <w:shd w:val="clear" w:color="auto" w:fill="auto"/>
            <w:noWrap/>
            <w:vAlign w:val="center"/>
            <w:hideMark/>
          </w:tcPr>
          <w:p w14:paraId="092590E1" w14:textId="77777777" w:rsidR="00136206" w:rsidRPr="0048198F" w:rsidRDefault="00136206" w:rsidP="0013620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GB"/>
              </w:rPr>
            </w:pPr>
            <w:r w:rsidRPr="0048198F">
              <w:rPr>
                <w:rFonts w:eastAsia="Times New Roman" w:cstheme="minorHAnsi"/>
                <w:color w:val="000000"/>
                <w:sz w:val="20"/>
                <w:szCs w:val="20"/>
                <w:lang w:eastAsia="en-GB"/>
              </w:rPr>
              <w:t>64</w:t>
            </w:r>
          </w:p>
        </w:tc>
        <w:tc>
          <w:tcPr>
            <w:tcW w:w="998" w:type="dxa"/>
            <w:shd w:val="clear" w:color="auto" w:fill="auto"/>
            <w:vAlign w:val="center"/>
          </w:tcPr>
          <w:p w14:paraId="4F709604" w14:textId="058C15AB" w:rsidR="00136206" w:rsidRPr="0048198F" w:rsidRDefault="00136206" w:rsidP="0013620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GB"/>
              </w:rPr>
            </w:pPr>
            <w:r w:rsidRPr="0048198F">
              <w:rPr>
                <w:rFonts w:eastAsia="Times New Roman" w:cstheme="minorHAnsi"/>
                <w:color w:val="000000"/>
                <w:sz w:val="20"/>
                <w:szCs w:val="20"/>
                <w:lang w:eastAsia="en-GB"/>
              </w:rPr>
              <w:t>32.00</w:t>
            </w:r>
          </w:p>
        </w:tc>
        <w:tc>
          <w:tcPr>
            <w:tcW w:w="900" w:type="dxa"/>
            <w:shd w:val="clear" w:color="auto" w:fill="auto"/>
            <w:noWrap/>
            <w:vAlign w:val="center"/>
            <w:hideMark/>
          </w:tcPr>
          <w:p w14:paraId="0133CE7A" w14:textId="594EE38F" w:rsidR="00136206" w:rsidRPr="0048198F" w:rsidRDefault="00136206" w:rsidP="0013620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GB"/>
              </w:rPr>
            </w:pPr>
            <w:r w:rsidRPr="0048198F">
              <w:rPr>
                <w:rFonts w:eastAsia="Times New Roman" w:cstheme="minorHAnsi"/>
                <w:color w:val="000000"/>
                <w:sz w:val="20"/>
                <w:szCs w:val="20"/>
                <w:lang w:eastAsia="en-GB"/>
              </w:rPr>
              <w:t>27</w:t>
            </w:r>
          </w:p>
        </w:tc>
        <w:tc>
          <w:tcPr>
            <w:tcW w:w="992" w:type="dxa"/>
            <w:shd w:val="clear" w:color="auto" w:fill="auto"/>
            <w:noWrap/>
            <w:vAlign w:val="center"/>
            <w:hideMark/>
          </w:tcPr>
          <w:p w14:paraId="3B84BD6B" w14:textId="4C588E5D" w:rsidR="00136206" w:rsidRPr="0048198F" w:rsidRDefault="00136206" w:rsidP="0013620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GB"/>
              </w:rPr>
            </w:pPr>
            <w:r w:rsidRPr="0048198F">
              <w:rPr>
                <w:rFonts w:eastAsia="Times New Roman" w:cstheme="minorHAnsi"/>
                <w:color w:val="000000"/>
                <w:sz w:val="20"/>
                <w:szCs w:val="20"/>
                <w:lang w:eastAsia="en-GB"/>
              </w:rPr>
              <w:t>42.19</w:t>
            </w:r>
          </w:p>
        </w:tc>
      </w:tr>
      <w:tr w:rsidR="00136206" w:rsidRPr="0048198F" w14:paraId="113D227C" w14:textId="77777777" w:rsidTr="005D473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689" w:type="dxa"/>
            <w:shd w:val="clear" w:color="auto" w:fill="auto"/>
            <w:vAlign w:val="center"/>
          </w:tcPr>
          <w:p w14:paraId="34A46A4F" w14:textId="78C3470E" w:rsidR="00136206" w:rsidRPr="0048198F" w:rsidRDefault="00136206" w:rsidP="00136206">
            <w:pPr>
              <w:rPr>
                <w:rFonts w:cstheme="minorHAnsi"/>
                <w:sz w:val="20"/>
                <w:szCs w:val="20"/>
              </w:rPr>
            </w:pPr>
            <w:r>
              <w:rPr>
                <w:rFonts w:cstheme="minorHAnsi"/>
                <w:sz w:val="20"/>
                <w:szCs w:val="20"/>
              </w:rPr>
              <w:t xml:space="preserve">Cheong </w:t>
            </w:r>
            <w:r>
              <w:rPr>
                <w:rFonts w:cstheme="minorHAnsi"/>
                <w:noProof/>
                <w:sz w:val="20"/>
                <w:szCs w:val="20"/>
              </w:rPr>
              <w:t>[25, 26]</w:t>
            </w:r>
          </w:p>
        </w:tc>
        <w:tc>
          <w:tcPr>
            <w:tcW w:w="992" w:type="dxa"/>
            <w:shd w:val="clear" w:color="auto" w:fill="auto"/>
            <w:noWrap/>
            <w:vAlign w:val="center"/>
          </w:tcPr>
          <w:p w14:paraId="228F2102" w14:textId="3A13607F" w:rsidR="00136206" w:rsidRPr="0048198F" w:rsidRDefault="00136206" w:rsidP="00136206">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en-GB"/>
              </w:rPr>
            </w:pPr>
            <w:r>
              <w:rPr>
                <w:rFonts w:eastAsia="Times New Roman" w:cstheme="minorHAnsi"/>
                <w:color w:val="000000"/>
                <w:sz w:val="20"/>
                <w:szCs w:val="20"/>
                <w:lang w:eastAsia="en-GB"/>
              </w:rPr>
              <w:t>150</w:t>
            </w:r>
          </w:p>
        </w:tc>
        <w:tc>
          <w:tcPr>
            <w:tcW w:w="993" w:type="dxa"/>
            <w:shd w:val="clear" w:color="auto" w:fill="auto"/>
            <w:noWrap/>
            <w:vAlign w:val="center"/>
          </w:tcPr>
          <w:p w14:paraId="67F20811" w14:textId="7D78C38E" w:rsidR="00136206" w:rsidRPr="0048198F" w:rsidRDefault="00136206" w:rsidP="00136206">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en-GB"/>
              </w:rPr>
            </w:pPr>
            <w:r>
              <w:rPr>
                <w:rFonts w:eastAsia="Times New Roman" w:cstheme="minorHAnsi"/>
                <w:color w:val="000000"/>
                <w:sz w:val="20"/>
                <w:szCs w:val="20"/>
                <w:lang w:eastAsia="en-GB"/>
              </w:rPr>
              <w:t>104</w:t>
            </w:r>
          </w:p>
        </w:tc>
        <w:tc>
          <w:tcPr>
            <w:tcW w:w="940" w:type="dxa"/>
            <w:shd w:val="clear" w:color="auto" w:fill="auto"/>
            <w:noWrap/>
            <w:vAlign w:val="center"/>
          </w:tcPr>
          <w:p w14:paraId="4B2C52CF" w14:textId="194E063B" w:rsidR="00136206" w:rsidRPr="0048198F" w:rsidRDefault="00136206" w:rsidP="00136206">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en-GB"/>
              </w:rPr>
            </w:pPr>
            <w:r>
              <w:rPr>
                <w:rFonts w:eastAsia="Times New Roman" w:cstheme="minorHAnsi"/>
                <w:color w:val="000000"/>
                <w:sz w:val="20"/>
                <w:szCs w:val="20"/>
                <w:lang w:eastAsia="en-GB"/>
              </w:rPr>
              <w:t>69.33</w:t>
            </w:r>
          </w:p>
        </w:tc>
        <w:tc>
          <w:tcPr>
            <w:tcW w:w="847" w:type="dxa"/>
            <w:shd w:val="clear" w:color="auto" w:fill="auto"/>
            <w:noWrap/>
            <w:vAlign w:val="center"/>
          </w:tcPr>
          <w:p w14:paraId="7E71B8D8" w14:textId="40CF4CA5" w:rsidR="00136206" w:rsidRPr="0048198F" w:rsidRDefault="00136206" w:rsidP="00136206">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en-GB"/>
              </w:rPr>
            </w:pPr>
            <w:r>
              <w:rPr>
                <w:rFonts w:eastAsia="Times New Roman" w:cstheme="minorHAnsi"/>
                <w:color w:val="000000"/>
                <w:sz w:val="20"/>
                <w:szCs w:val="20"/>
                <w:lang w:eastAsia="en-GB"/>
              </w:rPr>
              <w:t>150</w:t>
            </w:r>
          </w:p>
        </w:tc>
        <w:tc>
          <w:tcPr>
            <w:tcW w:w="998" w:type="dxa"/>
            <w:shd w:val="clear" w:color="auto" w:fill="auto"/>
            <w:vAlign w:val="center"/>
          </w:tcPr>
          <w:p w14:paraId="6BCD3B04" w14:textId="0D778C46" w:rsidR="00136206" w:rsidRPr="0048198F" w:rsidRDefault="00136206" w:rsidP="00136206">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en-GB"/>
              </w:rPr>
            </w:pPr>
            <w:r>
              <w:rPr>
                <w:rFonts w:eastAsia="Times New Roman" w:cstheme="minorHAnsi"/>
                <w:color w:val="000000"/>
                <w:sz w:val="20"/>
                <w:szCs w:val="20"/>
                <w:lang w:eastAsia="en-GB"/>
              </w:rPr>
              <w:t>100.00</w:t>
            </w:r>
          </w:p>
        </w:tc>
        <w:tc>
          <w:tcPr>
            <w:tcW w:w="900" w:type="dxa"/>
            <w:shd w:val="clear" w:color="auto" w:fill="auto"/>
            <w:noWrap/>
            <w:vAlign w:val="center"/>
          </w:tcPr>
          <w:p w14:paraId="3B5DEEBB" w14:textId="22AAD678" w:rsidR="00136206" w:rsidRPr="0048198F" w:rsidRDefault="00136206" w:rsidP="00136206">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en-GB"/>
              </w:rPr>
            </w:pPr>
            <w:r>
              <w:rPr>
                <w:rFonts w:eastAsia="Times New Roman" w:cstheme="minorHAnsi"/>
                <w:color w:val="000000"/>
                <w:sz w:val="20"/>
                <w:szCs w:val="20"/>
                <w:lang w:eastAsia="en-GB"/>
              </w:rPr>
              <w:t>104</w:t>
            </w:r>
          </w:p>
        </w:tc>
        <w:tc>
          <w:tcPr>
            <w:tcW w:w="992" w:type="dxa"/>
            <w:shd w:val="clear" w:color="auto" w:fill="auto"/>
            <w:noWrap/>
            <w:vAlign w:val="center"/>
          </w:tcPr>
          <w:p w14:paraId="1D9C5387" w14:textId="4A5E2E2D" w:rsidR="00136206" w:rsidRPr="0048198F" w:rsidRDefault="00136206" w:rsidP="00136206">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en-GB"/>
              </w:rPr>
            </w:pPr>
            <w:r>
              <w:rPr>
                <w:rFonts w:eastAsia="Times New Roman" w:cstheme="minorHAnsi"/>
                <w:color w:val="000000"/>
                <w:sz w:val="20"/>
                <w:szCs w:val="20"/>
                <w:lang w:eastAsia="en-GB"/>
              </w:rPr>
              <w:t>69.33</w:t>
            </w:r>
          </w:p>
        </w:tc>
      </w:tr>
      <w:tr w:rsidR="00136206" w:rsidRPr="0048198F" w14:paraId="5E6D3ADE" w14:textId="77777777" w:rsidTr="005D4733">
        <w:trPr>
          <w:trHeight w:val="290"/>
        </w:trPr>
        <w:tc>
          <w:tcPr>
            <w:cnfStyle w:val="001000000000" w:firstRow="0" w:lastRow="0" w:firstColumn="1" w:lastColumn="0" w:oddVBand="0" w:evenVBand="0" w:oddHBand="0" w:evenHBand="0" w:firstRowFirstColumn="0" w:firstRowLastColumn="0" w:lastRowFirstColumn="0" w:lastRowLastColumn="0"/>
            <w:tcW w:w="2689" w:type="dxa"/>
            <w:shd w:val="clear" w:color="auto" w:fill="auto"/>
            <w:vAlign w:val="center"/>
            <w:hideMark/>
          </w:tcPr>
          <w:p w14:paraId="06BE492C" w14:textId="7D280C60" w:rsidR="00136206" w:rsidRPr="0048198F" w:rsidRDefault="00136206" w:rsidP="00136206">
            <w:pPr>
              <w:rPr>
                <w:rFonts w:eastAsia="Times New Roman" w:cstheme="minorHAnsi"/>
                <w:color w:val="000000"/>
                <w:sz w:val="20"/>
                <w:szCs w:val="20"/>
                <w:lang w:eastAsia="en-GB"/>
              </w:rPr>
            </w:pPr>
            <w:r w:rsidRPr="0048198F">
              <w:rPr>
                <w:rFonts w:cstheme="minorHAnsi"/>
                <w:sz w:val="20"/>
                <w:szCs w:val="20"/>
              </w:rPr>
              <w:t xml:space="preserve">Conforti </w:t>
            </w:r>
            <w:r>
              <w:rPr>
                <w:rFonts w:cstheme="minorHAnsi"/>
                <w:noProof/>
                <w:sz w:val="20"/>
                <w:szCs w:val="20"/>
              </w:rPr>
              <w:t>[49]</w:t>
            </w:r>
            <w:r>
              <w:rPr>
                <w:rFonts w:cstheme="minorHAnsi"/>
                <w:sz w:val="20"/>
                <w:szCs w:val="20"/>
              </w:rPr>
              <w:t xml:space="preserve"> * </w:t>
            </w:r>
          </w:p>
        </w:tc>
        <w:tc>
          <w:tcPr>
            <w:tcW w:w="992" w:type="dxa"/>
            <w:shd w:val="clear" w:color="auto" w:fill="auto"/>
            <w:noWrap/>
            <w:vAlign w:val="center"/>
            <w:hideMark/>
          </w:tcPr>
          <w:p w14:paraId="0DE52127" w14:textId="77777777" w:rsidR="00136206" w:rsidRPr="0048198F" w:rsidRDefault="00136206" w:rsidP="0013620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GB"/>
              </w:rPr>
            </w:pPr>
            <w:r w:rsidRPr="0048198F">
              <w:rPr>
                <w:rFonts w:eastAsia="Times New Roman" w:cstheme="minorHAnsi"/>
                <w:color w:val="000000"/>
                <w:sz w:val="20"/>
                <w:szCs w:val="20"/>
                <w:lang w:eastAsia="en-GB"/>
              </w:rPr>
              <w:t>1023</w:t>
            </w:r>
          </w:p>
        </w:tc>
        <w:tc>
          <w:tcPr>
            <w:tcW w:w="993" w:type="dxa"/>
            <w:shd w:val="clear" w:color="auto" w:fill="auto"/>
            <w:noWrap/>
            <w:vAlign w:val="center"/>
            <w:hideMark/>
          </w:tcPr>
          <w:p w14:paraId="2A359083" w14:textId="77777777" w:rsidR="00136206" w:rsidRPr="0048198F" w:rsidRDefault="00136206" w:rsidP="0013620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GB"/>
              </w:rPr>
            </w:pPr>
            <w:r w:rsidRPr="0048198F">
              <w:rPr>
                <w:rFonts w:eastAsia="Times New Roman" w:cstheme="minorHAnsi"/>
                <w:color w:val="000000"/>
                <w:sz w:val="20"/>
                <w:szCs w:val="20"/>
                <w:lang w:eastAsia="en-GB"/>
              </w:rPr>
              <w:t>256</w:t>
            </w:r>
          </w:p>
        </w:tc>
        <w:tc>
          <w:tcPr>
            <w:tcW w:w="940" w:type="dxa"/>
            <w:shd w:val="clear" w:color="auto" w:fill="auto"/>
            <w:noWrap/>
            <w:vAlign w:val="center"/>
            <w:hideMark/>
          </w:tcPr>
          <w:p w14:paraId="63F5C608" w14:textId="77777777" w:rsidR="00136206" w:rsidRPr="0048198F" w:rsidRDefault="00136206" w:rsidP="0013620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GB"/>
              </w:rPr>
            </w:pPr>
            <w:r w:rsidRPr="0048198F">
              <w:rPr>
                <w:rFonts w:eastAsia="Times New Roman" w:cstheme="minorHAnsi"/>
                <w:color w:val="000000"/>
                <w:sz w:val="20"/>
                <w:szCs w:val="20"/>
                <w:lang w:eastAsia="en-GB"/>
              </w:rPr>
              <w:t>25.02</w:t>
            </w:r>
          </w:p>
        </w:tc>
        <w:tc>
          <w:tcPr>
            <w:tcW w:w="847" w:type="dxa"/>
            <w:shd w:val="clear" w:color="auto" w:fill="auto"/>
            <w:noWrap/>
            <w:vAlign w:val="center"/>
            <w:hideMark/>
          </w:tcPr>
          <w:p w14:paraId="66BB15F1" w14:textId="77777777" w:rsidR="00136206" w:rsidRPr="0048198F" w:rsidRDefault="00136206" w:rsidP="0013620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GB"/>
              </w:rPr>
            </w:pPr>
            <w:r w:rsidRPr="0048198F">
              <w:rPr>
                <w:rFonts w:eastAsia="Times New Roman" w:cstheme="minorHAnsi"/>
                <w:color w:val="000000"/>
                <w:sz w:val="20"/>
                <w:szCs w:val="20"/>
                <w:lang w:eastAsia="en-GB"/>
              </w:rPr>
              <w:t>1023</w:t>
            </w:r>
          </w:p>
        </w:tc>
        <w:tc>
          <w:tcPr>
            <w:tcW w:w="998" w:type="dxa"/>
            <w:shd w:val="clear" w:color="auto" w:fill="auto"/>
            <w:vAlign w:val="center"/>
          </w:tcPr>
          <w:p w14:paraId="7AD3E973" w14:textId="1A43FEBB" w:rsidR="00136206" w:rsidRPr="0048198F" w:rsidRDefault="00136206" w:rsidP="0013620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GB"/>
              </w:rPr>
            </w:pPr>
            <w:r w:rsidRPr="0048198F">
              <w:rPr>
                <w:rFonts w:eastAsia="Times New Roman" w:cstheme="minorHAnsi"/>
                <w:color w:val="000000"/>
                <w:sz w:val="20"/>
                <w:szCs w:val="20"/>
                <w:lang w:eastAsia="en-GB"/>
              </w:rPr>
              <w:t>100.00</w:t>
            </w:r>
          </w:p>
        </w:tc>
        <w:tc>
          <w:tcPr>
            <w:tcW w:w="900" w:type="dxa"/>
            <w:shd w:val="clear" w:color="auto" w:fill="auto"/>
            <w:noWrap/>
            <w:vAlign w:val="center"/>
            <w:hideMark/>
          </w:tcPr>
          <w:p w14:paraId="3245B41D" w14:textId="342C3473" w:rsidR="00136206" w:rsidRPr="0048198F" w:rsidRDefault="00136206" w:rsidP="0013620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GB"/>
              </w:rPr>
            </w:pPr>
            <w:r w:rsidRPr="0048198F">
              <w:rPr>
                <w:rFonts w:eastAsia="Times New Roman" w:cstheme="minorHAnsi"/>
                <w:color w:val="000000"/>
                <w:sz w:val="20"/>
                <w:szCs w:val="20"/>
                <w:lang w:eastAsia="en-GB"/>
              </w:rPr>
              <w:t>256</w:t>
            </w:r>
          </w:p>
        </w:tc>
        <w:tc>
          <w:tcPr>
            <w:tcW w:w="992" w:type="dxa"/>
            <w:shd w:val="clear" w:color="auto" w:fill="auto"/>
            <w:noWrap/>
            <w:vAlign w:val="center"/>
            <w:hideMark/>
          </w:tcPr>
          <w:p w14:paraId="371B9626" w14:textId="559CBAD2" w:rsidR="00136206" w:rsidRPr="0048198F" w:rsidRDefault="00136206" w:rsidP="0013620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GB"/>
              </w:rPr>
            </w:pPr>
            <w:r w:rsidRPr="0048198F">
              <w:rPr>
                <w:rFonts w:eastAsia="Times New Roman" w:cstheme="minorHAnsi"/>
                <w:color w:val="000000"/>
                <w:sz w:val="20"/>
                <w:szCs w:val="20"/>
                <w:lang w:eastAsia="en-GB"/>
              </w:rPr>
              <w:t>25.02</w:t>
            </w:r>
          </w:p>
        </w:tc>
      </w:tr>
      <w:tr w:rsidR="00136206" w:rsidRPr="0048198F" w14:paraId="546160B0" w14:textId="77777777" w:rsidTr="005D473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689" w:type="dxa"/>
            <w:shd w:val="clear" w:color="auto" w:fill="auto"/>
            <w:vAlign w:val="center"/>
            <w:hideMark/>
          </w:tcPr>
          <w:p w14:paraId="1F782CF8" w14:textId="6402C8E9" w:rsidR="00136206" w:rsidRPr="0048198F" w:rsidRDefault="00136206" w:rsidP="00136206">
            <w:pPr>
              <w:rPr>
                <w:rFonts w:eastAsia="Times New Roman" w:cstheme="minorHAnsi"/>
                <w:color w:val="000000"/>
                <w:sz w:val="20"/>
                <w:szCs w:val="20"/>
                <w:lang w:eastAsia="en-GB"/>
              </w:rPr>
            </w:pPr>
            <w:r w:rsidRPr="0048198F">
              <w:rPr>
                <w:rFonts w:cstheme="minorHAnsi"/>
                <w:sz w:val="20"/>
                <w:szCs w:val="20"/>
              </w:rPr>
              <w:t xml:space="preserve">Corsonello </w:t>
            </w:r>
            <w:r>
              <w:rPr>
                <w:rFonts w:cstheme="minorHAnsi"/>
                <w:noProof/>
                <w:sz w:val="20"/>
                <w:szCs w:val="20"/>
              </w:rPr>
              <w:t>[50]</w:t>
            </w:r>
            <w:r>
              <w:rPr>
                <w:rFonts w:cstheme="minorHAnsi"/>
                <w:sz w:val="20"/>
                <w:szCs w:val="20"/>
              </w:rPr>
              <w:t xml:space="preserve"> *</w:t>
            </w:r>
          </w:p>
        </w:tc>
        <w:tc>
          <w:tcPr>
            <w:tcW w:w="992" w:type="dxa"/>
            <w:shd w:val="clear" w:color="auto" w:fill="auto"/>
            <w:noWrap/>
            <w:vAlign w:val="center"/>
            <w:hideMark/>
          </w:tcPr>
          <w:p w14:paraId="26547729" w14:textId="77777777" w:rsidR="00136206" w:rsidRPr="0048198F" w:rsidRDefault="00136206" w:rsidP="00136206">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en-GB"/>
              </w:rPr>
            </w:pPr>
            <w:r w:rsidRPr="0048198F">
              <w:rPr>
                <w:rFonts w:eastAsia="Times New Roman" w:cstheme="minorHAnsi"/>
                <w:color w:val="000000"/>
                <w:sz w:val="20"/>
                <w:szCs w:val="20"/>
                <w:lang w:eastAsia="en-GB"/>
              </w:rPr>
              <w:t>506</w:t>
            </w:r>
          </w:p>
        </w:tc>
        <w:tc>
          <w:tcPr>
            <w:tcW w:w="993" w:type="dxa"/>
            <w:shd w:val="clear" w:color="auto" w:fill="auto"/>
            <w:noWrap/>
            <w:vAlign w:val="center"/>
            <w:hideMark/>
          </w:tcPr>
          <w:p w14:paraId="116C1C84" w14:textId="77777777" w:rsidR="00136206" w:rsidRPr="0048198F" w:rsidRDefault="00136206" w:rsidP="00136206">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en-GB"/>
              </w:rPr>
            </w:pPr>
            <w:r w:rsidRPr="0048198F">
              <w:rPr>
                <w:rFonts w:eastAsia="Times New Roman" w:cstheme="minorHAnsi"/>
                <w:color w:val="000000"/>
                <w:sz w:val="20"/>
                <w:szCs w:val="20"/>
                <w:lang w:eastAsia="en-GB"/>
              </w:rPr>
              <w:t>58</w:t>
            </w:r>
          </w:p>
        </w:tc>
        <w:tc>
          <w:tcPr>
            <w:tcW w:w="940" w:type="dxa"/>
            <w:shd w:val="clear" w:color="auto" w:fill="auto"/>
            <w:noWrap/>
            <w:vAlign w:val="center"/>
            <w:hideMark/>
          </w:tcPr>
          <w:p w14:paraId="7B8EA567" w14:textId="77777777" w:rsidR="00136206" w:rsidRPr="0048198F" w:rsidRDefault="00136206" w:rsidP="00136206">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en-GB"/>
              </w:rPr>
            </w:pPr>
            <w:r w:rsidRPr="0048198F">
              <w:rPr>
                <w:rFonts w:eastAsia="Times New Roman" w:cstheme="minorHAnsi"/>
                <w:color w:val="000000"/>
                <w:sz w:val="20"/>
                <w:szCs w:val="20"/>
                <w:lang w:eastAsia="en-GB"/>
              </w:rPr>
              <w:t>11.46</w:t>
            </w:r>
          </w:p>
        </w:tc>
        <w:tc>
          <w:tcPr>
            <w:tcW w:w="847" w:type="dxa"/>
            <w:shd w:val="clear" w:color="auto" w:fill="auto"/>
            <w:noWrap/>
            <w:vAlign w:val="center"/>
            <w:hideMark/>
          </w:tcPr>
          <w:p w14:paraId="2A6C5C20" w14:textId="77777777" w:rsidR="00136206" w:rsidRPr="0048198F" w:rsidRDefault="00136206" w:rsidP="00136206">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en-GB"/>
              </w:rPr>
            </w:pPr>
            <w:r w:rsidRPr="0048198F">
              <w:rPr>
                <w:rFonts w:eastAsia="Times New Roman" w:cstheme="minorHAnsi"/>
                <w:color w:val="000000"/>
                <w:sz w:val="20"/>
                <w:szCs w:val="20"/>
                <w:lang w:eastAsia="en-GB"/>
              </w:rPr>
              <w:t>506</w:t>
            </w:r>
          </w:p>
        </w:tc>
        <w:tc>
          <w:tcPr>
            <w:tcW w:w="998" w:type="dxa"/>
            <w:shd w:val="clear" w:color="auto" w:fill="auto"/>
            <w:vAlign w:val="center"/>
          </w:tcPr>
          <w:p w14:paraId="3C975166" w14:textId="3D90082D" w:rsidR="00136206" w:rsidRPr="0048198F" w:rsidRDefault="00136206" w:rsidP="00136206">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en-GB"/>
              </w:rPr>
            </w:pPr>
            <w:r w:rsidRPr="0048198F">
              <w:rPr>
                <w:rFonts w:eastAsia="Times New Roman" w:cstheme="minorHAnsi"/>
                <w:color w:val="000000"/>
                <w:sz w:val="20"/>
                <w:szCs w:val="20"/>
                <w:lang w:eastAsia="en-GB"/>
              </w:rPr>
              <w:t>100.00</w:t>
            </w:r>
          </w:p>
        </w:tc>
        <w:tc>
          <w:tcPr>
            <w:tcW w:w="900" w:type="dxa"/>
            <w:shd w:val="clear" w:color="auto" w:fill="auto"/>
            <w:noWrap/>
            <w:vAlign w:val="center"/>
            <w:hideMark/>
          </w:tcPr>
          <w:p w14:paraId="1A170D45" w14:textId="6017EB34" w:rsidR="00136206" w:rsidRPr="0048198F" w:rsidRDefault="00136206" w:rsidP="00136206">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en-GB"/>
              </w:rPr>
            </w:pPr>
            <w:r w:rsidRPr="0048198F">
              <w:rPr>
                <w:rFonts w:eastAsia="Times New Roman" w:cstheme="minorHAnsi"/>
                <w:color w:val="000000"/>
                <w:sz w:val="20"/>
                <w:szCs w:val="20"/>
                <w:lang w:eastAsia="en-GB"/>
              </w:rPr>
              <w:t>58</w:t>
            </w:r>
          </w:p>
        </w:tc>
        <w:tc>
          <w:tcPr>
            <w:tcW w:w="992" w:type="dxa"/>
            <w:shd w:val="clear" w:color="auto" w:fill="auto"/>
            <w:noWrap/>
            <w:vAlign w:val="center"/>
            <w:hideMark/>
          </w:tcPr>
          <w:p w14:paraId="0164DB26" w14:textId="63704850" w:rsidR="00136206" w:rsidRPr="0048198F" w:rsidRDefault="00136206" w:rsidP="00136206">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en-GB"/>
              </w:rPr>
            </w:pPr>
            <w:r w:rsidRPr="0048198F">
              <w:rPr>
                <w:rFonts w:eastAsia="Times New Roman" w:cstheme="minorHAnsi"/>
                <w:color w:val="000000"/>
                <w:sz w:val="20"/>
                <w:szCs w:val="20"/>
                <w:lang w:eastAsia="en-GB"/>
              </w:rPr>
              <w:t>11.46</w:t>
            </w:r>
          </w:p>
        </w:tc>
      </w:tr>
      <w:tr w:rsidR="00136206" w:rsidRPr="0048198F" w14:paraId="2C0FBD58" w14:textId="77777777" w:rsidTr="005D4733">
        <w:trPr>
          <w:trHeight w:val="290"/>
        </w:trPr>
        <w:tc>
          <w:tcPr>
            <w:cnfStyle w:val="001000000000" w:firstRow="0" w:lastRow="0" w:firstColumn="1" w:lastColumn="0" w:oddVBand="0" w:evenVBand="0" w:oddHBand="0" w:evenHBand="0" w:firstRowFirstColumn="0" w:firstRowLastColumn="0" w:lastRowFirstColumn="0" w:lastRowLastColumn="0"/>
            <w:tcW w:w="2689" w:type="dxa"/>
            <w:shd w:val="clear" w:color="auto" w:fill="auto"/>
            <w:vAlign w:val="center"/>
            <w:hideMark/>
          </w:tcPr>
          <w:p w14:paraId="6C4C7235" w14:textId="3C60FB47" w:rsidR="00136206" w:rsidRPr="0048198F" w:rsidRDefault="00136206" w:rsidP="00136206">
            <w:pPr>
              <w:rPr>
                <w:rFonts w:eastAsia="Times New Roman" w:cstheme="minorHAnsi"/>
                <w:color w:val="000000"/>
                <w:sz w:val="20"/>
                <w:szCs w:val="20"/>
                <w:lang w:eastAsia="en-GB"/>
              </w:rPr>
            </w:pPr>
            <w:r w:rsidRPr="0048198F">
              <w:rPr>
                <w:rFonts w:cstheme="minorHAnsi"/>
                <w:sz w:val="20"/>
                <w:szCs w:val="20"/>
              </w:rPr>
              <w:t xml:space="preserve">Fernandez-Regueiro </w:t>
            </w:r>
            <w:r>
              <w:rPr>
                <w:rFonts w:cstheme="minorHAnsi"/>
                <w:noProof/>
                <w:sz w:val="20"/>
                <w:szCs w:val="20"/>
              </w:rPr>
              <w:t>[30]</w:t>
            </w:r>
            <w:r>
              <w:rPr>
                <w:rFonts w:cstheme="minorHAnsi"/>
                <w:sz w:val="20"/>
                <w:szCs w:val="20"/>
              </w:rPr>
              <w:t xml:space="preserve"> *</w:t>
            </w:r>
          </w:p>
        </w:tc>
        <w:tc>
          <w:tcPr>
            <w:tcW w:w="992" w:type="dxa"/>
            <w:shd w:val="clear" w:color="auto" w:fill="auto"/>
            <w:noWrap/>
            <w:vAlign w:val="center"/>
            <w:hideMark/>
          </w:tcPr>
          <w:p w14:paraId="120BBC23" w14:textId="77777777" w:rsidR="00136206" w:rsidRPr="0048198F" w:rsidRDefault="00136206" w:rsidP="0013620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GB"/>
              </w:rPr>
            </w:pPr>
            <w:r w:rsidRPr="0048198F">
              <w:rPr>
                <w:rFonts w:eastAsia="Times New Roman" w:cstheme="minorHAnsi"/>
                <w:color w:val="000000"/>
                <w:sz w:val="20"/>
                <w:szCs w:val="20"/>
                <w:lang w:eastAsia="en-GB"/>
              </w:rPr>
              <w:t>97</w:t>
            </w:r>
          </w:p>
        </w:tc>
        <w:tc>
          <w:tcPr>
            <w:tcW w:w="993" w:type="dxa"/>
            <w:shd w:val="clear" w:color="auto" w:fill="auto"/>
            <w:noWrap/>
            <w:vAlign w:val="center"/>
            <w:hideMark/>
          </w:tcPr>
          <w:p w14:paraId="673D3892" w14:textId="77777777" w:rsidR="00136206" w:rsidRPr="0048198F" w:rsidRDefault="00136206" w:rsidP="0013620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GB"/>
              </w:rPr>
            </w:pPr>
            <w:r w:rsidRPr="0048198F">
              <w:rPr>
                <w:rFonts w:eastAsia="Times New Roman" w:cstheme="minorHAnsi"/>
                <w:color w:val="000000"/>
                <w:sz w:val="20"/>
                <w:szCs w:val="20"/>
                <w:lang w:eastAsia="en-GB"/>
              </w:rPr>
              <w:t>12</w:t>
            </w:r>
          </w:p>
        </w:tc>
        <w:tc>
          <w:tcPr>
            <w:tcW w:w="940" w:type="dxa"/>
            <w:shd w:val="clear" w:color="auto" w:fill="auto"/>
            <w:noWrap/>
            <w:vAlign w:val="center"/>
            <w:hideMark/>
          </w:tcPr>
          <w:p w14:paraId="32B0192C" w14:textId="77777777" w:rsidR="00136206" w:rsidRPr="0048198F" w:rsidRDefault="00136206" w:rsidP="0013620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GB"/>
              </w:rPr>
            </w:pPr>
            <w:r w:rsidRPr="0048198F">
              <w:rPr>
                <w:rFonts w:eastAsia="Times New Roman" w:cstheme="minorHAnsi"/>
                <w:color w:val="000000"/>
                <w:sz w:val="20"/>
                <w:szCs w:val="20"/>
                <w:lang w:eastAsia="en-GB"/>
              </w:rPr>
              <w:t>12.37</w:t>
            </w:r>
          </w:p>
        </w:tc>
        <w:tc>
          <w:tcPr>
            <w:tcW w:w="847" w:type="dxa"/>
            <w:shd w:val="clear" w:color="auto" w:fill="auto"/>
            <w:noWrap/>
            <w:vAlign w:val="center"/>
            <w:hideMark/>
          </w:tcPr>
          <w:p w14:paraId="28C2888C" w14:textId="77777777" w:rsidR="00136206" w:rsidRPr="0048198F" w:rsidRDefault="00136206" w:rsidP="0013620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GB"/>
              </w:rPr>
            </w:pPr>
            <w:r w:rsidRPr="0048198F">
              <w:rPr>
                <w:rFonts w:eastAsia="Times New Roman" w:cstheme="minorHAnsi"/>
                <w:color w:val="000000"/>
                <w:sz w:val="20"/>
                <w:szCs w:val="20"/>
                <w:lang w:eastAsia="en-GB"/>
              </w:rPr>
              <w:t>97</w:t>
            </w:r>
          </w:p>
        </w:tc>
        <w:tc>
          <w:tcPr>
            <w:tcW w:w="998" w:type="dxa"/>
            <w:shd w:val="clear" w:color="auto" w:fill="auto"/>
            <w:vAlign w:val="center"/>
          </w:tcPr>
          <w:p w14:paraId="563423A9" w14:textId="599681AF" w:rsidR="00136206" w:rsidRPr="0048198F" w:rsidRDefault="00136206" w:rsidP="0013620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GB"/>
              </w:rPr>
            </w:pPr>
            <w:r w:rsidRPr="0048198F">
              <w:rPr>
                <w:rFonts w:eastAsia="Times New Roman" w:cstheme="minorHAnsi"/>
                <w:color w:val="000000"/>
                <w:sz w:val="20"/>
                <w:szCs w:val="20"/>
                <w:lang w:eastAsia="en-GB"/>
              </w:rPr>
              <w:t>100.00</w:t>
            </w:r>
          </w:p>
        </w:tc>
        <w:tc>
          <w:tcPr>
            <w:tcW w:w="900" w:type="dxa"/>
            <w:shd w:val="clear" w:color="auto" w:fill="auto"/>
            <w:noWrap/>
            <w:vAlign w:val="center"/>
            <w:hideMark/>
          </w:tcPr>
          <w:p w14:paraId="49FD3B59" w14:textId="71E03C4C" w:rsidR="00136206" w:rsidRPr="0048198F" w:rsidRDefault="00136206" w:rsidP="0013620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GB"/>
              </w:rPr>
            </w:pPr>
            <w:r w:rsidRPr="0048198F">
              <w:rPr>
                <w:rFonts w:eastAsia="Times New Roman" w:cstheme="minorHAnsi"/>
                <w:color w:val="000000"/>
                <w:sz w:val="20"/>
                <w:szCs w:val="20"/>
                <w:lang w:eastAsia="en-GB"/>
              </w:rPr>
              <w:t>12</w:t>
            </w:r>
          </w:p>
        </w:tc>
        <w:tc>
          <w:tcPr>
            <w:tcW w:w="992" w:type="dxa"/>
            <w:shd w:val="clear" w:color="auto" w:fill="auto"/>
            <w:noWrap/>
            <w:vAlign w:val="center"/>
            <w:hideMark/>
          </w:tcPr>
          <w:p w14:paraId="12DAB308" w14:textId="158CE122" w:rsidR="00136206" w:rsidRPr="0048198F" w:rsidRDefault="00136206" w:rsidP="0013620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GB"/>
              </w:rPr>
            </w:pPr>
            <w:r w:rsidRPr="0048198F">
              <w:rPr>
                <w:rFonts w:eastAsia="Times New Roman" w:cstheme="minorHAnsi"/>
                <w:color w:val="000000"/>
                <w:sz w:val="20"/>
                <w:szCs w:val="20"/>
                <w:lang w:eastAsia="en-GB"/>
              </w:rPr>
              <w:t>12.37</w:t>
            </w:r>
          </w:p>
        </w:tc>
      </w:tr>
      <w:tr w:rsidR="00136206" w:rsidRPr="0048198F" w14:paraId="4E8FFBB6" w14:textId="77777777" w:rsidTr="005D473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689" w:type="dxa"/>
            <w:shd w:val="clear" w:color="auto" w:fill="auto"/>
            <w:vAlign w:val="center"/>
            <w:hideMark/>
          </w:tcPr>
          <w:p w14:paraId="70E22C5A" w14:textId="5635F10A" w:rsidR="00136206" w:rsidRPr="0048198F" w:rsidRDefault="00136206" w:rsidP="00136206">
            <w:pPr>
              <w:rPr>
                <w:rFonts w:eastAsia="Times New Roman" w:cstheme="minorHAnsi"/>
                <w:color w:val="000000"/>
                <w:sz w:val="20"/>
                <w:szCs w:val="20"/>
                <w:lang w:eastAsia="en-GB"/>
              </w:rPr>
            </w:pPr>
            <w:r w:rsidRPr="0048198F">
              <w:rPr>
                <w:rFonts w:cstheme="minorHAnsi"/>
                <w:sz w:val="20"/>
                <w:szCs w:val="20"/>
              </w:rPr>
              <w:t xml:space="preserve">Lavan </w:t>
            </w:r>
            <w:r>
              <w:rPr>
                <w:rFonts w:cstheme="minorHAnsi"/>
                <w:noProof/>
                <w:sz w:val="20"/>
                <w:szCs w:val="20"/>
              </w:rPr>
              <w:t>[38]</w:t>
            </w:r>
            <w:r>
              <w:rPr>
                <w:rFonts w:cstheme="minorHAnsi"/>
                <w:sz w:val="20"/>
                <w:szCs w:val="20"/>
              </w:rPr>
              <w:t xml:space="preserve"> *</w:t>
            </w:r>
          </w:p>
        </w:tc>
        <w:tc>
          <w:tcPr>
            <w:tcW w:w="992" w:type="dxa"/>
            <w:shd w:val="clear" w:color="auto" w:fill="auto"/>
            <w:noWrap/>
            <w:vAlign w:val="center"/>
            <w:hideMark/>
          </w:tcPr>
          <w:p w14:paraId="4E530ED3" w14:textId="77777777" w:rsidR="00136206" w:rsidRPr="0048198F" w:rsidRDefault="00136206" w:rsidP="00136206">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en-GB"/>
              </w:rPr>
            </w:pPr>
            <w:r w:rsidRPr="0048198F">
              <w:rPr>
                <w:rFonts w:eastAsia="Times New Roman" w:cstheme="minorHAnsi"/>
                <w:color w:val="000000"/>
                <w:sz w:val="20"/>
                <w:szCs w:val="20"/>
                <w:lang w:eastAsia="en-GB"/>
              </w:rPr>
              <w:t>644</w:t>
            </w:r>
          </w:p>
        </w:tc>
        <w:tc>
          <w:tcPr>
            <w:tcW w:w="993" w:type="dxa"/>
            <w:shd w:val="clear" w:color="auto" w:fill="auto"/>
            <w:noWrap/>
            <w:vAlign w:val="center"/>
            <w:hideMark/>
          </w:tcPr>
          <w:p w14:paraId="636C8DD1" w14:textId="77777777" w:rsidR="00136206" w:rsidRPr="0048198F" w:rsidRDefault="00136206" w:rsidP="00136206">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en-GB"/>
              </w:rPr>
            </w:pPr>
            <w:r w:rsidRPr="0048198F">
              <w:rPr>
                <w:rFonts w:eastAsia="Times New Roman" w:cstheme="minorHAnsi"/>
                <w:color w:val="000000"/>
                <w:sz w:val="20"/>
                <w:szCs w:val="20"/>
                <w:lang w:eastAsia="en-GB"/>
              </w:rPr>
              <w:t>139</w:t>
            </w:r>
          </w:p>
        </w:tc>
        <w:tc>
          <w:tcPr>
            <w:tcW w:w="940" w:type="dxa"/>
            <w:shd w:val="clear" w:color="auto" w:fill="auto"/>
            <w:noWrap/>
            <w:vAlign w:val="center"/>
            <w:hideMark/>
          </w:tcPr>
          <w:p w14:paraId="56896A9C" w14:textId="77777777" w:rsidR="00136206" w:rsidRPr="0048198F" w:rsidRDefault="00136206" w:rsidP="00136206">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en-GB"/>
              </w:rPr>
            </w:pPr>
            <w:r w:rsidRPr="0048198F">
              <w:rPr>
                <w:rFonts w:eastAsia="Times New Roman" w:cstheme="minorHAnsi"/>
                <w:color w:val="000000"/>
                <w:sz w:val="20"/>
                <w:szCs w:val="20"/>
                <w:lang w:eastAsia="en-GB"/>
              </w:rPr>
              <w:t>21.58</w:t>
            </w:r>
          </w:p>
        </w:tc>
        <w:tc>
          <w:tcPr>
            <w:tcW w:w="847" w:type="dxa"/>
            <w:shd w:val="clear" w:color="auto" w:fill="auto"/>
            <w:noWrap/>
            <w:vAlign w:val="center"/>
            <w:hideMark/>
          </w:tcPr>
          <w:p w14:paraId="70CBBAC9" w14:textId="77777777" w:rsidR="00136206" w:rsidRPr="0048198F" w:rsidRDefault="00136206" w:rsidP="00136206">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en-GB"/>
              </w:rPr>
            </w:pPr>
            <w:r w:rsidRPr="0048198F">
              <w:rPr>
                <w:rFonts w:eastAsia="Times New Roman" w:cstheme="minorHAnsi"/>
                <w:color w:val="000000"/>
                <w:sz w:val="20"/>
                <w:szCs w:val="20"/>
                <w:lang w:eastAsia="en-GB"/>
              </w:rPr>
              <w:t>644</w:t>
            </w:r>
          </w:p>
        </w:tc>
        <w:tc>
          <w:tcPr>
            <w:tcW w:w="998" w:type="dxa"/>
            <w:shd w:val="clear" w:color="auto" w:fill="auto"/>
            <w:vAlign w:val="center"/>
          </w:tcPr>
          <w:p w14:paraId="095E501D" w14:textId="7DFA0085" w:rsidR="00136206" w:rsidRPr="0048198F" w:rsidRDefault="00136206" w:rsidP="00136206">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en-GB"/>
              </w:rPr>
            </w:pPr>
            <w:r w:rsidRPr="0048198F">
              <w:rPr>
                <w:rFonts w:eastAsia="Times New Roman" w:cstheme="minorHAnsi"/>
                <w:color w:val="000000"/>
                <w:sz w:val="20"/>
                <w:szCs w:val="20"/>
                <w:lang w:eastAsia="en-GB"/>
              </w:rPr>
              <w:t>100.00</w:t>
            </w:r>
          </w:p>
        </w:tc>
        <w:tc>
          <w:tcPr>
            <w:tcW w:w="900" w:type="dxa"/>
            <w:shd w:val="clear" w:color="auto" w:fill="auto"/>
            <w:noWrap/>
            <w:vAlign w:val="center"/>
            <w:hideMark/>
          </w:tcPr>
          <w:p w14:paraId="52C9A23C" w14:textId="6AE16F82" w:rsidR="00136206" w:rsidRPr="0048198F" w:rsidRDefault="00136206" w:rsidP="00136206">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en-GB"/>
              </w:rPr>
            </w:pPr>
            <w:r w:rsidRPr="0048198F">
              <w:rPr>
                <w:rFonts w:eastAsia="Times New Roman" w:cstheme="minorHAnsi"/>
                <w:color w:val="000000"/>
                <w:sz w:val="20"/>
                <w:szCs w:val="20"/>
                <w:lang w:eastAsia="en-GB"/>
              </w:rPr>
              <w:t>139</w:t>
            </w:r>
          </w:p>
        </w:tc>
        <w:tc>
          <w:tcPr>
            <w:tcW w:w="992" w:type="dxa"/>
            <w:shd w:val="clear" w:color="auto" w:fill="auto"/>
            <w:noWrap/>
            <w:vAlign w:val="center"/>
            <w:hideMark/>
          </w:tcPr>
          <w:p w14:paraId="1C61C352" w14:textId="60F2FE36" w:rsidR="00136206" w:rsidRPr="0048198F" w:rsidRDefault="00136206" w:rsidP="00136206">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en-GB"/>
              </w:rPr>
            </w:pPr>
            <w:r w:rsidRPr="0048198F">
              <w:rPr>
                <w:rFonts w:eastAsia="Times New Roman" w:cstheme="minorHAnsi"/>
                <w:color w:val="000000"/>
                <w:sz w:val="20"/>
                <w:szCs w:val="20"/>
                <w:lang w:eastAsia="en-GB"/>
              </w:rPr>
              <w:t>21.58</w:t>
            </w:r>
          </w:p>
        </w:tc>
      </w:tr>
      <w:tr w:rsidR="00136206" w:rsidRPr="0048198F" w14:paraId="5833DC3A" w14:textId="77777777" w:rsidTr="005D4733">
        <w:trPr>
          <w:trHeight w:val="375"/>
        </w:trPr>
        <w:tc>
          <w:tcPr>
            <w:cnfStyle w:val="001000000000" w:firstRow="0" w:lastRow="0" w:firstColumn="1" w:lastColumn="0" w:oddVBand="0" w:evenVBand="0" w:oddHBand="0" w:evenHBand="0" w:firstRowFirstColumn="0" w:firstRowLastColumn="0" w:lastRowFirstColumn="0" w:lastRowLastColumn="0"/>
            <w:tcW w:w="2689" w:type="dxa"/>
            <w:shd w:val="clear" w:color="auto" w:fill="auto"/>
            <w:vAlign w:val="center"/>
            <w:hideMark/>
          </w:tcPr>
          <w:p w14:paraId="04B854BB" w14:textId="0BE49602" w:rsidR="00136206" w:rsidRPr="0048198F" w:rsidRDefault="00136206" w:rsidP="00136206">
            <w:pPr>
              <w:rPr>
                <w:rFonts w:eastAsia="Times New Roman" w:cstheme="minorHAnsi"/>
                <w:color w:val="000000"/>
                <w:sz w:val="20"/>
                <w:szCs w:val="20"/>
                <w:lang w:eastAsia="en-GB"/>
              </w:rPr>
            </w:pPr>
            <w:r w:rsidRPr="0048198F">
              <w:rPr>
                <w:rFonts w:cstheme="minorHAnsi"/>
                <w:sz w:val="20"/>
                <w:szCs w:val="20"/>
              </w:rPr>
              <w:t xml:space="preserve">Leach </w:t>
            </w:r>
            <w:r>
              <w:rPr>
                <w:rFonts w:cstheme="minorHAnsi"/>
                <w:noProof/>
                <w:sz w:val="20"/>
                <w:szCs w:val="20"/>
              </w:rPr>
              <w:t>[39]</w:t>
            </w:r>
            <w:r>
              <w:rPr>
                <w:rFonts w:cstheme="minorHAnsi"/>
                <w:sz w:val="20"/>
                <w:szCs w:val="20"/>
              </w:rPr>
              <w:t xml:space="preserve"> *</w:t>
            </w:r>
          </w:p>
        </w:tc>
        <w:tc>
          <w:tcPr>
            <w:tcW w:w="992" w:type="dxa"/>
            <w:shd w:val="clear" w:color="auto" w:fill="auto"/>
            <w:noWrap/>
            <w:vAlign w:val="center"/>
            <w:hideMark/>
          </w:tcPr>
          <w:p w14:paraId="79CE45D1" w14:textId="77777777" w:rsidR="00136206" w:rsidRPr="0048198F" w:rsidRDefault="00136206" w:rsidP="0013620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GB"/>
              </w:rPr>
            </w:pPr>
            <w:r w:rsidRPr="0048198F">
              <w:rPr>
                <w:rFonts w:eastAsia="Times New Roman" w:cstheme="minorHAnsi"/>
                <w:color w:val="000000"/>
                <w:sz w:val="20"/>
                <w:szCs w:val="20"/>
                <w:lang w:eastAsia="en-GB"/>
              </w:rPr>
              <w:t>500</w:t>
            </w:r>
          </w:p>
        </w:tc>
        <w:tc>
          <w:tcPr>
            <w:tcW w:w="993" w:type="dxa"/>
            <w:shd w:val="clear" w:color="auto" w:fill="auto"/>
            <w:noWrap/>
            <w:vAlign w:val="center"/>
            <w:hideMark/>
          </w:tcPr>
          <w:p w14:paraId="79594DFF" w14:textId="77777777" w:rsidR="00136206" w:rsidRPr="0048198F" w:rsidRDefault="00136206" w:rsidP="0013620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GB"/>
              </w:rPr>
            </w:pPr>
            <w:r w:rsidRPr="0048198F">
              <w:rPr>
                <w:rFonts w:eastAsia="Times New Roman" w:cstheme="minorHAnsi"/>
                <w:color w:val="000000"/>
                <w:sz w:val="20"/>
                <w:szCs w:val="20"/>
                <w:lang w:eastAsia="en-GB"/>
              </w:rPr>
              <w:t>94</w:t>
            </w:r>
          </w:p>
        </w:tc>
        <w:tc>
          <w:tcPr>
            <w:tcW w:w="940" w:type="dxa"/>
            <w:shd w:val="clear" w:color="auto" w:fill="auto"/>
            <w:noWrap/>
            <w:vAlign w:val="center"/>
            <w:hideMark/>
          </w:tcPr>
          <w:p w14:paraId="72121F34" w14:textId="77777777" w:rsidR="00136206" w:rsidRPr="0048198F" w:rsidRDefault="00136206" w:rsidP="0013620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GB"/>
              </w:rPr>
            </w:pPr>
            <w:r w:rsidRPr="0048198F">
              <w:rPr>
                <w:rFonts w:eastAsia="Times New Roman" w:cstheme="minorHAnsi"/>
                <w:color w:val="000000"/>
                <w:sz w:val="20"/>
                <w:szCs w:val="20"/>
                <w:lang w:eastAsia="en-GB"/>
              </w:rPr>
              <w:t>18.80</w:t>
            </w:r>
          </w:p>
        </w:tc>
        <w:tc>
          <w:tcPr>
            <w:tcW w:w="847" w:type="dxa"/>
            <w:shd w:val="clear" w:color="auto" w:fill="auto"/>
            <w:noWrap/>
            <w:vAlign w:val="center"/>
            <w:hideMark/>
          </w:tcPr>
          <w:p w14:paraId="3C43F990" w14:textId="77777777" w:rsidR="00136206" w:rsidRPr="0048198F" w:rsidRDefault="00136206" w:rsidP="0013620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GB"/>
              </w:rPr>
            </w:pPr>
            <w:r w:rsidRPr="0048198F">
              <w:rPr>
                <w:rFonts w:eastAsia="Times New Roman" w:cstheme="minorHAnsi"/>
                <w:color w:val="000000"/>
                <w:sz w:val="20"/>
                <w:szCs w:val="20"/>
                <w:lang w:eastAsia="en-GB"/>
              </w:rPr>
              <w:t>500</w:t>
            </w:r>
          </w:p>
        </w:tc>
        <w:tc>
          <w:tcPr>
            <w:tcW w:w="998" w:type="dxa"/>
            <w:shd w:val="clear" w:color="auto" w:fill="auto"/>
            <w:vAlign w:val="center"/>
          </w:tcPr>
          <w:p w14:paraId="7A6168E8" w14:textId="7AF2E85F" w:rsidR="00136206" w:rsidRPr="0048198F" w:rsidRDefault="00136206" w:rsidP="0013620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GB"/>
              </w:rPr>
            </w:pPr>
            <w:r w:rsidRPr="0048198F">
              <w:rPr>
                <w:rFonts w:eastAsia="Times New Roman" w:cstheme="minorHAnsi"/>
                <w:color w:val="000000"/>
                <w:sz w:val="20"/>
                <w:szCs w:val="20"/>
                <w:lang w:eastAsia="en-GB"/>
              </w:rPr>
              <w:t>100.00</w:t>
            </w:r>
          </w:p>
        </w:tc>
        <w:tc>
          <w:tcPr>
            <w:tcW w:w="900" w:type="dxa"/>
            <w:shd w:val="clear" w:color="auto" w:fill="auto"/>
            <w:noWrap/>
            <w:vAlign w:val="center"/>
            <w:hideMark/>
          </w:tcPr>
          <w:p w14:paraId="16C9E3E7" w14:textId="5E0522D9" w:rsidR="00136206" w:rsidRPr="0048198F" w:rsidRDefault="00136206" w:rsidP="0013620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GB"/>
              </w:rPr>
            </w:pPr>
            <w:r w:rsidRPr="0048198F">
              <w:rPr>
                <w:rFonts w:eastAsia="Times New Roman" w:cstheme="minorHAnsi"/>
                <w:color w:val="000000"/>
                <w:sz w:val="20"/>
                <w:szCs w:val="20"/>
                <w:lang w:eastAsia="en-GB"/>
              </w:rPr>
              <w:t>94</w:t>
            </w:r>
          </w:p>
        </w:tc>
        <w:tc>
          <w:tcPr>
            <w:tcW w:w="992" w:type="dxa"/>
            <w:shd w:val="clear" w:color="auto" w:fill="auto"/>
            <w:noWrap/>
            <w:vAlign w:val="center"/>
            <w:hideMark/>
          </w:tcPr>
          <w:p w14:paraId="5A38DF8C" w14:textId="70D444F4" w:rsidR="00136206" w:rsidRPr="0048198F" w:rsidRDefault="00136206" w:rsidP="0013620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GB"/>
              </w:rPr>
            </w:pPr>
            <w:r w:rsidRPr="0048198F">
              <w:rPr>
                <w:rFonts w:eastAsia="Times New Roman" w:cstheme="minorHAnsi"/>
                <w:color w:val="000000"/>
                <w:sz w:val="20"/>
                <w:szCs w:val="20"/>
                <w:lang w:eastAsia="en-GB"/>
              </w:rPr>
              <w:t>18.80</w:t>
            </w:r>
          </w:p>
        </w:tc>
      </w:tr>
      <w:tr w:rsidR="00136206" w:rsidRPr="0048198F" w14:paraId="0D935609" w14:textId="77777777" w:rsidTr="005D473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689" w:type="dxa"/>
            <w:shd w:val="clear" w:color="auto" w:fill="auto"/>
            <w:vAlign w:val="center"/>
            <w:hideMark/>
          </w:tcPr>
          <w:p w14:paraId="44E2DEF7" w14:textId="23D92C24" w:rsidR="00136206" w:rsidRPr="0048198F" w:rsidRDefault="00136206" w:rsidP="00136206">
            <w:pPr>
              <w:rPr>
                <w:rFonts w:eastAsia="Times New Roman" w:cstheme="minorHAnsi"/>
                <w:color w:val="000000"/>
                <w:sz w:val="20"/>
                <w:szCs w:val="20"/>
                <w:lang w:eastAsia="en-GB"/>
              </w:rPr>
            </w:pPr>
            <w:r w:rsidRPr="0048198F">
              <w:rPr>
                <w:rFonts w:cstheme="minorHAnsi"/>
                <w:sz w:val="20"/>
                <w:szCs w:val="20"/>
              </w:rPr>
              <w:t xml:space="preserve">O’Connor </w:t>
            </w:r>
            <w:r>
              <w:rPr>
                <w:rFonts w:cstheme="minorHAnsi"/>
                <w:noProof/>
                <w:sz w:val="20"/>
                <w:szCs w:val="20"/>
              </w:rPr>
              <w:t>[42]</w:t>
            </w:r>
            <w:r>
              <w:rPr>
                <w:rFonts w:cstheme="minorHAnsi"/>
                <w:sz w:val="20"/>
                <w:szCs w:val="20"/>
              </w:rPr>
              <w:t xml:space="preserve"> *</w:t>
            </w:r>
          </w:p>
        </w:tc>
        <w:tc>
          <w:tcPr>
            <w:tcW w:w="992" w:type="dxa"/>
            <w:shd w:val="clear" w:color="auto" w:fill="auto"/>
            <w:noWrap/>
            <w:vAlign w:val="center"/>
            <w:hideMark/>
          </w:tcPr>
          <w:p w14:paraId="1A30DCE9" w14:textId="77777777" w:rsidR="00136206" w:rsidRPr="0048198F" w:rsidRDefault="00136206" w:rsidP="00136206">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en-GB"/>
              </w:rPr>
            </w:pPr>
            <w:r w:rsidRPr="0048198F">
              <w:rPr>
                <w:rFonts w:eastAsia="Times New Roman" w:cstheme="minorHAnsi"/>
                <w:color w:val="000000"/>
                <w:sz w:val="20"/>
                <w:szCs w:val="20"/>
                <w:lang w:eastAsia="en-GB"/>
              </w:rPr>
              <w:t>513</w:t>
            </w:r>
          </w:p>
        </w:tc>
        <w:tc>
          <w:tcPr>
            <w:tcW w:w="993" w:type="dxa"/>
            <w:shd w:val="clear" w:color="auto" w:fill="auto"/>
            <w:noWrap/>
            <w:vAlign w:val="center"/>
            <w:hideMark/>
          </w:tcPr>
          <w:p w14:paraId="5F9797AE" w14:textId="77777777" w:rsidR="00136206" w:rsidRPr="0048198F" w:rsidRDefault="00136206" w:rsidP="00136206">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en-GB"/>
              </w:rPr>
            </w:pPr>
            <w:r w:rsidRPr="0048198F">
              <w:rPr>
                <w:rFonts w:eastAsia="Times New Roman" w:cstheme="minorHAnsi"/>
                <w:color w:val="000000"/>
                <w:sz w:val="20"/>
                <w:szCs w:val="20"/>
                <w:lang w:eastAsia="en-GB"/>
              </w:rPr>
              <w:t>135</w:t>
            </w:r>
          </w:p>
        </w:tc>
        <w:tc>
          <w:tcPr>
            <w:tcW w:w="940" w:type="dxa"/>
            <w:shd w:val="clear" w:color="auto" w:fill="auto"/>
            <w:noWrap/>
            <w:vAlign w:val="center"/>
            <w:hideMark/>
          </w:tcPr>
          <w:p w14:paraId="55A2E186" w14:textId="77777777" w:rsidR="00136206" w:rsidRPr="0048198F" w:rsidRDefault="00136206" w:rsidP="00136206">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en-GB"/>
              </w:rPr>
            </w:pPr>
            <w:r w:rsidRPr="0048198F">
              <w:rPr>
                <w:rFonts w:eastAsia="Times New Roman" w:cstheme="minorHAnsi"/>
                <w:color w:val="000000"/>
                <w:sz w:val="20"/>
                <w:szCs w:val="20"/>
                <w:lang w:eastAsia="en-GB"/>
              </w:rPr>
              <w:t>26.32</w:t>
            </w:r>
          </w:p>
        </w:tc>
        <w:tc>
          <w:tcPr>
            <w:tcW w:w="847" w:type="dxa"/>
            <w:shd w:val="clear" w:color="auto" w:fill="auto"/>
            <w:noWrap/>
            <w:vAlign w:val="center"/>
            <w:hideMark/>
          </w:tcPr>
          <w:p w14:paraId="64B2C06C" w14:textId="77777777" w:rsidR="00136206" w:rsidRPr="0048198F" w:rsidRDefault="00136206" w:rsidP="00136206">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en-GB"/>
              </w:rPr>
            </w:pPr>
            <w:r w:rsidRPr="0048198F">
              <w:rPr>
                <w:rFonts w:eastAsia="Times New Roman" w:cstheme="minorHAnsi"/>
                <w:color w:val="000000"/>
                <w:sz w:val="20"/>
                <w:szCs w:val="20"/>
                <w:lang w:eastAsia="en-GB"/>
              </w:rPr>
              <w:t>513</w:t>
            </w:r>
          </w:p>
        </w:tc>
        <w:tc>
          <w:tcPr>
            <w:tcW w:w="998" w:type="dxa"/>
            <w:shd w:val="clear" w:color="auto" w:fill="auto"/>
            <w:vAlign w:val="center"/>
          </w:tcPr>
          <w:p w14:paraId="6FC07803" w14:textId="53C980AB" w:rsidR="00136206" w:rsidRPr="0048198F" w:rsidRDefault="00136206" w:rsidP="00136206">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en-GB"/>
              </w:rPr>
            </w:pPr>
            <w:r w:rsidRPr="0048198F">
              <w:rPr>
                <w:rFonts w:eastAsia="Times New Roman" w:cstheme="minorHAnsi"/>
                <w:color w:val="000000"/>
                <w:sz w:val="20"/>
                <w:szCs w:val="20"/>
                <w:lang w:eastAsia="en-GB"/>
              </w:rPr>
              <w:t>100.00</w:t>
            </w:r>
          </w:p>
        </w:tc>
        <w:tc>
          <w:tcPr>
            <w:tcW w:w="900" w:type="dxa"/>
            <w:shd w:val="clear" w:color="auto" w:fill="auto"/>
            <w:noWrap/>
            <w:vAlign w:val="center"/>
            <w:hideMark/>
          </w:tcPr>
          <w:p w14:paraId="388CDAE8" w14:textId="3566A2B4" w:rsidR="00136206" w:rsidRPr="0048198F" w:rsidRDefault="00136206" w:rsidP="00136206">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en-GB"/>
              </w:rPr>
            </w:pPr>
            <w:r w:rsidRPr="0048198F">
              <w:rPr>
                <w:rFonts w:eastAsia="Times New Roman" w:cstheme="minorHAnsi"/>
                <w:color w:val="000000"/>
                <w:sz w:val="20"/>
                <w:szCs w:val="20"/>
                <w:lang w:eastAsia="en-GB"/>
              </w:rPr>
              <w:t>135</w:t>
            </w:r>
          </w:p>
        </w:tc>
        <w:tc>
          <w:tcPr>
            <w:tcW w:w="992" w:type="dxa"/>
            <w:shd w:val="clear" w:color="auto" w:fill="auto"/>
            <w:noWrap/>
            <w:vAlign w:val="center"/>
            <w:hideMark/>
          </w:tcPr>
          <w:p w14:paraId="0EB6D0CC" w14:textId="7DED1B5A" w:rsidR="00136206" w:rsidRPr="0048198F" w:rsidRDefault="00136206" w:rsidP="00136206">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en-GB"/>
              </w:rPr>
            </w:pPr>
            <w:r w:rsidRPr="0048198F">
              <w:rPr>
                <w:rFonts w:eastAsia="Times New Roman" w:cstheme="minorHAnsi"/>
                <w:color w:val="000000"/>
                <w:sz w:val="20"/>
                <w:szCs w:val="20"/>
                <w:lang w:eastAsia="en-GB"/>
              </w:rPr>
              <w:t>26.32</w:t>
            </w:r>
          </w:p>
        </w:tc>
      </w:tr>
      <w:tr w:rsidR="00136206" w:rsidRPr="0048198F" w14:paraId="3959D492" w14:textId="77777777" w:rsidTr="005D4733">
        <w:trPr>
          <w:trHeight w:val="290"/>
        </w:trPr>
        <w:tc>
          <w:tcPr>
            <w:cnfStyle w:val="001000000000" w:firstRow="0" w:lastRow="0" w:firstColumn="1" w:lastColumn="0" w:oddVBand="0" w:evenVBand="0" w:oddHBand="0" w:evenHBand="0" w:firstRowFirstColumn="0" w:firstRowLastColumn="0" w:lastRowFirstColumn="0" w:lastRowLastColumn="0"/>
            <w:tcW w:w="2689" w:type="dxa"/>
            <w:shd w:val="clear" w:color="auto" w:fill="auto"/>
            <w:vAlign w:val="center"/>
            <w:hideMark/>
          </w:tcPr>
          <w:p w14:paraId="68584353" w14:textId="7B611D35" w:rsidR="00136206" w:rsidRPr="0048198F" w:rsidRDefault="00136206" w:rsidP="00136206">
            <w:pPr>
              <w:rPr>
                <w:rFonts w:eastAsia="Times New Roman" w:cstheme="minorHAnsi"/>
                <w:color w:val="000000"/>
                <w:sz w:val="20"/>
                <w:szCs w:val="20"/>
                <w:lang w:eastAsia="en-GB"/>
              </w:rPr>
            </w:pPr>
            <w:r w:rsidRPr="0048198F">
              <w:rPr>
                <w:rFonts w:cstheme="minorHAnsi"/>
                <w:sz w:val="20"/>
                <w:szCs w:val="20"/>
              </w:rPr>
              <w:t xml:space="preserve">O’Connor </w:t>
            </w:r>
            <w:r>
              <w:rPr>
                <w:rFonts w:cstheme="minorHAnsi"/>
                <w:noProof/>
                <w:sz w:val="20"/>
                <w:szCs w:val="20"/>
              </w:rPr>
              <w:t>[43]</w:t>
            </w:r>
            <w:r>
              <w:rPr>
                <w:rFonts w:cstheme="minorHAnsi"/>
                <w:sz w:val="20"/>
                <w:szCs w:val="20"/>
              </w:rPr>
              <w:t xml:space="preserve"> *</w:t>
            </w:r>
          </w:p>
        </w:tc>
        <w:tc>
          <w:tcPr>
            <w:tcW w:w="992" w:type="dxa"/>
            <w:shd w:val="clear" w:color="auto" w:fill="auto"/>
            <w:noWrap/>
            <w:vAlign w:val="center"/>
            <w:hideMark/>
          </w:tcPr>
          <w:p w14:paraId="4C9C4CAA" w14:textId="77777777" w:rsidR="00136206" w:rsidRPr="0048198F" w:rsidRDefault="00136206" w:rsidP="0013620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GB"/>
              </w:rPr>
            </w:pPr>
            <w:r w:rsidRPr="0048198F">
              <w:rPr>
                <w:rFonts w:eastAsia="Times New Roman" w:cstheme="minorHAnsi"/>
                <w:color w:val="000000"/>
                <w:sz w:val="20"/>
                <w:szCs w:val="20"/>
                <w:lang w:eastAsia="en-GB"/>
              </w:rPr>
              <w:t>372</w:t>
            </w:r>
          </w:p>
        </w:tc>
        <w:tc>
          <w:tcPr>
            <w:tcW w:w="993" w:type="dxa"/>
            <w:shd w:val="clear" w:color="auto" w:fill="auto"/>
            <w:noWrap/>
            <w:vAlign w:val="center"/>
            <w:hideMark/>
          </w:tcPr>
          <w:p w14:paraId="2335E542" w14:textId="77777777" w:rsidR="00136206" w:rsidRPr="0048198F" w:rsidRDefault="00136206" w:rsidP="0013620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GB"/>
              </w:rPr>
            </w:pPr>
            <w:r w:rsidRPr="0048198F">
              <w:rPr>
                <w:rFonts w:eastAsia="Times New Roman" w:cstheme="minorHAnsi"/>
                <w:color w:val="000000"/>
                <w:sz w:val="20"/>
                <w:szCs w:val="20"/>
                <w:lang w:eastAsia="en-GB"/>
              </w:rPr>
              <w:t>78</w:t>
            </w:r>
          </w:p>
        </w:tc>
        <w:tc>
          <w:tcPr>
            <w:tcW w:w="940" w:type="dxa"/>
            <w:shd w:val="clear" w:color="auto" w:fill="auto"/>
            <w:noWrap/>
            <w:vAlign w:val="center"/>
            <w:hideMark/>
          </w:tcPr>
          <w:p w14:paraId="65A8E419" w14:textId="77777777" w:rsidR="00136206" w:rsidRPr="0048198F" w:rsidRDefault="00136206" w:rsidP="0013620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GB"/>
              </w:rPr>
            </w:pPr>
            <w:r w:rsidRPr="0048198F">
              <w:rPr>
                <w:rFonts w:eastAsia="Times New Roman" w:cstheme="minorHAnsi"/>
                <w:color w:val="000000"/>
                <w:sz w:val="20"/>
                <w:szCs w:val="20"/>
                <w:lang w:eastAsia="en-GB"/>
              </w:rPr>
              <w:t>20.97</w:t>
            </w:r>
          </w:p>
        </w:tc>
        <w:tc>
          <w:tcPr>
            <w:tcW w:w="847" w:type="dxa"/>
            <w:shd w:val="clear" w:color="auto" w:fill="auto"/>
            <w:noWrap/>
            <w:vAlign w:val="center"/>
            <w:hideMark/>
          </w:tcPr>
          <w:p w14:paraId="1B438C18" w14:textId="77777777" w:rsidR="00136206" w:rsidRPr="0048198F" w:rsidRDefault="00136206" w:rsidP="0013620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GB"/>
              </w:rPr>
            </w:pPr>
            <w:r w:rsidRPr="0048198F">
              <w:rPr>
                <w:rFonts w:eastAsia="Times New Roman" w:cstheme="minorHAnsi"/>
                <w:color w:val="000000"/>
                <w:sz w:val="20"/>
                <w:szCs w:val="20"/>
                <w:lang w:eastAsia="en-GB"/>
              </w:rPr>
              <w:t>372</w:t>
            </w:r>
          </w:p>
        </w:tc>
        <w:tc>
          <w:tcPr>
            <w:tcW w:w="998" w:type="dxa"/>
            <w:shd w:val="clear" w:color="auto" w:fill="auto"/>
            <w:vAlign w:val="center"/>
          </w:tcPr>
          <w:p w14:paraId="76B99345" w14:textId="7459F935" w:rsidR="00136206" w:rsidRPr="0048198F" w:rsidRDefault="00136206" w:rsidP="0013620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GB"/>
              </w:rPr>
            </w:pPr>
            <w:r w:rsidRPr="0048198F">
              <w:rPr>
                <w:rFonts w:eastAsia="Times New Roman" w:cstheme="minorHAnsi"/>
                <w:color w:val="000000"/>
                <w:sz w:val="20"/>
                <w:szCs w:val="20"/>
                <w:lang w:eastAsia="en-GB"/>
              </w:rPr>
              <w:t>100.00</w:t>
            </w:r>
          </w:p>
        </w:tc>
        <w:tc>
          <w:tcPr>
            <w:tcW w:w="900" w:type="dxa"/>
            <w:shd w:val="clear" w:color="auto" w:fill="auto"/>
            <w:noWrap/>
            <w:vAlign w:val="center"/>
            <w:hideMark/>
          </w:tcPr>
          <w:p w14:paraId="0962359C" w14:textId="19CD8869" w:rsidR="00136206" w:rsidRPr="0048198F" w:rsidRDefault="00136206" w:rsidP="0013620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GB"/>
              </w:rPr>
            </w:pPr>
            <w:r w:rsidRPr="0048198F">
              <w:rPr>
                <w:rFonts w:eastAsia="Times New Roman" w:cstheme="minorHAnsi"/>
                <w:color w:val="000000"/>
                <w:sz w:val="20"/>
                <w:szCs w:val="20"/>
                <w:lang w:eastAsia="en-GB"/>
              </w:rPr>
              <w:t>78</w:t>
            </w:r>
          </w:p>
        </w:tc>
        <w:tc>
          <w:tcPr>
            <w:tcW w:w="992" w:type="dxa"/>
            <w:shd w:val="clear" w:color="auto" w:fill="auto"/>
            <w:noWrap/>
            <w:vAlign w:val="center"/>
            <w:hideMark/>
          </w:tcPr>
          <w:p w14:paraId="17AF60B0" w14:textId="62C843A7" w:rsidR="00136206" w:rsidRPr="0048198F" w:rsidRDefault="00136206" w:rsidP="0013620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GB"/>
              </w:rPr>
            </w:pPr>
            <w:r w:rsidRPr="0048198F">
              <w:rPr>
                <w:rFonts w:eastAsia="Times New Roman" w:cstheme="minorHAnsi"/>
                <w:color w:val="000000"/>
                <w:sz w:val="20"/>
                <w:szCs w:val="20"/>
                <w:lang w:eastAsia="en-GB"/>
              </w:rPr>
              <w:t>20.97</w:t>
            </w:r>
          </w:p>
        </w:tc>
      </w:tr>
      <w:tr w:rsidR="00136206" w:rsidRPr="0048198F" w14:paraId="514876C0" w14:textId="77777777" w:rsidTr="005D473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689" w:type="dxa"/>
            <w:shd w:val="clear" w:color="auto" w:fill="auto"/>
            <w:vAlign w:val="center"/>
            <w:hideMark/>
          </w:tcPr>
          <w:p w14:paraId="463CABB2" w14:textId="70FBE4EB" w:rsidR="00136206" w:rsidRPr="0048198F" w:rsidRDefault="00136206" w:rsidP="00136206">
            <w:pPr>
              <w:rPr>
                <w:rFonts w:eastAsia="Times New Roman" w:cstheme="minorHAnsi"/>
                <w:color w:val="000000"/>
                <w:sz w:val="20"/>
                <w:szCs w:val="20"/>
                <w:lang w:eastAsia="en-GB"/>
              </w:rPr>
            </w:pPr>
            <w:r w:rsidRPr="0048198F">
              <w:rPr>
                <w:rFonts w:cstheme="minorHAnsi"/>
                <w:sz w:val="20"/>
                <w:szCs w:val="20"/>
              </w:rPr>
              <w:t xml:space="preserve">Onder </w:t>
            </w:r>
            <w:r>
              <w:rPr>
                <w:rFonts w:cstheme="minorHAnsi"/>
                <w:noProof/>
                <w:sz w:val="20"/>
                <w:szCs w:val="20"/>
              </w:rPr>
              <w:t>[44]</w:t>
            </w:r>
            <w:r>
              <w:rPr>
                <w:rFonts w:cstheme="minorHAnsi"/>
                <w:sz w:val="20"/>
                <w:szCs w:val="20"/>
              </w:rPr>
              <w:t xml:space="preserve"> *</w:t>
            </w:r>
          </w:p>
        </w:tc>
        <w:tc>
          <w:tcPr>
            <w:tcW w:w="992" w:type="dxa"/>
            <w:shd w:val="clear" w:color="auto" w:fill="auto"/>
            <w:noWrap/>
            <w:vAlign w:val="center"/>
            <w:hideMark/>
          </w:tcPr>
          <w:p w14:paraId="5CE7A486" w14:textId="77777777" w:rsidR="00136206" w:rsidRPr="0048198F" w:rsidRDefault="00136206" w:rsidP="00136206">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en-GB"/>
              </w:rPr>
            </w:pPr>
            <w:r w:rsidRPr="0048198F">
              <w:rPr>
                <w:rFonts w:eastAsia="Times New Roman" w:cstheme="minorHAnsi"/>
                <w:color w:val="000000"/>
                <w:sz w:val="20"/>
                <w:szCs w:val="20"/>
                <w:lang w:eastAsia="en-GB"/>
              </w:rPr>
              <w:t>6419</w:t>
            </w:r>
          </w:p>
        </w:tc>
        <w:tc>
          <w:tcPr>
            <w:tcW w:w="993" w:type="dxa"/>
            <w:shd w:val="clear" w:color="auto" w:fill="auto"/>
            <w:noWrap/>
            <w:vAlign w:val="center"/>
            <w:hideMark/>
          </w:tcPr>
          <w:p w14:paraId="3D9F8A16" w14:textId="77777777" w:rsidR="00136206" w:rsidRPr="0048198F" w:rsidRDefault="00136206" w:rsidP="00136206">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en-GB"/>
              </w:rPr>
            </w:pPr>
            <w:r w:rsidRPr="0048198F">
              <w:rPr>
                <w:rFonts w:eastAsia="Times New Roman" w:cstheme="minorHAnsi"/>
                <w:color w:val="000000"/>
                <w:sz w:val="20"/>
                <w:szCs w:val="20"/>
                <w:lang w:eastAsia="en-GB"/>
              </w:rPr>
              <w:t>439</w:t>
            </w:r>
          </w:p>
        </w:tc>
        <w:tc>
          <w:tcPr>
            <w:tcW w:w="940" w:type="dxa"/>
            <w:shd w:val="clear" w:color="auto" w:fill="auto"/>
            <w:noWrap/>
            <w:vAlign w:val="center"/>
            <w:hideMark/>
          </w:tcPr>
          <w:p w14:paraId="2C814CEE" w14:textId="77777777" w:rsidR="00136206" w:rsidRPr="0048198F" w:rsidRDefault="00136206" w:rsidP="00136206">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en-GB"/>
              </w:rPr>
            </w:pPr>
            <w:r w:rsidRPr="0048198F">
              <w:rPr>
                <w:rFonts w:eastAsia="Times New Roman" w:cstheme="minorHAnsi"/>
                <w:color w:val="000000"/>
                <w:sz w:val="20"/>
                <w:szCs w:val="20"/>
                <w:lang w:eastAsia="en-GB"/>
              </w:rPr>
              <w:t>6.84</w:t>
            </w:r>
          </w:p>
        </w:tc>
        <w:tc>
          <w:tcPr>
            <w:tcW w:w="847" w:type="dxa"/>
            <w:shd w:val="clear" w:color="auto" w:fill="auto"/>
            <w:noWrap/>
            <w:vAlign w:val="center"/>
            <w:hideMark/>
          </w:tcPr>
          <w:p w14:paraId="7770FF41" w14:textId="77777777" w:rsidR="00136206" w:rsidRPr="0048198F" w:rsidRDefault="00136206" w:rsidP="00136206">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en-GB"/>
              </w:rPr>
            </w:pPr>
            <w:r w:rsidRPr="0048198F">
              <w:rPr>
                <w:rFonts w:eastAsia="Times New Roman" w:cstheme="minorHAnsi"/>
                <w:color w:val="000000"/>
                <w:sz w:val="20"/>
                <w:szCs w:val="20"/>
                <w:lang w:eastAsia="en-GB"/>
              </w:rPr>
              <w:t>6419</w:t>
            </w:r>
          </w:p>
        </w:tc>
        <w:tc>
          <w:tcPr>
            <w:tcW w:w="998" w:type="dxa"/>
            <w:shd w:val="clear" w:color="auto" w:fill="auto"/>
            <w:vAlign w:val="center"/>
          </w:tcPr>
          <w:p w14:paraId="036EC02B" w14:textId="3ABA6555" w:rsidR="00136206" w:rsidRPr="0048198F" w:rsidRDefault="00136206" w:rsidP="00136206">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en-GB"/>
              </w:rPr>
            </w:pPr>
            <w:r w:rsidRPr="0048198F">
              <w:rPr>
                <w:rFonts w:eastAsia="Times New Roman" w:cstheme="minorHAnsi"/>
                <w:color w:val="000000"/>
                <w:sz w:val="20"/>
                <w:szCs w:val="20"/>
                <w:lang w:eastAsia="en-GB"/>
              </w:rPr>
              <w:t>100.00</w:t>
            </w:r>
          </w:p>
        </w:tc>
        <w:tc>
          <w:tcPr>
            <w:tcW w:w="900" w:type="dxa"/>
            <w:shd w:val="clear" w:color="auto" w:fill="auto"/>
            <w:noWrap/>
            <w:vAlign w:val="center"/>
            <w:hideMark/>
          </w:tcPr>
          <w:p w14:paraId="44FD54AD" w14:textId="480C00B6" w:rsidR="00136206" w:rsidRPr="0048198F" w:rsidRDefault="00136206" w:rsidP="00136206">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en-GB"/>
              </w:rPr>
            </w:pPr>
            <w:r w:rsidRPr="0048198F">
              <w:rPr>
                <w:rFonts w:eastAsia="Times New Roman" w:cstheme="minorHAnsi"/>
                <w:color w:val="000000"/>
                <w:sz w:val="20"/>
                <w:szCs w:val="20"/>
                <w:lang w:eastAsia="en-GB"/>
              </w:rPr>
              <w:t>439</w:t>
            </w:r>
          </w:p>
        </w:tc>
        <w:tc>
          <w:tcPr>
            <w:tcW w:w="992" w:type="dxa"/>
            <w:shd w:val="clear" w:color="auto" w:fill="auto"/>
            <w:noWrap/>
            <w:vAlign w:val="center"/>
            <w:hideMark/>
          </w:tcPr>
          <w:p w14:paraId="45A658A0" w14:textId="0EE61873" w:rsidR="00136206" w:rsidRPr="0048198F" w:rsidRDefault="00136206" w:rsidP="00136206">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en-GB"/>
              </w:rPr>
            </w:pPr>
            <w:r w:rsidRPr="0048198F">
              <w:rPr>
                <w:rFonts w:eastAsia="Times New Roman" w:cstheme="minorHAnsi"/>
                <w:color w:val="000000"/>
                <w:sz w:val="20"/>
                <w:szCs w:val="20"/>
                <w:lang w:eastAsia="en-GB"/>
              </w:rPr>
              <w:t>6.84</w:t>
            </w:r>
          </w:p>
        </w:tc>
      </w:tr>
      <w:tr w:rsidR="00136206" w:rsidRPr="0048198F" w14:paraId="6E7E952C" w14:textId="77777777" w:rsidTr="005D4733">
        <w:trPr>
          <w:trHeight w:val="290"/>
        </w:trPr>
        <w:tc>
          <w:tcPr>
            <w:cnfStyle w:val="001000000000" w:firstRow="0" w:lastRow="0" w:firstColumn="1" w:lastColumn="0" w:oddVBand="0" w:evenVBand="0" w:oddHBand="0" w:evenHBand="0" w:firstRowFirstColumn="0" w:firstRowLastColumn="0" w:lastRowFirstColumn="0" w:lastRowLastColumn="0"/>
            <w:tcW w:w="2689" w:type="dxa"/>
            <w:shd w:val="clear" w:color="auto" w:fill="auto"/>
            <w:vAlign w:val="center"/>
            <w:hideMark/>
          </w:tcPr>
          <w:p w14:paraId="64009304" w14:textId="387953DA" w:rsidR="00136206" w:rsidRPr="0048198F" w:rsidRDefault="00136206" w:rsidP="00136206">
            <w:pPr>
              <w:rPr>
                <w:rFonts w:eastAsia="Times New Roman" w:cstheme="minorHAnsi"/>
                <w:color w:val="000000"/>
                <w:sz w:val="20"/>
                <w:szCs w:val="20"/>
                <w:lang w:eastAsia="en-GB"/>
              </w:rPr>
            </w:pPr>
            <w:r w:rsidRPr="0048198F">
              <w:rPr>
                <w:rFonts w:cstheme="minorHAnsi"/>
                <w:sz w:val="20"/>
                <w:szCs w:val="20"/>
              </w:rPr>
              <w:t xml:space="preserve">O’Sullivan </w:t>
            </w:r>
            <w:r>
              <w:rPr>
                <w:rFonts w:cstheme="minorHAnsi"/>
                <w:noProof/>
                <w:sz w:val="20"/>
                <w:szCs w:val="20"/>
              </w:rPr>
              <w:t>[45]</w:t>
            </w:r>
            <w:r>
              <w:rPr>
                <w:rFonts w:cstheme="minorHAnsi"/>
                <w:sz w:val="20"/>
                <w:szCs w:val="20"/>
              </w:rPr>
              <w:t xml:space="preserve"> *</w:t>
            </w:r>
          </w:p>
        </w:tc>
        <w:tc>
          <w:tcPr>
            <w:tcW w:w="992" w:type="dxa"/>
            <w:shd w:val="clear" w:color="auto" w:fill="auto"/>
            <w:noWrap/>
            <w:vAlign w:val="center"/>
            <w:hideMark/>
          </w:tcPr>
          <w:p w14:paraId="1042F02A" w14:textId="77777777" w:rsidR="00136206" w:rsidRPr="0048198F" w:rsidRDefault="00136206" w:rsidP="0013620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GB"/>
              </w:rPr>
            </w:pPr>
            <w:r w:rsidRPr="0048198F">
              <w:rPr>
                <w:rFonts w:eastAsia="Times New Roman" w:cstheme="minorHAnsi"/>
                <w:color w:val="000000"/>
                <w:sz w:val="20"/>
                <w:szCs w:val="20"/>
                <w:lang w:eastAsia="en-GB"/>
              </w:rPr>
              <w:t>376</w:t>
            </w:r>
          </w:p>
        </w:tc>
        <w:tc>
          <w:tcPr>
            <w:tcW w:w="993" w:type="dxa"/>
            <w:shd w:val="clear" w:color="auto" w:fill="auto"/>
            <w:noWrap/>
            <w:vAlign w:val="center"/>
            <w:hideMark/>
          </w:tcPr>
          <w:p w14:paraId="7304418A" w14:textId="77777777" w:rsidR="00136206" w:rsidRPr="0048198F" w:rsidRDefault="00136206" w:rsidP="0013620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GB"/>
              </w:rPr>
            </w:pPr>
            <w:r w:rsidRPr="0048198F">
              <w:rPr>
                <w:rFonts w:eastAsia="Times New Roman" w:cstheme="minorHAnsi"/>
                <w:color w:val="000000"/>
                <w:sz w:val="20"/>
                <w:szCs w:val="20"/>
                <w:lang w:eastAsia="en-GB"/>
              </w:rPr>
              <w:t>78</w:t>
            </w:r>
          </w:p>
        </w:tc>
        <w:tc>
          <w:tcPr>
            <w:tcW w:w="940" w:type="dxa"/>
            <w:shd w:val="clear" w:color="auto" w:fill="auto"/>
            <w:noWrap/>
            <w:vAlign w:val="center"/>
            <w:hideMark/>
          </w:tcPr>
          <w:p w14:paraId="05533383" w14:textId="77777777" w:rsidR="00136206" w:rsidRPr="0048198F" w:rsidRDefault="00136206" w:rsidP="0013620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GB"/>
              </w:rPr>
            </w:pPr>
            <w:r w:rsidRPr="0048198F">
              <w:rPr>
                <w:rFonts w:eastAsia="Times New Roman" w:cstheme="minorHAnsi"/>
                <w:color w:val="000000"/>
                <w:sz w:val="20"/>
                <w:szCs w:val="20"/>
                <w:lang w:eastAsia="en-GB"/>
              </w:rPr>
              <w:t>20.74</w:t>
            </w:r>
          </w:p>
        </w:tc>
        <w:tc>
          <w:tcPr>
            <w:tcW w:w="847" w:type="dxa"/>
            <w:shd w:val="clear" w:color="auto" w:fill="auto"/>
            <w:noWrap/>
            <w:vAlign w:val="center"/>
            <w:hideMark/>
          </w:tcPr>
          <w:p w14:paraId="63EBDD1D" w14:textId="77777777" w:rsidR="00136206" w:rsidRPr="0048198F" w:rsidRDefault="00136206" w:rsidP="0013620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GB"/>
              </w:rPr>
            </w:pPr>
            <w:r w:rsidRPr="0048198F">
              <w:rPr>
                <w:rFonts w:eastAsia="Times New Roman" w:cstheme="minorHAnsi"/>
                <w:color w:val="000000"/>
                <w:sz w:val="20"/>
                <w:szCs w:val="20"/>
                <w:lang w:eastAsia="en-GB"/>
              </w:rPr>
              <w:t>376</w:t>
            </w:r>
          </w:p>
        </w:tc>
        <w:tc>
          <w:tcPr>
            <w:tcW w:w="998" w:type="dxa"/>
            <w:shd w:val="clear" w:color="auto" w:fill="auto"/>
            <w:vAlign w:val="center"/>
          </w:tcPr>
          <w:p w14:paraId="721A8D70" w14:textId="1BCE4A1E" w:rsidR="00136206" w:rsidRPr="0048198F" w:rsidRDefault="00136206" w:rsidP="0013620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GB"/>
              </w:rPr>
            </w:pPr>
            <w:r w:rsidRPr="0048198F">
              <w:rPr>
                <w:rFonts w:eastAsia="Times New Roman" w:cstheme="minorHAnsi"/>
                <w:color w:val="000000"/>
                <w:sz w:val="20"/>
                <w:szCs w:val="20"/>
                <w:lang w:eastAsia="en-GB"/>
              </w:rPr>
              <w:t>100.00</w:t>
            </w:r>
          </w:p>
        </w:tc>
        <w:tc>
          <w:tcPr>
            <w:tcW w:w="900" w:type="dxa"/>
            <w:shd w:val="clear" w:color="auto" w:fill="auto"/>
            <w:noWrap/>
            <w:vAlign w:val="center"/>
            <w:hideMark/>
          </w:tcPr>
          <w:p w14:paraId="6A8E8809" w14:textId="6C718F83" w:rsidR="00136206" w:rsidRPr="0048198F" w:rsidRDefault="00136206" w:rsidP="0013620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GB"/>
              </w:rPr>
            </w:pPr>
            <w:r w:rsidRPr="0048198F">
              <w:rPr>
                <w:rFonts w:eastAsia="Times New Roman" w:cstheme="minorHAnsi"/>
                <w:color w:val="000000"/>
                <w:sz w:val="20"/>
                <w:szCs w:val="20"/>
                <w:lang w:eastAsia="en-GB"/>
              </w:rPr>
              <w:t>78</w:t>
            </w:r>
          </w:p>
        </w:tc>
        <w:tc>
          <w:tcPr>
            <w:tcW w:w="992" w:type="dxa"/>
            <w:shd w:val="clear" w:color="auto" w:fill="auto"/>
            <w:noWrap/>
            <w:vAlign w:val="center"/>
            <w:hideMark/>
          </w:tcPr>
          <w:p w14:paraId="7905ADB0" w14:textId="7ACA088D" w:rsidR="00136206" w:rsidRPr="0048198F" w:rsidRDefault="00136206" w:rsidP="0013620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GB"/>
              </w:rPr>
            </w:pPr>
            <w:r w:rsidRPr="0048198F">
              <w:rPr>
                <w:rFonts w:eastAsia="Times New Roman" w:cstheme="minorHAnsi"/>
                <w:color w:val="000000"/>
                <w:sz w:val="20"/>
                <w:szCs w:val="20"/>
                <w:lang w:eastAsia="en-GB"/>
              </w:rPr>
              <w:t>20.74</w:t>
            </w:r>
          </w:p>
        </w:tc>
      </w:tr>
      <w:tr w:rsidR="00136206" w:rsidRPr="0048198F" w14:paraId="0AC69EA6" w14:textId="77777777" w:rsidTr="005D4733">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689" w:type="dxa"/>
            <w:shd w:val="clear" w:color="auto" w:fill="auto"/>
            <w:vAlign w:val="center"/>
            <w:hideMark/>
          </w:tcPr>
          <w:p w14:paraId="0CF79198" w14:textId="5201E3AE" w:rsidR="00136206" w:rsidRPr="0048198F" w:rsidRDefault="00136206" w:rsidP="00136206">
            <w:pPr>
              <w:rPr>
                <w:rFonts w:eastAsia="Times New Roman" w:cstheme="minorHAnsi"/>
                <w:color w:val="000000"/>
                <w:sz w:val="20"/>
                <w:szCs w:val="20"/>
                <w:lang w:eastAsia="en-GB"/>
              </w:rPr>
            </w:pPr>
            <w:r w:rsidRPr="0048198F">
              <w:rPr>
                <w:rFonts w:cstheme="minorHAnsi"/>
                <w:sz w:val="20"/>
                <w:szCs w:val="20"/>
              </w:rPr>
              <w:t xml:space="preserve">Reichel </w:t>
            </w:r>
            <w:r>
              <w:rPr>
                <w:rFonts w:cstheme="minorHAnsi"/>
                <w:noProof/>
                <w:sz w:val="20"/>
                <w:szCs w:val="20"/>
              </w:rPr>
              <w:t>[46]</w:t>
            </w:r>
            <w:r>
              <w:rPr>
                <w:rFonts w:cstheme="minorHAnsi"/>
                <w:sz w:val="20"/>
                <w:szCs w:val="20"/>
              </w:rPr>
              <w:t>*</w:t>
            </w:r>
          </w:p>
        </w:tc>
        <w:tc>
          <w:tcPr>
            <w:tcW w:w="992" w:type="dxa"/>
            <w:shd w:val="clear" w:color="auto" w:fill="auto"/>
            <w:noWrap/>
            <w:vAlign w:val="center"/>
            <w:hideMark/>
          </w:tcPr>
          <w:p w14:paraId="1099248D" w14:textId="77777777" w:rsidR="00136206" w:rsidRPr="0048198F" w:rsidRDefault="00136206" w:rsidP="00136206">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en-GB"/>
              </w:rPr>
            </w:pPr>
            <w:r w:rsidRPr="0048198F">
              <w:rPr>
                <w:rFonts w:eastAsia="Times New Roman" w:cstheme="minorHAnsi"/>
                <w:color w:val="000000"/>
                <w:sz w:val="20"/>
                <w:szCs w:val="20"/>
                <w:lang w:eastAsia="en-GB"/>
              </w:rPr>
              <w:t>500</w:t>
            </w:r>
          </w:p>
        </w:tc>
        <w:tc>
          <w:tcPr>
            <w:tcW w:w="993" w:type="dxa"/>
            <w:shd w:val="clear" w:color="auto" w:fill="auto"/>
            <w:noWrap/>
            <w:vAlign w:val="center"/>
            <w:hideMark/>
          </w:tcPr>
          <w:p w14:paraId="5E1BEEC4" w14:textId="77777777" w:rsidR="00136206" w:rsidRPr="0048198F" w:rsidRDefault="00136206" w:rsidP="00136206">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en-GB"/>
              </w:rPr>
            </w:pPr>
            <w:r w:rsidRPr="0048198F">
              <w:rPr>
                <w:rFonts w:eastAsia="Times New Roman" w:cstheme="minorHAnsi"/>
                <w:color w:val="000000"/>
                <w:sz w:val="20"/>
                <w:szCs w:val="20"/>
                <w:lang w:eastAsia="en-GB"/>
              </w:rPr>
              <w:t>54</w:t>
            </w:r>
          </w:p>
        </w:tc>
        <w:tc>
          <w:tcPr>
            <w:tcW w:w="940" w:type="dxa"/>
            <w:shd w:val="clear" w:color="auto" w:fill="auto"/>
            <w:noWrap/>
            <w:vAlign w:val="center"/>
            <w:hideMark/>
          </w:tcPr>
          <w:p w14:paraId="70A3C239" w14:textId="77777777" w:rsidR="00136206" w:rsidRPr="0048198F" w:rsidRDefault="00136206" w:rsidP="00136206">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en-GB"/>
              </w:rPr>
            </w:pPr>
            <w:r w:rsidRPr="0048198F">
              <w:rPr>
                <w:rFonts w:eastAsia="Times New Roman" w:cstheme="minorHAnsi"/>
                <w:color w:val="000000"/>
                <w:sz w:val="20"/>
                <w:szCs w:val="20"/>
                <w:lang w:eastAsia="en-GB"/>
              </w:rPr>
              <w:t>10.80</w:t>
            </w:r>
          </w:p>
        </w:tc>
        <w:tc>
          <w:tcPr>
            <w:tcW w:w="847" w:type="dxa"/>
            <w:shd w:val="clear" w:color="auto" w:fill="auto"/>
            <w:noWrap/>
            <w:vAlign w:val="center"/>
            <w:hideMark/>
          </w:tcPr>
          <w:p w14:paraId="555EE98F" w14:textId="77777777" w:rsidR="00136206" w:rsidRPr="0048198F" w:rsidRDefault="00136206" w:rsidP="00136206">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en-GB"/>
              </w:rPr>
            </w:pPr>
            <w:r w:rsidRPr="0048198F">
              <w:rPr>
                <w:rFonts w:eastAsia="Times New Roman" w:cstheme="minorHAnsi"/>
                <w:color w:val="000000"/>
                <w:sz w:val="20"/>
                <w:szCs w:val="20"/>
                <w:lang w:eastAsia="en-GB"/>
              </w:rPr>
              <w:t>500</w:t>
            </w:r>
          </w:p>
        </w:tc>
        <w:tc>
          <w:tcPr>
            <w:tcW w:w="998" w:type="dxa"/>
            <w:shd w:val="clear" w:color="auto" w:fill="auto"/>
            <w:vAlign w:val="center"/>
          </w:tcPr>
          <w:p w14:paraId="3532FFAC" w14:textId="77777777" w:rsidR="00136206" w:rsidRPr="0048198F" w:rsidRDefault="00136206" w:rsidP="00136206">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en-GB"/>
              </w:rPr>
            </w:pPr>
            <w:r w:rsidRPr="0048198F">
              <w:rPr>
                <w:rFonts w:eastAsia="Times New Roman" w:cstheme="minorHAnsi"/>
                <w:color w:val="000000"/>
                <w:sz w:val="20"/>
                <w:szCs w:val="20"/>
                <w:lang w:eastAsia="en-GB"/>
              </w:rPr>
              <w:t>100.00</w:t>
            </w:r>
          </w:p>
        </w:tc>
        <w:tc>
          <w:tcPr>
            <w:tcW w:w="900" w:type="dxa"/>
            <w:shd w:val="clear" w:color="auto" w:fill="auto"/>
            <w:noWrap/>
            <w:vAlign w:val="center"/>
            <w:hideMark/>
          </w:tcPr>
          <w:p w14:paraId="00873278" w14:textId="77777777" w:rsidR="00136206" w:rsidRPr="0048198F" w:rsidRDefault="00136206" w:rsidP="00136206">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en-GB"/>
              </w:rPr>
            </w:pPr>
            <w:r w:rsidRPr="0048198F">
              <w:rPr>
                <w:rFonts w:eastAsia="Times New Roman" w:cstheme="minorHAnsi"/>
                <w:color w:val="000000"/>
                <w:sz w:val="20"/>
                <w:szCs w:val="20"/>
                <w:lang w:eastAsia="en-GB"/>
              </w:rPr>
              <w:t>54</w:t>
            </w:r>
          </w:p>
        </w:tc>
        <w:tc>
          <w:tcPr>
            <w:tcW w:w="992" w:type="dxa"/>
            <w:shd w:val="clear" w:color="auto" w:fill="auto"/>
            <w:noWrap/>
            <w:vAlign w:val="center"/>
            <w:hideMark/>
          </w:tcPr>
          <w:p w14:paraId="5DA7D5EC" w14:textId="77777777" w:rsidR="00136206" w:rsidRPr="0048198F" w:rsidRDefault="00136206" w:rsidP="00136206">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en-GB"/>
              </w:rPr>
            </w:pPr>
            <w:r w:rsidRPr="0048198F">
              <w:rPr>
                <w:rFonts w:eastAsia="Times New Roman" w:cstheme="minorHAnsi"/>
                <w:color w:val="000000"/>
                <w:sz w:val="20"/>
                <w:szCs w:val="20"/>
                <w:lang w:eastAsia="en-GB"/>
              </w:rPr>
              <w:t>10.80</w:t>
            </w:r>
          </w:p>
        </w:tc>
      </w:tr>
      <w:tr w:rsidR="00136206" w:rsidRPr="0048198F" w14:paraId="2E6EBCA2" w14:textId="77777777" w:rsidTr="005D4733">
        <w:trPr>
          <w:trHeight w:val="300"/>
        </w:trPr>
        <w:tc>
          <w:tcPr>
            <w:cnfStyle w:val="001000000000" w:firstRow="0" w:lastRow="0" w:firstColumn="1" w:lastColumn="0" w:oddVBand="0" w:evenVBand="0" w:oddHBand="0" w:evenHBand="0" w:firstRowFirstColumn="0" w:firstRowLastColumn="0" w:lastRowFirstColumn="0" w:lastRowLastColumn="0"/>
            <w:tcW w:w="2689" w:type="dxa"/>
            <w:shd w:val="clear" w:color="auto" w:fill="auto"/>
            <w:vAlign w:val="center"/>
            <w:hideMark/>
          </w:tcPr>
          <w:p w14:paraId="54C675D2" w14:textId="69E95BC8" w:rsidR="00136206" w:rsidRPr="0048198F" w:rsidRDefault="00136206" w:rsidP="00136206">
            <w:pPr>
              <w:rPr>
                <w:rFonts w:eastAsia="Times New Roman" w:cstheme="minorHAnsi"/>
                <w:color w:val="000000"/>
                <w:sz w:val="20"/>
                <w:szCs w:val="20"/>
                <w:lang w:eastAsia="en-GB"/>
              </w:rPr>
            </w:pPr>
            <w:r w:rsidRPr="0048198F">
              <w:rPr>
                <w:rFonts w:cstheme="minorHAnsi"/>
                <w:sz w:val="20"/>
                <w:szCs w:val="20"/>
              </w:rPr>
              <w:t xml:space="preserve">Tangiisuran </w:t>
            </w:r>
            <w:r>
              <w:rPr>
                <w:rFonts w:cstheme="minorHAnsi"/>
                <w:noProof/>
                <w:sz w:val="20"/>
                <w:szCs w:val="20"/>
              </w:rPr>
              <w:t>[48]</w:t>
            </w:r>
            <w:r>
              <w:rPr>
                <w:rFonts w:cstheme="minorHAnsi"/>
                <w:sz w:val="20"/>
                <w:szCs w:val="20"/>
              </w:rPr>
              <w:t xml:space="preserve"> *</w:t>
            </w:r>
          </w:p>
        </w:tc>
        <w:tc>
          <w:tcPr>
            <w:tcW w:w="992" w:type="dxa"/>
            <w:shd w:val="clear" w:color="auto" w:fill="auto"/>
            <w:noWrap/>
            <w:vAlign w:val="center"/>
            <w:hideMark/>
          </w:tcPr>
          <w:p w14:paraId="7155FEF2" w14:textId="77777777" w:rsidR="00136206" w:rsidRPr="0048198F" w:rsidRDefault="00136206" w:rsidP="0013620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GB"/>
              </w:rPr>
            </w:pPr>
            <w:r w:rsidRPr="0048198F">
              <w:rPr>
                <w:rFonts w:eastAsia="Times New Roman" w:cstheme="minorHAnsi"/>
                <w:color w:val="000000"/>
                <w:sz w:val="20"/>
                <w:szCs w:val="20"/>
                <w:lang w:eastAsia="en-GB"/>
              </w:rPr>
              <w:t>1173</w:t>
            </w:r>
          </w:p>
        </w:tc>
        <w:tc>
          <w:tcPr>
            <w:tcW w:w="993" w:type="dxa"/>
            <w:shd w:val="clear" w:color="auto" w:fill="auto"/>
            <w:noWrap/>
            <w:vAlign w:val="center"/>
            <w:hideMark/>
          </w:tcPr>
          <w:p w14:paraId="0B227DD5" w14:textId="77777777" w:rsidR="00136206" w:rsidRPr="0048198F" w:rsidRDefault="00136206" w:rsidP="0013620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GB"/>
              </w:rPr>
            </w:pPr>
            <w:r w:rsidRPr="0048198F">
              <w:rPr>
                <w:rFonts w:eastAsia="Times New Roman" w:cstheme="minorHAnsi"/>
                <w:color w:val="000000"/>
                <w:sz w:val="20"/>
                <w:szCs w:val="20"/>
                <w:lang w:eastAsia="en-GB"/>
              </w:rPr>
              <w:t>143</w:t>
            </w:r>
          </w:p>
        </w:tc>
        <w:tc>
          <w:tcPr>
            <w:tcW w:w="940" w:type="dxa"/>
            <w:shd w:val="clear" w:color="auto" w:fill="auto"/>
            <w:noWrap/>
            <w:vAlign w:val="center"/>
            <w:hideMark/>
          </w:tcPr>
          <w:p w14:paraId="454207DB" w14:textId="77777777" w:rsidR="00136206" w:rsidRPr="0048198F" w:rsidRDefault="00136206" w:rsidP="0013620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GB"/>
              </w:rPr>
            </w:pPr>
            <w:r w:rsidRPr="0048198F">
              <w:rPr>
                <w:rFonts w:eastAsia="Times New Roman" w:cstheme="minorHAnsi"/>
                <w:color w:val="000000"/>
                <w:sz w:val="20"/>
                <w:szCs w:val="20"/>
                <w:lang w:eastAsia="en-GB"/>
              </w:rPr>
              <w:t>12.19</w:t>
            </w:r>
          </w:p>
        </w:tc>
        <w:tc>
          <w:tcPr>
            <w:tcW w:w="847" w:type="dxa"/>
            <w:shd w:val="clear" w:color="auto" w:fill="auto"/>
            <w:noWrap/>
            <w:vAlign w:val="center"/>
            <w:hideMark/>
          </w:tcPr>
          <w:p w14:paraId="11342E3C" w14:textId="77777777" w:rsidR="00136206" w:rsidRPr="0048198F" w:rsidRDefault="00136206" w:rsidP="0013620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GB"/>
              </w:rPr>
            </w:pPr>
            <w:r w:rsidRPr="0048198F">
              <w:rPr>
                <w:rFonts w:eastAsia="Times New Roman" w:cstheme="minorHAnsi"/>
                <w:color w:val="000000"/>
                <w:sz w:val="20"/>
                <w:szCs w:val="20"/>
                <w:lang w:eastAsia="en-GB"/>
              </w:rPr>
              <w:t>1173</w:t>
            </w:r>
          </w:p>
        </w:tc>
        <w:tc>
          <w:tcPr>
            <w:tcW w:w="998" w:type="dxa"/>
            <w:shd w:val="clear" w:color="auto" w:fill="auto"/>
            <w:vAlign w:val="center"/>
          </w:tcPr>
          <w:p w14:paraId="17FCBEC6" w14:textId="53FE2B60" w:rsidR="00136206" w:rsidRPr="0048198F" w:rsidRDefault="00136206" w:rsidP="0013620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GB"/>
              </w:rPr>
            </w:pPr>
            <w:r w:rsidRPr="0048198F">
              <w:rPr>
                <w:rFonts w:eastAsia="Times New Roman" w:cstheme="minorHAnsi"/>
                <w:color w:val="000000"/>
                <w:sz w:val="20"/>
                <w:szCs w:val="20"/>
                <w:lang w:eastAsia="en-GB"/>
              </w:rPr>
              <w:t>100.00</w:t>
            </w:r>
          </w:p>
        </w:tc>
        <w:tc>
          <w:tcPr>
            <w:tcW w:w="900" w:type="dxa"/>
            <w:shd w:val="clear" w:color="auto" w:fill="auto"/>
            <w:noWrap/>
            <w:vAlign w:val="center"/>
            <w:hideMark/>
          </w:tcPr>
          <w:p w14:paraId="19DE66D3" w14:textId="56023F7C" w:rsidR="00136206" w:rsidRPr="0048198F" w:rsidRDefault="00136206" w:rsidP="0013620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GB"/>
              </w:rPr>
            </w:pPr>
            <w:r w:rsidRPr="0048198F">
              <w:rPr>
                <w:rFonts w:eastAsia="Times New Roman" w:cstheme="minorHAnsi"/>
                <w:color w:val="000000"/>
                <w:sz w:val="20"/>
                <w:szCs w:val="20"/>
                <w:lang w:eastAsia="en-GB"/>
              </w:rPr>
              <w:t>143</w:t>
            </w:r>
          </w:p>
        </w:tc>
        <w:tc>
          <w:tcPr>
            <w:tcW w:w="992" w:type="dxa"/>
            <w:shd w:val="clear" w:color="auto" w:fill="auto"/>
            <w:noWrap/>
            <w:vAlign w:val="center"/>
            <w:hideMark/>
          </w:tcPr>
          <w:p w14:paraId="041B7AE2" w14:textId="7FD41FE0" w:rsidR="00136206" w:rsidRPr="0048198F" w:rsidRDefault="00136206" w:rsidP="00136206">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n-GB"/>
              </w:rPr>
            </w:pPr>
            <w:r w:rsidRPr="0048198F">
              <w:rPr>
                <w:rFonts w:eastAsia="Times New Roman" w:cstheme="minorHAnsi"/>
                <w:color w:val="000000"/>
                <w:sz w:val="20"/>
                <w:szCs w:val="20"/>
                <w:lang w:eastAsia="en-GB"/>
              </w:rPr>
              <w:t>12.19</w:t>
            </w:r>
          </w:p>
        </w:tc>
      </w:tr>
      <w:tr w:rsidR="00136206" w:rsidRPr="0048198F" w14:paraId="7A3838ED" w14:textId="77777777" w:rsidTr="005D4733">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689" w:type="dxa"/>
            <w:tcBorders>
              <w:bottom w:val="single" w:sz="4" w:space="0" w:color="auto"/>
            </w:tcBorders>
            <w:shd w:val="clear" w:color="auto" w:fill="auto"/>
            <w:vAlign w:val="center"/>
            <w:hideMark/>
          </w:tcPr>
          <w:p w14:paraId="69476772" w14:textId="1E836DD7" w:rsidR="00136206" w:rsidRPr="0048198F" w:rsidRDefault="00136206" w:rsidP="00136206">
            <w:pPr>
              <w:rPr>
                <w:rFonts w:eastAsia="Times New Roman" w:cstheme="minorHAnsi"/>
                <w:i/>
                <w:iCs/>
                <w:color w:val="000000"/>
                <w:sz w:val="20"/>
                <w:szCs w:val="20"/>
                <w:lang w:eastAsia="en-GB"/>
              </w:rPr>
            </w:pPr>
            <w:r w:rsidRPr="0048198F">
              <w:rPr>
                <w:rFonts w:cstheme="minorHAnsi"/>
                <w:sz w:val="20"/>
                <w:szCs w:val="20"/>
              </w:rPr>
              <w:t xml:space="preserve">Tangiisuran </w:t>
            </w:r>
            <w:r>
              <w:rPr>
                <w:rFonts w:cstheme="minorHAnsi"/>
                <w:noProof/>
                <w:sz w:val="20"/>
                <w:szCs w:val="20"/>
              </w:rPr>
              <w:t>[47]</w:t>
            </w:r>
            <w:r>
              <w:rPr>
                <w:rFonts w:cstheme="minorHAnsi"/>
                <w:sz w:val="20"/>
                <w:szCs w:val="20"/>
              </w:rPr>
              <w:t>**</w:t>
            </w:r>
          </w:p>
        </w:tc>
        <w:tc>
          <w:tcPr>
            <w:tcW w:w="992" w:type="dxa"/>
            <w:tcBorders>
              <w:bottom w:val="single" w:sz="4" w:space="0" w:color="auto"/>
            </w:tcBorders>
            <w:shd w:val="clear" w:color="auto" w:fill="auto"/>
            <w:noWrap/>
            <w:vAlign w:val="center"/>
            <w:hideMark/>
          </w:tcPr>
          <w:p w14:paraId="1FF59C81" w14:textId="77777777" w:rsidR="00136206" w:rsidRPr="0048198F" w:rsidRDefault="00136206" w:rsidP="00136206">
            <w:pPr>
              <w:cnfStyle w:val="000000100000" w:firstRow="0" w:lastRow="0" w:firstColumn="0" w:lastColumn="0" w:oddVBand="0" w:evenVBand="0" w:oddHBand="1" w:evenHBand="0" w:firstRowFirstColumn="0" w:firstRowLastColumn="0" w:lastRowFirstColumn="0" w:lastRowLastColumn="0"/>
              <w:rPr>
                <w:rFonts w:eastAsia="Times New Roman" w:cstheme="minorHAnsi"/>
                <w:i/>
                <w:iCs/>
                <w:color w:val="000000"/>
                <w:sz w:val="20"/>
                <w:szCs w:val="20"/>
                <w:lang w:eastAsia="en-GB"/>
              </w:rPr>
            </w:pPr>
            <w:r w:rsidRPr="0048198F">
              <w:rPr>
                <w:rFonts w:eastAsia="Times New Roman" w:cstheme="minorHAnsi"/>
                <w:i/>
                <w:iCs/>
                <w:color w:val="000000"/>
                <w:sz w:val="20"/>
                <w:szCs w:val="20"/>
                <w:lang w:eastAsia="en-GB"/>
              </w:rPr>
              <w:t>560</w:t>
            </w:r>
          </w:p>
        </w:tc>
        <w:tc>
          <w:tcPr>
            <w:tcW w:w="993" w:type="dxa"/>
            <w:tcBorders>
              <w:bottom w:val="single" w:sz="4" w:space="0" w:color="auto"/>
            </w:tcBorders>
            <w:shd w:val="clear" w:color="auto" w:fill="auto"/>
            <w:noWrap/>
            <w:vAlign w:val="center"/>
            <w:hideMark/>
          </w:tcPr>
          <w:p w14:paraId="2C81B4F1" w14:textId="77777777" w:rsidR="00136206" w:rsidRPr="0048198F" w:rsidRDefault="00136206" w:rsidP="00136206">
            <w:pPr>
              <w:cnfStyle w:val="000000100000" w:firstRow="0" w:lastRow="0" w:firstColumn="0" w:lastColumn="0" w:oddVBand="0" w:evenVBand="0" w:oddHBand="1" w:evenHBand="0" w:firstRowFirstColumn="0" w:firstRowLastColumn="0" w:lastRowFirstColumn="0" w:lastRowLastColumn="0"/>
              <w:rPr>
                <w:rFonts w:eastAsia="Times New Roman" w:cstheme="minorHAnsi"/>
                <w:i/>
                <w:iCs/>
                <w:color w:val="000000"/>
                <w:sz w:val="20"/>
                <w:szCs w:val="20"/>
                <w:lang w:eastAsia="en-GB"/>
              </w:rPr>
            </w:pPr>
            <w:r w:rsidRPr="0048198F">
              <w:rPr>
                <w:rFonts w:eastAsia="Times New Roman" w:cstheme="minorHAnsi"/>
                <w:i/>
                <w:iCs/>
                <w:color w:val="000000"/>
                <w:sz w:val="20"/>
                <w:szCs w:val="20"/>
                <w:lang w:eastAsia="en-GB"/>
              </w:rPr>
              <w:t>74</w:t>
            </w:r>
          </w:p>
        </w:tc>
        <w:tc>
          <w:tcPr>
            <w:tcW w:w="940" w:type="dxa"/>
            <w:tcBorders>
              <w:bottom w:val="single" w:sz="4" w:space="0" w:color="auto"/>
            </w:tcBorders>
            <w:shd w:val="clear" w:color="auto" w:fill="auto"/>
            <w:noWrap/>
            <w:vAlign w:val="center"/>
            <w:hideMark/>
          </w:tcPr>
          <w:p w14:paraId="07073E3F" w14:textId="77777777" w:rsidR="00136206" w:rsidRPr="0048198F" w:rsidRDefault="00136206" w:rsidP="00136206">
            <w:pPr>
              <w:cnfStyle w:val="000000100000" w:firstRow="0" w:lastRow="0" w:firstColumn="0" w:lastColumn="0" w:oddVBand="0" w:evenVBand="0" w:oddHBand="1" w:evenHBand="0" w:firstRowFirstColumn="0" w:firstRowLastColumn="0" w:lastRowFirstColumn="0" w:lastRowLastColumn="0"/>
              <w:rPr>
                <w:rFonts w:eastAsia="Times New Roman" w:cstheme="minorHAnsi"/>
                <w:i/>
                <w:iCs/>
                <w:color w:val="000000"/>
                <w:sz w:val="20"/>
                <w:szCs w:val="20"/>
                <w:lang w:eastAsia="en-GB"/>
              </w:rPr>
            </w:pPr>
            <w:r w:rsidRPr="0048198F">
              <w:rPr>
                <w:rFonts w:eastAsia="Times New Roman" w:cstheme="minorHAnsi"/>
                <w:i/>
                <w:iCs/>
                <w:color w:val="000000"/>
                <w:sz w:val="20"/>
                <w:szCs w:val="20"/>
                <w:lang w:eastAsia="en-GB"/>
              </w:rPr>
              <w:t>13.21</w:t>
            </w:r>
          </w:p>
        </w:tc>
        <w:tc>
          <w:tcPr>
            <w:tcW w:w="847" w:type="dxa"/>
            <w:tcBorders>
              <w:bottom w:val="single" w:sz="4" w:space="0" w:color="auto"/>
            </w:tcBorders>
            <w:shd w:val="clear" w:color="auto" w:fill="auto"/>
            <w:noWrap/>
            <w:vAlign w:val="center"/>
            <w:hideMark/>
          </w:tcPr>
          <w:p w14:paraId="3BEBAF4F" w14:textId="77777777" w:rsidR="00136206" w:rsidRPr="0048198F" w:rsidRDefault="00136206" w:rsidP="00136206">
            <w:pPr>
              <w:cnfStyle w:val="000000100000" w:firstRow="0" w:lastRow="0" w:firstColumn="0" w:lastColumn="0" w:oddVBand="0" w:evenVBand="0" w:oddHBand="1" w:evenHBand="0" w:firstRowFirstColumn="0" w:firstRowLastColumn="0" w:lastRowFirstColumn="0" w:lastRowLastColumn="0"/>
              <w:rPr>
                <w:rFonts w:eastAsia="Times New Roman" w:cstheme="minorHAnsi"/>
                <w:i/>
                <w:iCs/>
                <w:color w:val="000000"/>
                <w:sz w:val="20"/>
                <w:szCs w:val="20"/>
                <w:lang w:eastAsia="en-GB"/>
              </w:rPr>
            </w:pPr>
            <w:r w:rsidRPr="0048198F">
              <w:rPr>
                <w:rFonts w:eastAsia="Times New Roman" w:cstheme="minorHAnsi"/>
                <w:i/>
                <w:iCs/>
                <w:color w:val="000000"/>
                <w:sz w:val="20"/>
                <w:szCs w:val="20"/>
                <w:lang w:eastAsia="en-GB"/>
              </w:rPr>
              <w:t>560</w:t>
            </w:r>
          </w:p>
        </w:tc>
        <w:tc>
          <w:tcPr>
            <w:tcW w:w="998" w:type="dxa"/>
            <w:tcBorders>
              <w:bottom w:val="single" w:sz="4" w:space="0" w:color="auto"/>
            </w:tcBorders>
            <w:shd w:val="clear" w:color="auto" w:fill="auto"/>
            <w:vAlign w:val="center"/>
          </w:tcPr>
          <w:p w14:paraId="499A5B2B" w14:textId="58D2F0D8" w:rsidR="00136206" w:rsidRPr="0048198F" w:rsidRDefault="00136206" w:rsidP="00136206">
            <w:pPr>
              <w:cnfStyle w:val="000000100000" w:firstRow="0" w:lastRow="0" w:firstColumn="0" w:lastColumn="0" w:oddVBand="0" w:evenVBand="0" w:oddHBand="1" w:evenHBand="0" w:firstRowFirstColumn="0" w:firstRowLastColumn="0" w:lastRowFirstColumn="0" w:lastRowLastColumn="0"/>
              <w:rPr>
                <w:rFonts w:eastAsia="Times New Roman" w:cstheme="minorHAnsi"/>
                <w:i/>
                <w:iCs/>
                <w:color w:val="000000"/>
                <w:sz w:val="20"/>
                <w:szCs w:val="20"/>
                <w:lang w:eastAsia="en-GB"/>
              </w:rPr>
            </w:pPr>
            <w:r w:rsidRPr="0048198F">
              <w:rPr>
                <w:rFonts w:eastAsia="Times New Roman" w:cstheme="minorHAnsi"/>
                <w:i/>
                <w:iCs/>
                <w:color w:val="000000"/>
                <w:sz w:val="20"/>
                <w:szCs w:val="20"/>
                <w:lang w:eastAsia="en-GB"/>
              </w:rPr>
              <w:t>100.00</w:t>
            </w:r>
          </w:p>
        </w:tc>
        <w:tc>
          <w:tcPr>
            <w:tcW w:w="900" w:type="dxa"/>
            <w:tcBorders>
              <w:bottom w:val="single" w:sz="4" w:space="0" w:color="auto"/>
            </w:tcBorders>
            <w:shd w:val="clear" w:color="auto" w:fill="auto"/>
            <w:noWrap/>
            <w:vAlign w:val="center"/>
            <w:hideMark/>
          </w:tcPr>
          <w:p w14:paraId="5BB13AEC" w14:textId="31F17869" w:rsidR="00136206" w:rsidRPr="0048198F" w:rsidRDefault="00136206" w:rsidP="00136206">
            <w:pPr>
              <w:cnfStyle w:val="000000100000" w:firstRow="0" w:lastRow="0" w:firstColumn="0" w:lastColumn="0" w:oddVBand="0" w:evenVBand="0" w:oddHBand="1" w:evenHBand="0" w:firstRowFirstColumn="0" w:firstRowLastColumn="0" w:lastRowFirstColumn="0" w:lastRowLastColumn="0"/>
              <w:rPr>
                <w:rFonts w:eastAsia="Times New Roman" w:cstheme="minorHAnsi"/>
                <w:i/>
                <w:iCs/>
                <w:color w:val="000000"/>
                <w:sz w:val="20"/>
                <w:szCs w:val="20"/>
                <w:lang w:eastAsia="en-GB"/>
              </w:rPr>
            </w:pPr>
            <w:r w:rsidRPr="0048198F">
              <w:rPr>
                <w:rFonts w:eastAsia="Times New Roman" w:cstheme="minorHAnsi"/>
                <w:i/>
                <w:iCs/>
                <w:color w:val="000000"/>
                <w:sz w:val="20"/>
                <w:szCs w:val="20"/>
                <w:lang w:eastAsia="en-GB"/>
              </w:rPr>
              <w:t>74</w:t>
            </w:r>
          </w:p>
        </w:tc>
        <w:tc>
          <w:tcPr>
            <w:tcW w:w="992" w:type="dxa"/>
            <w:tcBorders>
              <w:bottom w:val="single" w:sz="4" w:space="0" w:color="auto"/>
            </w:tcBorders>
            <w:shd w:val="clear" w:color="auto" w:fill="auto"/>
            <w:noWrap/>
            <w:vAlign w:val="center"/>
            <w:hideMark/>
          </w:tcPr>
          <w:p w14:paraId="392E45AE" w14:textId="1DBB983F" w:rsidR="00136206" w:rsidRPr="0048198F" w:rsidRDefault="00136206" w:rsidP="00136206">
            <w:pPr>
              <w:cnfStyle w:val="000000100000" w:firstRow="0" w:lastRow="0" w:firstColumn="0" w:lastColumn="0" w:oddVBand="0" w:evenVBand="0" w:oddHBand="1" w:evenHBand="0" w:firstRowFirstColumn="0" w:firstRowLastColumn="0" w:lastRowFirstColumn="0" w:lastRowLastColumn="0"/>
              <w:rPr>
                <w:rFonts w:eastAsia="Times New Roman" w:cstheme="minorHAnsi"/>
                <w:i/>
                <w:iCs/>
                <w:color w:val="000000"/>
                <w:sz w:val="20"/>
                <w:szCs w:val="20"/>
                <w:lang w:eastAsia="en-GB"/>
              </w:rPr>
            </w:pPr>
            <w:r w:rsidRPr="0048198F">
              <w:rPr>
                <w:rFonts w:eastAsia="Times New Roman" w:cstheme="minorHAnsi"/>
                <w:i/>
                <w:iCs/>
                <w:color w:val="000000"/>
                <w:sz w:val="20"/>
                <w:szCs w:val="20"/>
                <w:lang w:eastAsia="en-GB"/>
              </w:rPr>
              <w:t>13.21</w:t>
            </w:r>
          </w:p>
        </w:tc>
      </w:tr>
      <w:tr w:rsidR="00136206" w:rsidRPr="0048198F" w14:paraId="426003F9" w14:textId="77777777" w:rsidTr="00136206">
        <w:trPr>
          <w:trHeight w:val="245"/>
        </w:trPr>
        <w:tc>
          <w:tcPr>
            <w:cnfStyle w:val="001000000000" w:firstRow="0" w:lastRow="0" w:firstColumn="1" w:lastColumn="0" w:oddVBand="0" w:evenVBand="0" w:oddHBand="0" w:evenHBand="0" w:firstRowFirstColumn="0" w:firstRowLastColumn="0" w:lastRowFirstColumn="0" w:lastRowLastColumn="0"/>
            <w:tcW w:w="9351" w:type="dxa"/>
            <w:gridSpan w:val="8"/>
            <w:tcBorders>
              <w:top w:val="single" w:sz="4" w:space="0" w:color="auto"/>
              <w:bottom w:val="single" w:sz="4" w:space="0" w:color="auto"/>
            </w:tcBorders>
            <w:vAlign w:val="center"/>
          </w:tcPr>
          <w:p w14:paraId="439EE911" w14:textId="7FAB74F6" w:rsidR="00136206" w:rsidRPr="00556228" w:rsidRDefault="00136206" w:rsidP="00136206">
            <w:pPr>
              <w:rPr>
                <w:rFonts w:eastAsia="Times New Roman" w:cstheme="minorHAnsi"/>
                <w:b w:val="0"/>
                <w:i/>
                <w:iCs/>
                <w:color w:val="000000"/>
                <w:sz w:val="16"/>
                <w:szCs w:val="16"/>
                <w:lang w:eastAsia="en-GB"/>
              </w:rPr>
            </w:pPr>
            <w:r>
              <w:rPr>
                <w:rFonts w:cstheme="minorHAnsi"/>
                <w:b w:val="0"/>
                <w:bCs w:val="0"/>
                <w:i/>
                <w:sz w:val="16"/>
                <w:szCs w:val="16"/>
              </w:rPr>
              <w:t>*</w:t>
            </w:r>
            <w:r w:rsidRPr="00556228">
              <w:rPr>
                <w:rFonts w:cstheme="minorHAnsi"/>
                <w:b w:val="0"/>
                <w:bCs w:val="0"/>
                <w:i/>
                <w:sz w:val="16"/>
                <w:szCs w:val="16"/>
              </w:rPr>
              <w:t xml:space="preserve">indicates study where </w:t>
            </w:r>
            <w:r>
              <w:rPr>
                <w:rFonts w:cstheme="minorHAnsi"/>
                <w:b w:val="0"/>
                <w:bCs w:val="0"/>
                <w:i/>
                <w:sz w:val="16"/>
                <w:szCs w:val="16"/>
              </w:rPr>
              <w:t xml:space="preserve">entire study </w:t>
            </w:r>
            <w:r w:rsidRPr="00556228">
              <w:rPr>
                <w:rFonts w:cstheme="minorHAnsi"/>
                <w:b w:val="0"/>
                <w:bCs w:val="0"/>
                <w:i/>
                <w:sz w:val="16"/>
                <w:szCs w:val="16"/>
              </w:rPr>
              <w:t>population was ≥ 65 years, **</w:t>
            </w:r>
            <w:r w:rsidRPr="00556228">
              <w:rPr>
                <w:rFonts w:cstheme="minorHAnsi"/>
                <w:b w:val="0"/>
                <w:i/>
                <w:sz w:val="16"/>
                <w:szCs w:val="16"/>
              </w:rPr>
              <w:t xml:space="preserve"> subset of population described in 2014 paper</w:t>
            </w:r>
          </w:p>
        </w:tc>
      </w:tr>
    </w:tbl>
    <w:p w14:paraId="58CFB17D" w14:textId="3848299B" w:rsidR="000C647E" w:rsidRDefault="000C647E" w:rsidP="000C647E">
      <w:pPr>
        <w:spacing w:line="360" w:lineRule="auto"/>
        <w:jc w:val="both"/>
        <w:rPr>
          <w:rFonts w:cstheme="minorHAnsi"/>
        </w:rPr>
      </w:pPr>
    </w:p>
    <w:p w14:paraId="41159ACE" w14:textId="530FF1FC" w:rsidR="00B927BA" w:rsidRDefault="000C647E" w:rsidP="009970FA">
      <w:pPr>
        <w:spacing w:line="360" w:lineRule="auto"/>
        <w:ind w:firstLine="720"/>
        <w:jc w:val="both"/>
        <w:rPr>
          <w:b/>
          <w:i/>
        </w:rPr>
      </w:pPr>
      <w:r w:rsidRPr="000C647E">
        <w:rPr>
          <w:rFonts w:cstheme="minorHAnsi"/>
          <w:b/>
          <w:i/>
        </w:rPr>
        <w:t xml:space="preserve">3.5.2 </w:t>
      </w:r>
      <w:r w:rsidR="002D2F1B">
        <w:rPr>
          <w:rFonts w:cstheme="minorHAnsi"/>
          <w:b/>
          <w:i/>
        </w:rPr>
        <w:t xml:space="preserve">Reported ADR prevalence </w:t>
      </w:r>
      <w:r w:rsidRPr="000C647E">
        <w:rPr>
          <w:rFonts w:cstheme="minorHAnsi"/>
          <w:b/>
          <w:i/>
        </w:rPr>
        <w:t>≥</w:t>
      </w:r>
      <w:r w:rsidRPr="000C647E">
        <w:rPr>
          <w:b/>
          <w:i/>
        </w:rPr>
        <w:t xml:space="preserve"> 65 years </w:t>
      </w:r>
      <w:r w:rsidR="002D2F1B">
        <w:rPr>
          <w:b/>
          <w:i/>
        </w:rPr>
        <w:t>(</w:t>
      </w:r>
      <w:r w:rsidRPr="000C647E">
        <w:rPr>
          <w:b/>
          <w:i/>
        </w:rPr>
        <w:t>all papers</w:t>
      </w:r>
      <w:r w:rsidR="002D2F1B">
        <w:rPr>
          <w:b/>
          <w:i/>
        </w:rPr>
        <w:t>)</w:t>
      </w:r>
    </w:p>
    <w:p w14:paraId="046B171F" w14:textId="026EEE62" w:rsidR="00B927BA" w:rsidRDefault="00B927BA" w:rsidP="00AC39FF">
      <w:pPr>
        <w:spacing w:line="360" w:lineRule="auto"/>
        <w:ind w:left="720"/>
        <w:jc w:val="both"/>
      </w:pPr>
      <w:r>
        <w:t xml:space="preserve">A total of </w:t>
      </w:r>
      <w:r w:rsidR="00FD3F6D">
        <w:t>2,476</w:t>
      </w:r>
      <w:r w:rsidRPr="00C36689">
        <w:t xml:space="preserve"> patients </w:t>
      </w:r>
      <w:r>
        <w:t xml:space="preserve">aged </w:t>
      </w:r>
      <w:r w:rsidRPr="00C36689">
        <w:t>≥ 65 years experienced ADRs in-hospital</w:t>
      </w:r>
      <w:r>
        <w:t xml:space="preserve">, giving an </w:t>
      </w:r>
      <w:r w:rsidR="004B716C">
        <w:t xml:space="preserve">absolute ADR prevalence of </w:t>
      </w:r>
      <w:r w:rsidR="00FD3F6D">
        <w:t>12.36</w:t>
      </w:r>
      <w:r>
        <w:t xml:space="preserve">%. However, given the </w:t>
      </w:r>
      <w:r w:rsidR="00461EB9">
        <w:t>variability</w:t>
      </w:r>
      <w:r>
        <w:t xml:space="preserve"> in ADR m</w:t>
      </w:r>
      <w:r w:rsidR="004B716C">
        <w:t>ethodologies employed (</w:t>
      </w:r>
      <w:r w:rsidR="004B716C" w:rsidRPr="004B716C">
        <w:rPr>
          <w:i/>
        </w:rPr>
        <w:t>section 3.4</w:t>
      </w:r>
      <w:r w:rsidR="004B716C">
        <w:t>)</w:t>
      </w:r>
      <w:r>
        <w:t xml:space="preserve">, we plotted the distribution of the individual studies reported ADR prevalence and </w:t>
      </w:r>
      <w:r>
        <w:lastRenderedPageBreak/>
        <w:t xml:space="preserve">calculated the </w:t>
      </w:r>
      <w:r w:rsidR="004B716C">
        <w:t>median</w:t>
      </w:r>
      <w:r w:rsidR="00461EB9">
        <w:t xml:space="preserve"> </w:t>
      </w:r>
      <w:r>
        <w:t>ADR prevalence to be 18.80% (</w:t>
      </w:r>
      <w:r w:rsidR="004B716C">
        <w:t>IQR 10.08% – 25.02%) min 3.13% max 69.33</w:t>
      </w:r>
      <w:r>
        <w:t xml:space="preserve">% in those </w:t>
      </w:r>
      <w:r>
        <w:rPr>
          <w:rFonts w:cstheme="minorHAnsi"/>
        </w:rPr>
        <w:t>≥</w:t>
      </w:r>
      <w:r>
        <w:t xml:space="preserve"> 65 years. </w:t>
      </w:r>
    </w:p>
    <w:p w14:paraId="74BBD447" w14:textId="77777777" w:rsidR="00AC39FF" w:rsidRDefault="00AC39FF" w:rsidP="00AC39FF">
      <w:pPr>
        <w:spacing w:line="360" w:lineRule="auto"/>
        <w:ind w:left="720"/>
        <w:jc w:val="both"/>
      </w:pPr>
    </w:p>
    <w:p w14:paraId="03B2282B" w14:textId="15A76CBF" w:rsidR="00B927BA" w:rsidRDefault="00871B09" w:rsidP="00B927BA">
      <w:pPr>
        <w:spacing w:line="360" w:lineRule="auto"/>
        <w:ind w:left="720"/>
        <w:jc w:val="both"/>
        <w:rPr>
          <w:b/>
          <w:i/>
        </w:rPr>
      </w:pPr>
      <w:r>
        <w:rPr>
          <w:b/>
          <w:i/>
        </w:rPr>
        <w:t xml:space="preserve">3.5.3 ADR prevalence in studies where population was solely </w:t>
      </w:r>
      <w:r>
        <w:rPr>
          <w:rFonts w:cstheme="minorHAnsi"/>
          <w:b/>
          <w:i/>
        </w:rPr>
        <w:t>≥</w:t>
      </w:r>
      <w:r>
        <w:rPr>
          <w:b/>
          <w:i/>
        </w:rPr>
        <w:t xml:space="preserve"> 65 years </w:t>
      </w:r>
    </w:p>
    <w:p w14:paraId="7B2508AC" w14:textId="3A3F25E0" w:rsidR="00507B4B" w:rsidRPr="00871B09" w:rsidRDefault="00871B09" w:rsidP="00871B09">
      <w:pPr>
        <w:spacing w:line="360" w:lineRule="auto"/>
        <w:ind w:left="720"/>
        <w:jc w:val="both"/>
      </w:pPr>
      <w:r>
        <w:t xml:space="preserve">ADR prevalence </w:t>
      </w:r>
      <w:r w:rsidR="00E36188">
        <w:t xml:space="preserve">was </w:t>
      </w:r>
      <w:r>
        <w:t xml:space="preserve">plotted for studies where </w:t>
      </w:r>
      <w:r w:rsidRPr="00871B09">
        <w:t>≥</w:t>
      </w:r>
      <w:r>
        <w:t xml:space="preserve"> 65 years only at inclusion and then for studies where data for those aged </w:t>
      </w:r>
      <w:r w:rsidRPr="00871B09">
        <w:t>≥</w:t>
      </w:r>
      <w:r>
        <w:t xml:space="preserve"> 65 years were a subset of the overall population.  </w:t>
      </w:r>
      <w:r w:rsidR="00282930">
        <w:t xml:space="preserve">Median </w:t>
      </w:r>
      <w:r>
        <w:t xml:space="preserve">ADR rates were lower in studies solely looking at </w:t>
      </w:r>
      <w:r w:rsidRPr="00871B09">
        <w:t>≥</w:t>
      </w:r>
      <w:r>
        <w:t xml:space="preserve">65 years compared to studies that reporting ADRs in </w:t>
      </w:r>
      <w:r w:rsidRPr="00871B09">
        <w:t>≥</w:t>
      </w:r>
      <w:r>
        <w:t>65 as a subset of all ages</w:t>
      </w:r>
      <w:r w:rsidR="00282930">
        <w:t xml:space="preserve">, 18.80% (IQR 11.46 – 21.58 %) vs. 20.45% (IQR 6.95% -30.95%) </w:t>
      </w:r>
      <w:commentRangeStart w:id="17"/>
      <w:r w:rsidR="00282930">
        <w:t xml:space="preserve">ANOVA </w:t>
      </w:r>
      <w:r>
        <w:t>not statistically significant p &gt;0.05.</w:t>
      </w:r>
      <w:commentRangeEnd w:id="17"/>
      <w:r w:rsidR="00A376FE">
        <w:rPr>
          <w:rStyle w:val="CommentReference"/>
        </w:rPr>
        <w:commentReference w:id="17"/>
      </w:r>
    </w:p>
    <w:p w14:paraId="06739E77" w14:textId="7F6B6ACC" w:rsidR="00EF29BC" w:rsidRPr="00AC39FF" w:rsidRDefault="00282930" w:rsidP="00AC39FF">
      <w:pPr>
        <w:autoSpaceDE w:val="0"/>
        <w:autoSpaceDN w:val="0"/>
        <w:adjustRightInd w:val="0"/>
        <w:spacing w:after="0" w:line="240" w:lineRule="auto"/>
        <w:rPr>
          <w:rFonts w:ascii="Times New Roman" w:hAnsi="Times New Roman" w:cs="Times New Roman"/>
          <w:sz w:val="24"/>
          <w:szCs w:val="24"/>
        </w:rPr>
      </w:pPr>
      <w:commentRangeStart w:id="18"/>
      <w:r>
        <w:rPr>
          <w:rFonts w:ascii="Times New Roman" w:hAnsi="Times New Roman" w:cs="Times New Roman"/>
          <w:noProof/>
          <w:sz w:val="24"/>
          <w:szCs w:val="24"/>
          <w:lang w:eastAsia="en-GB"/>
        </w:rPr>
        <w:drawing>
          <wp:inline distT="0" distB="0" distL="0" distR="0" wp14:anchorId="1873EC98" wp14:editId="0675E21F">
            <wp:extent cx="3531249" cy="2825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31862" cy="2826241"/>
                    </a:xfrm>
                    <a:prstGeom prst="rect">
                      <a:avLst/>
                    </a:prstGeom>
                    <a:noFill/>
                    <a:ln>
                      <a:noFill/>
                    </a:ln>
                  </pic:spPr>
                </pic:pic>
              </a:graphicData>
            </a:graphic>
          </wp:inline>
        </w:drawing>
      </w:r>
      <w:commentRangeEnd w:id="18"/>
      <w:r>
        <w:rPr>
          <w:rStyle w:val="CommentReference"/>
        </w:rPr>
        <w:commentReference w:id="18"/>
      </w:r>
    </w:p>
    <w:p w14:paraId="037BADBA" w14:textId="4531C750" w:rsidR="00EF29BC" w:rsidRDefault="00EF29BC" w:rsidP="00FF5DDF">
      <w:r w:rsidRPr="00EF29BC">
        <w:rPr>
          <w:noProof/>
          <w:lang w:eastAsia="en-GB"/>
        </w:rPr>
        <w:drawing>
          <wp:inline distT="0" distB="0" distL="0" distR="0" wp14:anchorId="5E21C602" wp14:editId="34DF1589">
            <wp:extent cx="5731510" cy="190817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908175"/>
                    </a:xfrm>
                    <a:prstGeom prst="rect">
                      <a:avLst/>
                    </a:prstGeom>
                  </pic:spPr>
                </pic:pic>
              </a:graphicData>
            </a:graphic>
          </wp:inline>
        </w:drawing>
      </w:r>
    </w:p>
    <w:p w14:paraId="206F608E" w14:textId="4BE3B97C" w:rsidR="00B260B5" w:rsidRPr="00AC39FF" w:rsidRDefault="00A54BC3" w:rsidP="00AC39FF">
      <w:pPr>
        <w:spacing w:line="360" w:lineRule="auto"/>
        <w:ind w:left="720"/>
        <w:jc w:val="both"/>
      </w:pPr>
      <w:r>
        <w:t xml:space="preserve">Meta-analysis for ADR events occurring in those aged 65 years and over versus ADRs occurring in those aged below </w:t>
      </w:r>
      <w:commentRangeStart w:id="19"/>
      <w:r>
        <w:t>65</w:t>
      </w:r>
      <w:commentRangeEnd w:id="19"/>
      <w:r w:rsidR="00AC39FF">
        <w:rPr>
          <w:rStyle w:val="CommentReference"/>
        </w:rPr>
        <w:commentReference w:id="19"/>
      </w:r>
      <w:r>
        <w:t xml:space="preserve">. </w:t>
      </w:r>
    </w:p>
    <w:p w14:paraId="7882F38B" w14:textId="77777777" w:rsidR="00FF5DDF" w:rsidRPr="00452589" w:rsidRDefault="00FF5DDF" w:rsidP="00452589">
      <w:pPr>
        <w:autoSpaceDE w:val="0"/>
        <w:autoSpaceDN w:val="0"/>
        <w:adjustRightInd w:val="0"/>
        <w:spacing w:after="0" w:line="240" w:lineRule="auto"/>
        <w:rPr>
          <w:rFonts w:ascii="Times New Roman" w:hAnsi="Times New Roman" w:cs="Times New Roman"/>
          <w:sz w:val="24"/>
          <w:szCs w:val="24"/>
        </w:rPr>
      </w:pPr>
    </w:p>
    <w:p w14:paraId="473DA89B" w14:textId="2BFF3DBD" w:rsidR="00C36689" w:rsidRPr="000A6E57" w:rsidRDefault="000A6E57" w:rsidP="00C36689">
      <w:pPr>
        <w:spacing w:line="360" w:lineRule="auto"/>
        <w:jc w:val="both"/>
      </w:pPr>
      <w:r>
        <w:rPr>
          <w:b/>
          <w:bCs/>
          <w:iCs/>
        </w:rPr>
        <w:t xml:space="preserve">3.6 </w:t>
      </w:r>
      <w:r w:rsidR="00C36689" w:rsidRPr="000A6E57">
        <w:rPr>
          <w:b/>
          <w:bCs/>
          <w:iCs/>
        </w:rPr>
        <w:t>Reported ADR Presentation</w:t>
      </w:r>
    </w:p>
    <w:p w14:paraId="76728BD9" w14:textId="569538B1" w:rsidR="003B2209" w:rsidRDefault="00DB1DB0" w:rsidP="00C36689">
      <w:pPr>
        <w:spacing w:line="360" w:lineRule="auto"/>
        <w:jc w:val="both"/>
      </w:pPr>
      <w:r>
        <w:lastRenderedPageBreak/>
        <w:t>18</w:t>
      </w:r>
      <w:r w:rsidR="00C36689" w:rsidRPr="00C36689">
        <w:t xml:space="preserve"> studies</w:t>
      </w:r>
      <w:r>
        <w:t>, 72</w:t>
      </w:r>
      <w:r w:rsidR="000D6DAB">
        <w:t>%</w:t>
      </w:r>
      <w:r w:rsidR="000B0912">
        <w:t xml:space="preserve"> </w:t>
      </w:r>
      <w:r>
        <w:rPr>
          <w:noProof/>
        </w:rPr>
        <w:t>[22-26, 29, 32, 33, 35, 37, 39, 42-46, 49-51]</w:t>
      </w:r>
      <w:r w:rsidR="005B779D">
        <w:t xml:space="preserve"> </w:t>
      </w:r>
      <w:r w:rsidR="00C36689" w:rsidRPr="00C36689">
        <w:t>repo</w:t>
      </w:r>
      <w:r>
        <w:t xml:space="preserve">rted on 2,725 </w:t>
      </w:r>
      <w:r w:rsidR="000D6DAB">
        <w:t>ADR presentations</w:t>
      </w:r>
      <w:r w:rsidR="005B779D">
        <w:t>,</w:t>
      </w:r>
      <w:r w:rsidR="003B2209">
        <w:t xml:space="preserve"> occurring</w:t>
      </w:r>
      <w:r>
        <w:t xml:space="preserve"> in 1,883</w:t>
      </w:r>
      <w:r w:rsidR="005B779D">
        <w:t xml:space="preserve"> patients </w:t>
      </w:r>
      <w:r w:rsidR="005B779D">
        <w:rPr>
          <w:rFonts w:cstheme="minorHAnsi"/>
        </w:rPr>
        <w:t>≥</w:t>
      </w:r>
      <w:r w:rsidR="005B779D">
        <w:t xml:space="preserve"> 65 years. </w:t>
      </w:r>
      <w:commentRangeStart w:id="20"/>
      <w:r w:rsidR="004E1863">
        <w:t xml:space="preserve">We are unable to report the absolute number of ADRs because </w:t>
      </w:r>
      <w:r w:rsidR="003B2209">
        <w:t>not all pape</w:t>
      </w:r>
      <w:r w:rsidR="003C01CE">
        <w:t>rs reported on all ADR events. S</w:t>
      </w:r>
      <w:r w:rsidR="003B2209">
        <w:t>ome papers only reported an ADR presentation when at least 2 patients experienced it. Therefore, our proportions of ADR presentations are based on the number specific to the individual presentation as the numerator and overall number of reported ADR present</w:t>
      </w:r>
      <w:r w:rsidR="00AC39FF">
        <w:t>ations as the denominator (# ADR Presentations</w:t>
      </w:r>
      <w:r w:rsidR="003B2209">
        <w:t>).</w:t>
      </w:r>
    </w:p>
    <w:p w14:paraId="14EA6450" w14:textId="3C065EAB" w:rsidR="006005B8" w:rsidRDefault="0091027F" w:rsidP="00C36689">
      <w:pPr>
        <w:spacing w:line="360" w:lineRule="auto"/>
        <w:jc w:val="both"/>
      </w:pPr>
      <w:r>
        <w:t xml:space="preserve">Studies reported ADRs </w:t>
      </w:r>
      <w:r w:rsidR="00A807C4">
        <w:t xml:space="preserve">using different </w:t>
      </w:r>
      <w:r>
        <w:t>methods, but in general an approach similar to WHO-ART or organ system was employed. We assessed and regrouped the presentations to resemble that of WHO-ART terminology and then further</w:t>
      </w:r>
      <w:r w:rsidR="00A807C4">
        <w:t xml:space="preserve"> reclassified</w:t>
      </w:r>
      <w:r w:rsidR="00805AB9">
        <w:t>, where possible,</w:t>
      </w:r>
      <w:r w:rsidR="00A807C4">
        <w:t xml:space="preserve"> to reflect the current standard of</w:t>
      </w:r>
      <w:r>
        <w:t xml:space="preserve"> MedDRA system organ classes. In some cases, studies reported the ADRs in a bespoke regrouping that overlapped</w:t>
      </w:r>
      <w:r w:rsidR="00406B04">
        <w:t xml:space="preserve"> across</w:t>
      </w:r>
      <w:r>
        <w:t xml:space="preserve"> </w:t>
      </w:r>
      <w:r w:rsidR="003C01CE">
        <w:t xml:space="preserve">multiple </w:t>
      </w:r>
      <w:r>
        <w:t xml:space="preserve">WHO-ART and MedDRA subgroups. In these cases, when no clear number could be accurately identified we excluded them in further analysis. </w:t>
      </w:r>
      <w:commentRangeEnd w:id="20"/>
      <w:r w:rsidR="00AC39FF">
        <w:rPr>
          <w:rStyle w:val="CommentReference"/>
        </w:rPr>
        <w:commentReference w:id="20"/>
      </w:r>
    </w:p>
    <w:p w14:paraId="60C4B14E" w14:textId="082D6A76" w:rsidR="007C7096" w:rsidRDefault="00BA72F3" w:rsidP="00C36689">
      <w:pPr>
        <w:spacing w:line="360" w:lineRule="auto"/>
        <w:jc w:val="both"/>
      </w:pPr>
      <w:r w:rsidRPr="00BA72F3">
        <w:rPr>
          <w:i/>
        </w:rPr>
        <w:t>.</w:t>
      </w:r>
      <w:r>
        <w:t xml:space="preserve"> </w:t>
      </w:r>
      <w:r w:rsidR="00635D17">
        <w:t>N reported were</w:t>
      </w:r>
      <w:r w:rsidR="007346AC">
        <w:t xml:space="preserve"> su</w:t>
      </w:r>
      <w:r w:rsidR="003C01CE">
        <w:t xml:space="preserve">itable for reclassification </w:t>
      </w:r>
      <w:r w:rsidR="00635D17">
        <w:t xml:space="preserve">by MedDRA SOC. </w:t>
      </w:r>
      <w:r w:rsidR="002C254A">
        <w:t xml:space="preserve">The most common ADR presentations are shown in </w:t>
      </w:r>
      <w:r w:rsidR="002C254A">
        <w:rPr>
          <w:i/>
        </w:rPr>
        <w:t>Table</w:t>
      </w:r>
      <w:r w:rsidR="002C254A" w:rsidRPr="002C254A">
        <w:t xml:space="preserve"> </w:t>
      </w:r>
      <w:r w:rsidR="002C254A">
        <w:t>The top # presentations accounted for over three quarters of the ADRs – % (</w:t>
      </w:r>
      <w:r w:rsidR="002C254A" w:rsidRPr="00C36689">
        <w:t xml:space="preserve">); </w:t>
      </w:r>
      <w:r w:rsidR="002C254A">
        <w:t xml:space="preserve"> </w:t>
      </w:r>
      <w:r w:rsidR="002C254A" w:rsidRPr="00C36689">
        <w:t>% (</w:t>
      </w:r>
      <w:r w:rsidR="002C254A">
        <w:t xml:space="preserve"> </w:t>
      </w:r>
      <w:r w:rsidR="002C254A" w:rsidRPr="00C36689">
        <w:t>); % ();</w:t>
      </w:r>
      <w:r w:rsidR="002C254A">
        <w:t xml:space="preserve"> </w:t>
      </w:r>
      <w:r w:rsidR="002C254A" w:rsidRPr="00C36689">
        <w:t>% ();</w:t>
      </w:r>
      <w:r w:rsidR="002C254A">
        <w:t xml:space="preserve"> </w:t>
      </w:r>
      <w:r w:rsidR="002C254A" w:rsidRPr="00C36689">
        <w:t>% ()</w:t>
      </w:r>
      <w:r w:rsidR="002C254A">
        <w:t>.</w:t>
      </w:r>
    </w:p>
    <w:tbl>
      <w:tblPr>
        <w:tblW w:w="79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0"/>
        <w:gridCol w:w="2000"/>
        <w:gridCol w:w="960"/>
      </w:tblGrid>
      <w:tr w:rsidR="004D05F7" w:rsidRPr="00132B20" w14:paraId="53A30C24" w14:textId="77777777" w:rsidTr="004D05F7">
        <w:trPr>
          <w:trHeight w:val="63"/>
        </w:trPr>
        <w:tc>
          <w:tcPr>
            <w:tcW w:w="7920" w:type="dxa"/>
            <w:gridSpan w:val="3"/>
            <w:shd w:val="clear" w:color="auto" w:fill="auto"/>
            <w:vAlign w:val="bottom"/>
          </w:tcPr>
          <w:p w14:paraId="5ED605A2" w14:textId="054D5F1C" w:rsidR="004D05F7" w:rsidRPr="00132B20" w:rsidRDefault="004D05F7" w:rsidP="009F7971">
            <w:pPr>
              <w:spacing w:after="0" w:line="240" w:lineRule="auto"/>
              <w:rPr>
                <w:rFonts w:eastAsia="Times New Roman" w:cstheme="minorHAnsi"/>
                <w:b/>
                <w:bCs/>
                <w:iCs/>
                <w:color w:val="000000"/>
                <w:u w:val="single"/>
                <w:lang w:eastAsia="en-GB"/>
              </w:rPr>
            </w:pPr>
            <w:r w:rsidRPr="00132B20">
              <w:rPr>
                <w:rFonts w:eastAsia="Times New Roman" w:cstheme="minorHAnsi"/>
                <w:b/>
                <w:bCs/>
                <w:iCs/>
                <w:color w:val="000000"/>
                <w:u w:val="single"/>
                <w:lang w:eastAsia="en-GB"/>
              </w:rPr>
              <w:t xml:space="preserve">Table </w:t>
            </w:r>
            <w:r w:rsidR="00132B20" w:rsidRPr="00132B20">
              <w:rPr>
                <w:rFonts w:eastAsia="Times New Roman" w:cstheme="minorHAnsi"/>
                <w:b/>
                <w:bCs/>
                <w:iCs/>
                <w:color w:val="000000"/>
                <w:u w:val="single"/>
                <w:lang w:eastAsia="en-GB"/>
              </w:rPr>
              <w:t xml:space="preserve">4. Reported ADR presentations as per MedDRA Classification and as a proportion of overall reported </w:t>
            </w:r>
            <w:commentRangeStart w:id="21"/>
            <w:r w:rsidR="00132B20" w:rsidRPr="00132B20">
              <w:rPr>
                <w:rFonts w:eastAsia="Times New Roman" w:cstheme="minorHAnsi"/>
                <w:b/>
                <w:bCs/>
                <w:iCs/>
                <w:color w:val="000000"/>
                <w:u w:val="single"/>
                <w:lang w:eastAsia="en-GB"/>
              </w:rPr>
              <w:t>ADR</w:t>
            </w:r>
            <w:r w:rsidR="00132B20">
              <w:rPr>
                <w:rFonts w:eastAsia="Times New Roman" w:cstheme="minorHAnsi"/>
                <w:b/>
                <w:bCs/>
                <w:iCs/>
                <w:color w:val="000000"/>
                <w:u w:val="single"/>
                <w:lang w:eastAsia="en-GB"/>
              </w:rPr>
              <w:t>s</w:t>
            </w:r>
            <w:commentRangeEnd w:id="21"/>
            <w:r w:rsidR="002B40E8">
              <w:rPr>
                <w:rStyle w:val="CommentReference"/>
              </w:rPr>
              <w:commentReference w:id="21"/>
            </w:r>
          </w:p>
        </w:tc>
      </w:tr>
      <w:tr w:rsidR="00BA396D" w:rsidRPr="00132B20" w14:paraId="49A4DE37" w14:textId="77777777" w:rsidTr="009F7971">
        <w:trPr>
          <w:trHeight w:val="870"/>
        </w:trPr>
        <w:tc>
          <w:tcPr>
            <w:tcW w:w="4960" w:type="dxa"/>
            <w:shd w:val="clear" w:color="auto" w:fill="auto"/>
            <w:vAlign w:val="bottom"/>
            <w:hideMark/>
          </w:tcPr>
          <w:p w14:paraId="61D0962C" w14:textId="77777777" w:rsidR="00BA396D" w:rsidRPr="00132B20" w:rsidRDefault="00BA396D" w:rsidP="009F7971">
            <w:pPr>
              <w:spacing w:after="0" w:line="240" w:lineRule="auto"/>
              <w:rPr>
                <w:rFonts w:eastAsia="Times New Roman" w:cstheme="minorHAnsi"/>
                <w:b/>
                <w:bCs/>
                <w:i/>
                <w:iCs/>
                <w:color w:val="000000"/>
                <w:u w:val="single"/>
                <w:lang w:eastAsia="en-GB"/>
              </w:rPr>
            </w:pPr>
            <w:r w:rsidRPr="00132B20">
              <w:rPr>
                <w:rFonts w:eastAsia="Times New Roman" w:cstheme="minorHAnsi"/>
                <w:b/>
                <w:bCs/>
                <w:i/>
                <w:iCs/>
                <w:color w:val="000000"/>
                <w:u w:val="single"/>
                <w:lang w:eastAsia="en-GB"/>
              </w:rPr>
              <w:t>MedDRA System Organ Class Terminology</w:t>
            </w:r>
          </w:p>
        </w:tc>
        <w:tc>
          <w:tcPr>
            <w:tcW w:w="2000" w:type="dxa"/>
            <w:shd w:val="clear" w:color="auto" w:fill="auto"/>
            <w:vAlign w:val="bottom"/>
            <w:hideMark/>
          </w:tcPr>
          <w:p w14:paraId="1A1DF00D" w14:textId="77777777" w:rsidR="00BA396D" w:rsidRPr="00132B20" w:rsidRDefault="00BA396D" w:rsidP="009F7971">
            <w:pPr>
              <w:spacing w:after="0" w:line="240" w:lineRule="auto"/>
              <w:rPr>
                <w:rFonts w:eastAsia="Times New Roman" w:cstheme="minorHAnsi"/>
                <w:b/>
                <w:bCs/>
                <w:i/>
                <w:iCs/>
                <w:color w:val="000000"/>
                <w:u w:val="single"/>
                <w:lang w:eastAsia="en-GB"/>
              </w:rPr>
            </w:pPr>
            <w:r w:rsidRPr="00132B20">
              <w:rPr>
                <w:rFonts w:eastAsia="Times New Roman" w:cstheme="minorHAnsi"/>
                <w:b/>
                <w:bCs/>
                <w:i/>
                <w:iCs/>
                <w:color w:val="000000"/>
                <w:u w:val="single"/>
                <w:lang w:eastAsia="en-GB"/>
              </w:rPr>
              <w:t>Overall ADR System Organ Class #</w:t>
            </w:r>
          </w:p>
        </w:tc>
        <w:tc>
          <w:tcPr>
            <w:tcW w:w="960" w:type="dxa"/>
            <w:shd w:val="clear" w:color="auto" w:fill="auto"/>
            <w:vAlign w:val="bottom"/>
            <w:hideMark/>
          </w:tcPr>
          <w:p w14:paraId="098EE2F1" w14:textId="77777777" w:rsidR="00BA396D" w:rsidRPr="00132B20" w:rsidRDefault="00BA396D" w:rsidP="009F7971">
            <w:pPr>
              <w:spacing w:after="0" w:line="240" w:lineRule="auto"/>
              <w:rPr>
                <w:rFonts w:eastAsia="Times New Roman" w:cstheme="minorHAnsi"/>
                <w:b/>
                <w:bCs/>
                <w:i/>
                <w:iCs/>
                <w:color w:val="000000"/>
                <w:u w:val="single"/>
                <w:lang w:eastAsia="en-GB"/>
              </w:rPr>
            </w:pPr>
            <w:r w:rsidRPr="00132B20">
              <w:rPr>
                <w:rFonts w:eastAsia="Times New Roman" w:cstheme="minorHAnsi"/>
                <w:b/>
                <w:bCs/>
                <w:i/>
                <w:iCs/>
                <w:color w:val="000000"/>
                <w:u w:val="single"/>
                <w:lang w:eastAsia="en-GB"/>
              </w:rPr>
              <w:t>% of ADRS [1403]</w:t>
            </w:r>
          </w:p>
        </w:tc>
      </w:tr>
      <w:tr w:rsidR="00BA396D" w:rsidRPr="00132B20" w14:paraId="39782451" w14:textId="77777777" w:rsidTr="009F7971">
        <w:trPr>
          <w:trHeight w:val="290"/>
        </w:trPr>
        <w:tc>
          <w:tcPr>
            <w:tcW w:w="4960" w:type="dxa"/>
            <w:shd w:val="clear" w:color="auto" w:fill="auto"/>
            <w:noWrap/>
            <w:vAlign w:val="bottom"/>
            <w:hideMark/>
          </w:tcPr>
          <w:p w14:paraId="54EDB354" w14:textId="77777777" w:rsidR="00BA396D" w:rsidRPr="00132B20" w:rsidRDefault="00BA396D" w:rsidP="009F7971">
            <w:pPr>
              <w:spacing w:after="0" w:line="240" w:lineRule="auto"/>
              <w:rPr>
                <w:rFonts w:eastAsia="Times New Roman" w:cstheme="minorHAnsi"/>
                <w:color w:val="000000"/>
                <w:lang w:eastAsia="en-GB"/>
              </w:rPr>
            </w:pPr>
            <w:r w:rsidRPr="00132B20">
              <w:rPr>
                <w:rFonts w:eastAsia="Times New Roman" w:cstheme="minorHAnsi"/>
                <w:color w:val="000000"/>
                <w:lang w:eastAsia="en-GB"/>
              </w:rPr>
              <w:t>Metabolism and nutrition disorders</w:t>
            </w:r>
          </w:p>
        </w:tc>
        <w:tc>
          <w:tcPr>
            <w:tcW w:w="2000" w:type="dxa"/>
            <w:shd w:val="clear" w:color="auto" w:fill="auto"/>
            <w:noWrap/>
            <w:vAlign w:val="bottom"/>
            <w:hideMark/>
          </w:tcPr>
          <w:p w14:paraId="3E058511" w14:textId="77777777" w:rsidR="00BA396D" w:rsidRPr="00132B20" w:rsidRDefault="00BA396D" w:rsidP="009F7971">
            <w:pPr>
              <w:spacing w:after="0" w:line="240" w:lineRule="auto"/>
              <w:jc w:val="right"/>
              <w:rPr>
                <w:rFonts w:eastAsia="Times New Roman" w:cstheme="minorHAnsi"/>
                <w:color w:val="000000"/>
                <w:lang w:eastAsia="en-GB"/>
              </w:rPr>
            </w:pPr>
            <w:r w:rsidRPr="00132B20">
              <w:rPr>
                <w:rFonts w:eastAsia="Times New Roman" w:cstheme="minorHAnsi"/>
                <w:color w:val="000000"/>
                <w:lang w:eastAsia="en-GB"/>
              </w:rPr>
              <w:t>283</w:t>
            </w:r>
          </w:p>
        </w:tc>
        <w:tc>
          <w:tcPr>
            <w:tcW w:w="960" w:type="dxa"/>
            <w:shd w:val="clear" w:color="auto" w:fill="auto"/>
            <w:noWrap/>
            <w:vAlign w:val="bottom"/>
            <w:hideMark/>
          </w:tcPr>
          <w:p w14:paraId="74CEB810" w14:textId="77777777" w:rsidR="00BA396D" w:rsidRPr="00132B20" w:rsidRDefault="00BA396D" w:rsidP="009F7971">
            <w:pPr>
              <w:spacing w:after="0" w:line="240" w:lineRule="auto"/>
              <w:jc w:val="right"/>
              <w:rPr>
                <w:rFonts w:eastAsia="Times New Roman" w:cstheme="minorHAnsi"/>
                <w:color w:val="000000"/>
                <w:lang w:eastAsia="en-GB"/>
              </w:rPr>
            </w:pPr>
            <w:r w:rsidRPr="00132B20">
              <w:rPr>
                <w:rFonts w:eastAsia="Times New Roman" w:cstheme="minorHAnsi"/>
                <w:color w:val="000000"/>
                <w:lang w:eastAsia="en-GB"/>
              </w:rPr>
              <w:t>20.2</w:t>
            </w:r>
          </w:p>
        </w:tc>
      </w:tr>
      <w:tr w:rsidR="00BA396D" w:rsidRPr="00132B20" w14:paraId="2D71FC66" w14:textId="77777777" w:rsidTr="009F7971">
        <w:trPr>
          <w:trHeight w:val="290"/>
        </w:trPr>
        <w:tc>
          <w:tcPr>
            <w:tcW w:w="4960" w:type="dxa"/>
            <w:shd w:val="clear" w:color="auto" w:fill="auto"/>
            <w:noWrap/>
            <w:vAlign w:val="bottom"/>
            <w:hideMark/>
          </w:tcPr>
          <w:p w14:paraId="5115FD7C" w14:textId="77777777" w:rsidR="00BA396D" w:rsidRPr="00132B20" w:rsidRDefault="00BA396D" w:rsidP="009F7971">
            <w:pPr>
              <w:spacing w:after="0" w:line="240" w:lineRule="auto"/>
              <w:rPr>
                <w:rFonts w:eastAsia="Times New Roman" w:cstheme="minorHAnsi"/>
                <w:color w:val="000000"/>
                <w:lang w:eastAsia="en-GB"/>
              </w:rPr>
            </w:pPr>
            <w:r w:rsidRPr="00132B20">
              <w:rPr>
                <w:rFonts w:eastAsia="Times New Roman" w:cstheme="minorHAnsi"/>
                <w:color w:val="000000"/>
                <w:lang w:eastAsia="en-GB"/>
              </w:rPr>
              <w:t>Nervous system disorders</w:t>
            </w:r>
          </w:p>
        </w:tc>
        <w:tc>
          <w:tcPr>
            <w:tcW w:w="2000" w:type="dxa"/>
            <w:shd w:val="clear" w:color="auto" w:fill="auto"/>
            <w:noWrap/>
            <w:vAlign w:val="bottom"/>
            <w:hideMark/>
          </w:tcPr>
          <w:p w14:paraId="53AA5184" w14:textId="77777777" w:rsidR="00BA396D" w:rsidRPr="00132B20" w:rsidRDefault="00BA396D" w:rsidP="009F7971">
            <w:pPr>
              <w:spacing w:after="0" w:line="240" w:lineRule="auto"/>
              <w:jc w:val="right"/>
              <w:rPr>
                <w:rFonts w:eastAsia="Times New Roman" w:cstheme="minorHAnsi"/>
                <w:color w:val="000000"/>
                <w:lang w:eastAsia="en-GB"/>
              </w:rPr>
            </w:pPr>
            <w:r w:rsidRPr="00132B20">
              <w:rPr>
                <w:rFonts w:eastAsia="Times New Roman" w:cstheme="minorHAnsi"/>
                <w:color w:val="000000"/>
                <w:lang w:eastAsia="en-GB"/>
              </w:rPr>
              <w:t>246</w:t>
            </w:r>
          </w:p>
        </w:tc>
        <w:tc>
          <w:tcPr>
            <w:tcW w:w="960" w:type="dxa"/>
            <w:shd w:val="clear" w:color="auto" w:fill="auto"/>
            <w:noWrap/>
            <w:vAlign w:val="bottom"/>
            <w:hideMark/>
          </w:tcPr>
          <w:p w14:paraId="48061C21" w14:textId="77777777" w:rsidR="00BA396D" w:rsidRPr="00132B20" w:rsidRDefault="00BA396D" w:rsidP="009F7971">
            <w:pPr>
              <w:spacing w:after="0" w:line="240" w:lineRule="auto"/>
              <w:jc w:val="right"/>
              <w:rPr>
                <w:rFonts w:eastAsia="Times New Roman" w:cstheme="minorHAnsi"/>
                <w:color w:val="000000"/>
                <w:lang w:eastAsia="en-GB"/>
              </w:rPr>
            </w:pPr>
            <w:r w:rsidRPr="00132B20">
              <w:rPr>
                <w:rFonts w:eastAsia="Times New Roman" w:cstheme="minorHAnsi"/>
                <w:color w:val="000000"/>
                <w:lang w:eastAsia="en-GB"/>
              </w:rPr>
              <w:t>17.5</w:t>
            </w:r>
          </w:p>
        </w:tc>
      </w:tr>
      <w:tr w:rsidR="00BA396D" w:rsidRPr="00132B20" w14:paraId="6DE9405B" w14:textId="77777777" w:rsidTr="009F7971">
        <w:trPr>
          <w:trHeight w:val="290"/>
        </w:trPr>
        <w:tc>
          <w:tcPr>
            <w:tcW w:w="4960" w:type="dxa"/>
            <w:shd w:val="clear" w:color="auto" w:fill="auto"/>
            <w:noWrap/>
            <w:vAlign w:val="bottom"/>
            <w:hideMark/>
          </w:tcPr>
          <w:p w14:paraId="08ECA9CD" w14:textId="77777777" w:rsidR="00BA396D" w:rsidRPr="00132B20" w:rsidRDefault="00BA396D" w:rsidP="009F7971">
            <w:pPr>
              <w:spacing w:after="0" w:line="240" w:lineRule="auto"/>
              <w:rPr>
                <w:rFonts w:eastAsia="Times New Roman" w:cstheme="minorHAnsi"/>
                <w:color w:val="000000"/>
                <w:lang w:eastAsia="en-GB"/>
              </w:rPr>
            </w:pPr>
            <w:r w:rsidRPr="00132B20">
              <w:rPr>
                <w:rFonts w:eastAsia="Times New Roman" w:cstheme="minorHAnsi"/>
                <w:color w:val="000000"/>
                <w:lang w:eastAsia="en-GB"/>
              </w:rPr>
              <w:t>Cardiac disorders</w:t>
            </w:r>
          </w:p>
        </w:tc>
        <w:tc>
          <w:tcPr>
            <w:tcW w:w="2000" w:type="dxa"/>
            <w:shd w:val="clear" w:color="auto" w:fill="auto"/>
            <w:noWrap/>
            <w:vAlign w:val="bottom"/>
            <w:hideMark/>
          </w:tcPr>
          <w:p w14:paraId="7A3AE1A7" w14:textId="77777777" w:rsidR="00BA396D" w:rsidRPr="00132B20" w:rsidRDefault="00BA396D" w:rsidP="009F7971">
            <w:pPr>
              <w:spacing w:after="0" w:line="240" w:lineRule="auto"/>
              <w:jc w:val="right"/>
              <w:rPr>
                <w:rFonts w:eastAsia="Times New Roman" w:cstheme="minorHAnsi"/>
                <w:color w:val="000000"/>
                <w:lang w:eastAsia="en-GB"/>
              </w:rPr>
            </w:pPr>
            <w:r w:rsidRPr="00132B20">
              <w:rPr>
                <w:rFonts w:eastAsia="Times New Roman" w:cstheme="minorHAnsi"/>
                <w:color w:val="000000"/>
                <w:lang w:eastAsia="en-GB"/>
              </w:rPr>
              <w:t>210</w:t>
            </w:r>
          </w:p>
        </w:tc>
        <w:tc>
          <w:tcPr>
            <w:tcW w:w="960" w:type="dxa"/>
            <w:shd w:val="clear" w:color="auto" w:fill="auto"/>
            <w:noWrap/>
            <w:vAlign w:val="bottom"/>
            <w:hideMark/>
          </w:tcPr>
          <w:p w14:paraId="3FEFCF1C" w14:textId="77777777" w:rsidR="00BA396D" w:rsidRPr="00132B20" w:rsidRDefault="00BA396D" w:rsidP="009F7971">
            <w:pPr>
              <w:spacing w:after="0" w:line="240" w:lineRule="auto"/>
              <w:jc w:val="right"/>
              <w:rPr>
                <w:rFonts w:eastAsia="Times New Roman" w:cstheme="minorHAnsi"/>
                <w:color w:val="000000"/>
                <w:lang w:eastAsia="en-GB"/>
              </w:rPr>
            </w:pPr>
            <w:r w:rsidRPr="00132B20">
              <w:rPr>
                <w:rFonts w:eastAsia="Times New Roman" w:cstheme="minorHAnsi"/>
                <w:color w:val="000000"/>
                <w:lang w:eastAsia="en-GB"/>
              </w:rPr>
              <w:t>15.0</w:t>
            </w:r>
          </w:p>
        </w:tc>
      </w:tr>
      <w:tr w:rsidR="00BA396D" w:rsidRPr="00132B20" w14:paraId="554A19CA" w14:textId="77777777" w:rsidTr="009F7971">
        <w:trPr>
          <w:trHeight w:val="290"/>
        </w:trPr>
        <w:tc>
          <w:tcPr>
            <w:tcW w:w="4960" w:type="dxa"/>
            <w:shd w:val="clear" w:color="auto" w:fill="auto"/>
            <w:noWrap/>
            <w:vAlign w:val="bottom"/>
            <w:hideMark/>
          </w:tcPr>
          <w:p w14:paraId="2856E570" w14:textId="77777777" w:rsidR="00BA396D" w:rsidRPr="00132B20" w:rsidRDefault="00BA396D" w:rsidP="009F7971">
            <w:pPr>
              <w:spacing w:after="0" w:line="240" w:lineRule="auto"/>
              <w:rPr>
                <w:rFonts w:eastAsia="Times New Roman" w:cstheme="minorHAnsi"/>
                <w:color w:val="000000"/>
                <w:lang w:eastAsia="en-GB"/>
              </w:rPr>
            </w:pPr>
            <w:r w:rsidRPr="00132B20">
              <w:rPr>
                <w:rFonts w:eastAsia="Times New Roman" w:cstheme="minorHAnsi"/>
                <w:color w:val="000000"/>
                <w:lang w:eastAsia="en-GB"/>
              </w:rPr>
              <w:t>Gastrointestinal Disorders</w:t>
            </w:r>
          </w:p>
        </w:tc>
        <w:tc>
          <w:tcPr>
            <w:tcW w:w="2000" w:type="dxa"/>
            <w:shd w:val="clear" w:color="auto" w:fill="auto"/>
            <w:noWrap/>
            <w:vAlign w:val="bottom"/>
            <w:hideMark/>
          </w:tcPr>
          <w:p w14:paraId="28ACAF43" w14:textId="77777777" w:rsidR="00BA396D" w:rsidRPr="00132B20" w:rsidRDefault="00BA396D" w:rsidP="009F7971">
            <w:pPr>
              <w:spacing w:after="0" w:line="240" w:lineRule="auto"/>
              <w:jc w:val="right"/>
              <w:rPr>
                <w:rFonts w:eastAsia="Times New Roman" w:cstheme="minorHAnsi"/>
                <w:color w:val="000000"/>
                <w:lang w:eastAsia="en-GB"/>
              </w:rPr>
            </w:pPr>
            <w:r w:rsidRPr="00132B20">
              <w:rPr>
                <w:rFonts w:eastAsia="Times New Roman" w:cstheme="minorHAnsi"/>
                <w:color w:val="000000"/>
                <w:lang w:eastAsia="en-GB"/>
              </w:rPr>
              <w:t>185</w:t>
            </w:r>
          </w:p>
        </w:tc>
        <w:tc>
          <w:tcPr>
            <w:tcW w:w="960" w:type="dxa"/>
            <w:shd w:val="clear" w:color="auto" w:fill="auto"/>
            <w:noWrap/>
            <w:vAlign w:val="bottom"/>
            <w:hideMark/>
          </w:tcPr>
          <w:p w14:paraId="03CC7250" w14:textId="77777777" w:rsidR="00BA396D" w:rsidRPr="00132B20" w:rsidRDefault="00BA396D" w:rsidP="009F7971">
            <w:pPr>
              <w:spacing w:after="0" w:line="240" w:lineRule="auto"/>
              <w:jc w:val="right"/>
              <w:rPr>
                <w:rFonts w:eastAsia="Times New Roman" w:cstheme="minorHAnsi"/>
                <w:color w:val="000000"/>
                <w:lang w:eastAsia="en-GB"/>
              </w:rPr>
            </w:pPr>
            <w:r w:rsidRPr="00132B20">
              <w:rPr>
                <w:rFonts w:eastAsia="Times New Roman" w:cstheme="minorHAnsi"/>
                <w:color w:val="000000"/>
                <w:lang w:eastAsia="en-GB"/>
              </w:rPr>
              <w:t>13.2</w:t>
            </w:r>
          </w:p>
        </w:tc>
      </w:tr>
      <w:tr w:rsidR="00BA396D" w:rsidRPr="00132B20" w14:paraId="567915AC" w14:textId="77777777" w:rsidTr="009F7971">
        <w:trPr>
          <w:trHeight w:val="290"/>
        </w:trPr>
        <w:tc>
          <w:tcPr>
            <w:tcW w:w="4960" w:type="dxa"/>
            <w:shd w:val="clear" w:color="auto" w:fill="auto"/>
            <w:noWrap/>
            <w:vAlign w:val="bottom"/>
            <w:hideMark/>
          </w:tcPr>
          <w:p w14:paraId="16CC331A" w14:textId="77777777" w:rsidR="00BA396D" w:rsidRPr="00132B20" w:rsidRDefault="00BA396D" w:rsidP="009F7971">
            <w:pPr>
              <w:spacing w:after="0" w:line="240" w:lineRule="auto"/>
              <w:rPr>
                <w:rFonts w:eastAsia="Times New Roman" w:cstheme="minorHAnsi"/>
                <w:color w:val="000000"/>
                <w:lang w:eastAsia="en-GB"/>
              </w:rPr>
            </w:pPr>
            <w:r w:rsidRPr="00132B20">
              <w:rPr>
                <w:rFonts w:eastAsia="Times New Roman" w:cstheme="minorHAnsi"/>
                <w:color w:val="000000"/>
                <w:lang w:eastAsia="en-GB"/>
              </w:rPr>
              <w:t>Renal and urinary disorders</w:t>
            </w:r>
          </w:p>
        </w:tc>
        <w:tc>
          <w:tcPr>
            <w:tcW w:w="2000" w:type="dxa"/>
            <w:shd w:val="clear" w:color="auto" w:fill="auto"/>
            <w:noWrap/>
            <w:vAlign w:val="bottom"/>
            <w:hideMark/>
          </w:tcPr>
          <w:p w14:paraId="32D12252" w14:textId="77777777" w:rsidR="00BA396D" w:rsidRPr="00132B20" w:rsidRDefault="00BA396D" w:rsidP="009F7971">
            <w:pPr>
              <w:spacing w:after="0" w:line="240" w:lineRule="auto"/>
              <w:jc w:val="right"/>
              <w:rPr>
                <w:rFonts w:eastAsia="Times New Roman" w:cstheme="minorHAnsi"/>
                <w:color w:val="000000"/>
                <w:lang w:eastAsia="en-GB"/>
              </w:rPr>
            </w:pPr>
            <w:r w:rsidRPr="00132B20">
              <w:rPr>
                <w:rFonts w:eastAsia="Times New Roman" w:cstheme="minorHAnsi"/>
                <w:color w:val="000000"/>
                <w:lang w:eastAsia="en-GB"/>
              </w:rPr>
              <w:t>148</w:t>
            </w:r>
          </w:p>
        </w:tc>
        <w:tc>
          <w:tcPr>
            <w:tcW w:w="960" w:type="dxa"/>
            <w:shd w:val="clear" w:color="auto" w:fill="auto"/>
            <w:noWrap/>
            <w:vAlign w:val="bottom"/>
            <w:hideMark/>
          </w:tcPr>
          <w:p w14:paraId="1C1E6E45" w14:textId="77777777" w:rsidR="00BA396D" w:rsidRPr="00132B20" w:rsidRDefault="00BA396D" w:rsidP="009F7971">
            <w:pPr>
              <w:spacing w:after="0" w:line="240" w:lineRule="auto"/>
              <w:jc w:val="right"/>
              <w:rPr>
                <w:rFonts w:eastAsia="Times New Roman" w:cstheme="minorHAnsi"/>
                <w:color w:val="000000"/>
                <w:lang w:eastAsia="en-GB"/>
              </w:rPr>
            </w:pPr>
            <w:r w:rsidRPr="00132B20">
              <w:rPr>
                <w:rFonts w:eastAsia="Times New Roman" w:cstheme="minorHAnsi"/>
                <w:color w:val="000000"/>
                <w:lang w:eastAsia="en-GB"/>
              </w:rPr>
              <w:t>10.5</w:t>
            </w:r>
          </w:p>
        </w:tc>
      </w:tr>
      <w:tr w:rsidR="00BA396D" w:rsidRPr="00132B20" w14:paraId="1465CB1C" w14:textId="77777777" w:rsidTr="009F7971">
        <w:trPr>
          <w:trHeight w:val="290"/>
        </w:trPr>
        <w:tc>
          <w:tcPr>
            <w:tcW w:w="4960" w:type="dxa"/>
            <w:shd w:val="clear" w:color="auto" w:fill="auto"/>
            <w:noWrap/>
            <w:vAlign w:val="bottom"/>
            <w:hideMark/>
          </w:tcPr>
          <w:p w14:paraId="7E4141B2" w14:textId="77777777" w:rsidR="00BA396D" w:rsidRPr="00132B20" w:rsidRDefault="00BA396D" w:rsidP="009F7971">
            <w:pPr>
              <w:spacing w:after="0" w:line="240" w:lineRule="auto"/>
              <w:rPr>
                <w:rFonts w:eastAsia="Times New Roman" w:cstheme="minorHAnsi"/>
                <w:color w:val="000000"/>
                <w:lang w:eastAsia="en-GB"/>
              </w:rPr>
            </w:pPr>
            <w:r w:rsidRPr="00132B20">
              <w:rPr>
                <w:rFonts w:eastAsia="Times New Roman" w:cstheme="minorHAnsi"/>
                <w:color w:val="000000"/>
                <w:lang w:eastAsia="en-GB"/>
              </w:rPr>
              <w:t>Blood and Lymphatic System Disorders</w:t>
            </w:r>
          </w:p>
        </w:tc>
        <w:tc>
          <w:tcPr>
            <w:tcW w:w="2000" w:type="dxa"/>
            <w:shd w:val="clear" w:color="auto" w:fill="auto"/>
            <w:noWrap/>
            <w:vAlign w:val="bottom"/>
            <w:hideMark/>
          </w:tcPr>
          <w:p w14:paraId="28823E2E" w14:textId="77777777" w:rsidR="00BA396D" w:rsidRPr="00132B20" w:rsidRDefault="00BA396D" w:rsidP="009F7971">
            <w:pPr>
              <w:spacing w:after="0" w:line="240" w:lineRule="auto"/>
              <w:jc w:val="right"/>
              <w:rPr>
                <w:rFonts w:eastAsia="Times New Roman" w:cstheme="minorHAnsi"/>
                <w:color w:val="000000"/>
                <w:lang w:eastAsia="en-GB"/>
              </w:rPr>
            </w:pPr>
            <w:r w:rsidRPr="00132B20">
              <w:rPr>
                <w:rFonts w:eastAsia="Times New Roman" w:cstheme="minorHAnsi"/>
                <w:color w:val="000000"/>
                <w:lang w:eastAsia="en-GB"/>
              </w:rPr>
              <w:t>80</w:t>
            </w:r>
          </w:p>
        </w:tc>
        <w:tc>
          <w:tcPr>
            <w:tcW w:w="960" w:type="dxa"/>
            <w:shd w:val="clear" w:color="auto" w:fill="auto"/>
            <w:noWrap/>
            <w:vAlign w:val="bottom"/>
            <w:hideMark/>
          </w:tcPr>
          <w:p w14:paraId="27982F92" w14:textId="77777777" w:rsidR="00BA396D" w:rsidRPr="00132B20" w:rsidRDefault="00BA396D" w:rsidP="009F7971">
            <w:pPr>
              <w:spacing w:after="0" w:line="240" w:lineRule="auto"/>
              <w:jc w:val="right"/>
              <w:rPr>
                <w:rFonts w:eastAsia="Times New Roman" w:cstheme="minorHAnsi"/>
                <w:color w:val="000000"/>
                <w:lang w:eastAsia="en-GB"/>
              </w:rPr>
            </w:pPr>
            <w:r w:rsidRPr="00132B20">
              <w:rPr>
                <w:rFonts w:eastAsia="Times New Roman" w:cstheme="minorHAnsi"/>
                <w:color w:val="000000"/>
                <w:lang w:eastAsia="en-GB"/>
              </w:rPr>
              <w:t>5.7</w:t>
            </w:r>
          </w:p>
        </w:tc>
      </w:tr>
      <w:tr w:rsidR="00BA396D" w:rsidRPr="00132B20" w14:paraId="0CA7C9BD" w14:textId="77777777" w:rsidTr="009F7971">
        <w:trPr>
          <w:trHeight w:val="290"/>
        </w:trPr>
        <w:tc>
          <w:tcPr>
            <w:tcW w:w="4960" w:type="dxa"/>
            <w:shd w:val="clear" w:color="auto" w:fill="auto"/>
            <w:noWrap/>
            <w:vAlign w:val="bottom"/>
            <w:hideMark/>
          </w:tcPr>
          <w:p w14:paraId="202DA733" w14:textId="77777777" w:rsidR="00BA396D" w:rsidRPr="00132B20" w:rsidRDefault="00BA396D" w:rsidP="009F7971">
            <w:pPr>
              <w:spacing w:after="0" w:line="240" w:lineRule="auto"/>
              <w:rPr>
                <w:rFonts w:eastAsia="Times New Roman" w:cstheme="minorHAnsi"/>
                <w:color w:val="000000"/>
                <w:lang w:eastAsia="en-GB"/>
              </w:rPr>
            </w:pPr>
            <w:r w:rsidRPr="00132B20">
              <w:rPr>
                <w:rFonts w:eastAsia="Times New Roman" w:cstheme="minorHAnsi"/>
                <w:color w:val="000000"/>
                <w:lang w:eastAsia="en-GB"/>
              </w:rPr>
              <w:t>Immune System Disorders</w:t>
            </w:r>
          </w:p>
        </w:tc>
        <w:tc>
          <w:tcPr>
            <w:tcW w:w="2000" w:type="dxa"/>
            <w:shd w:val="clear" w:color="auto" w:fill="auto"/>
            <w:noWrap/>
            <w:vAlign w:val="bottom"/>
            <w:hideMark/>
          </w:tcPr>
          <w:p w14:paraId="12740195" w14:textId="77777777" w:rsidR="00BA396D" w:rsidRPr="00132B20" w:rsidRDefault="00BA396D" w:rsidP="009F7971">
            <w:pPr>
              <w:spacing w:after="0" w:line="240" w:lineRule="auto"/>
              <w:jc w:val="right"/>
              <w:rPr>
                <w:rFonts w:eastAsia="Times New Roman" w:cstheme="minorHAnsi"/>
                <w:color w:val="000000"/>
                <w:lang w:eastAsia="en-GB"/>
              </w:rPr>
            </w:pPr>
            <w:r w:rsidRPr="00132B20">
              <w:rPr>
                <w:rFonts w:eastAsia="Times New Roman" w:cstheme="minorHAnsi"/>
                <w:color w:val="000000"/>
                <w:lang w:eastAsia="en-GB"/>
              </w:rPr>
              <w:t>57</w:t>
            </w:r>
          </w:p>
        </w:tc>
        <w:tc>
          <w:tcPr>
            <w:tcW w:w="960" w:type="dxa"/>
            <w:shd w:val="clear" w:color="auto" w:fill="auto"/>
            <w:noWrap/>
            <w:vAlign w:val="bottom"/>
            <w:hideMark/>
          </w:tcPr>
          <w:p w14:paraId="076D717F" w14:textId="77777777" w:rsidR="00BA396D" w:rsidRPr="00132B20" w:rsidRDefault="00BA396D" w:rsidP="009F7971">
            <w:pPr>
              <w:spacing w:after="0" w:line="240" w:lineRule="auto"/>
              <w:jc w:val="right"/>
              <w:rPr>
                <w:rFonts w:eastAsia="Times New Roman" w:cstheme="minorHAnsi"/>
                <w:color w:val="000000"/>
                <w:lang w:eastAsia="en-GB"/>
              </w:rPr>
            </w:pPr>
            <w:r w:rsidRPr="00132B20">
              <w:rPr>
                <w:rFonts w:eastAsia="Times New Roman" w:cstheme="minorHAnsi"/>
                <w:color w:val="000000"/>
                <w:lang w:eastAsia="en-GB"/>
              </w:rPr>
              <w:t>4.1</w:t>
            </w:r>
          </w:p>
        </w:tc>
      </w:tr>
      <w:tr w:rsidR="00BA396D" w:rsidRPr="00132B20" w14:paraId="7492E068" w14:textId="77777777" w:rsidTr="009F7971">
        <w:trPr>
          <w:trHeight w:val="290"/>
        </w:trPr>
        <w:tc>
          <w:tcPr>
            <w:tcW w:w="4960" w:type="dxa"/>
            <w:shd w:val="clear" w:color="auto" w:fill="auto"/>
            <w:noWrap/>
            <w:vAlign w:val="bottom"/>
            <w:hideMark/>
          </w:tcPr>
          <w:p w14:paraId="1BF31EC5" w14:textId="77777777" w:rsidR="00BA396D" w:rsidRPr="00132B20" w:rsidRDefault="00BA396D" w:rsidP="009F7971">
            <w:pPr>
              <w:spacing w:after="0" w:line="240" w:lineRule="auto"/>
              <w:rPr>
                <w:rFonts w:eastAsia="Times New Roman" w:cstheme="minorHAnsi"/>
                <w:color w:val="000000"/>
                <w:lang w:eastAsia="en-GB"/>
              </w:rPr>
            </w:pPr>
            <w:r w:rsidRPr="00132B20">
              <w:rPr>
                <w:rFonts w:eastAsia="Times New Roman" w:cstheme="minorHAnsi"/>
                <w:color w:val="000000"/>
                <w:lang w:eastAsia="en-GB"/>
              </w:rPr>
              <w:t>Injury, poisoning and procedural complications</w:t>
            </w:r>
          </w:p>
        </w:tc>
        <w:tc>
          <w:tcPr>
            <w:tcW w:w="2000" w:type="dxa"/>
            <w:shd w:val="clear" w:color="auto" w:fill="auto"/>
            <w:noWrap/>
            <w:vAlign w:val="bottom"/>
            <w:hideMark/>
          </w:tcPr>
          <w:p w14:paraId="58F02D81" w14:textId="77777777" w:rsidR="00BA396D" w:rsidRPr="00132B20" w:rsidRDefault="00BA396D" w:rsidP="009F7971">
            <w:pPr>
              <w:spacing w:after="0" w:line="240" w:lineRule="auto"/>
              <w:jc w:val="right"/>
              <w:rPr>
                <w:rFonts w:eastAsia="Times New Roman" w:cstheme="minorHAnsi"/>
                <w:color w:val="000000"/>
                <w:lang w:eastAsia="en-GB"/>
              </w:rPr>
            </w:pPr>
            <w:r w:rsidRPr="00132B20">
              <w:rPr>
                <w:rFonts w:eastAsia="Times New Roman" w:cstheme="minorHAnsi"/>
                <w:color w:val="000000"/>
                <w:lang w:eastAsia="en-GB"/>
              </w:rPr>
              <w:t>50</w:t>
            </w:r>
          </w:p>
        </w:tc>
        <w:tc>
          <w:tcPr>
            <w:tcW w:w="960" w:type="dxa"/>
            <w:shd w:val="clear" w:color="auto" w:fill="auto"/>
            <w:noWrap/>
            <w:vAlign w:val="bottom"/>
            <w:hideMark/>
          </w:tcPr>
          <w:p w14:paraId="110E81B6" w14:textId="77777777" w:rsidR="00BA396D" w:rsidRPr="00132B20" w:rsidRDefault="00BA396D" w:rsidP="009F7971">
            <w:pPr>
              <w:spacing w:after="0" w:line="240" w:lineRule="auto"/>
              <w:jc w:val="right"/>
              <w:rPr>
                <w:rFonts w:eastAsia="Times New Roman" w:cstheme="minorHAnsi"/>
                <w:color w:val="000000"/>
                <w:lang w:eastAsia="en-GB"/>
              </w:rPr>
            </w:pPr>
            <w:r w:rsidRPr="00132B20">
              <w:rPr>
                <w:rFonts w:eastAsia="Times New Roman" w:cstheme="minorHAnsi"/>
                <w:color w:val="000000"/>
                <w:lang w:eastAsia="en-GB"/>
              </w:rPr>
              <w:t>3.6</w:t>
            </w:r>
          </w:p>
        </w:tc>
      </w:tr>
      <w:tr w:rsidR="00BA396D" w:rsidRPr="00132B20" w14:paraId="12214806" w14:textId="77777777" w:rsidTr="009F7971">
        <w:trPr>
          <w:trHeight w:val="290"/>
        </w:trPr>
        <w:tc>
          <w:tcPr>
            <w:tcW w:w="4960" w:type="dxa"/>
            <w:shd w:val="clear" w:color="auto" w:fill="auto"/>
            <w:noWrap/>
            <w:vAlign w:val="bottom"/>
            <w:hideMark/>
          </w:tcPr>
          <w:p w14:paraId="41B7E5F3" w14:textId="77777777" w:rsidR="00BA396D" w:rsidRPr="00132B20" w:rsidRDefault="00BA396D" w:rsidP="009F7971">
            <w:pPr>
              <w:spacing w:after="0" w:line="240" w:lineRule="auto"/>
              <w:rPr>
                <w:rFonts w:eastAsia="Times New Roman" w:cstheme="minorHAnsi"/>
                <w:color w:val="000000"/>
                <w:lang w:eastAsia="en-GB"/>
              </w:rPr>
            </w:pPr>
            <w:r w:rsidRPr="00132B20">
              <w:rPr>
                <w:rFonts w:eastAsia="Times New Roman" w:cstheme="minorHAnsi"/>
                <w:color w:val="000000"/>
                <w:lang w:eastAsia="en-GB"/>
              </w:rPr>
              <w:t>Skin and subcutaneous tissue disorders</w:t>
            </w:r>
          </w:p>
        </w:tc>
        <w:tc>
          <w:tcPr>
            <w:tcW w:w="2000" w:type="dxa"/>
            <w:shd w:val="clear" w:color="auto" w:fill="auto"/>
            <w:noWrap/>
            <w:vAlign w:val="bottom"/>
            <w:hideMark/>
          </w:tcPr>
          <w:p w14:paraId="46FD71F8" w14:textId="77777777" w:rsidR="00BA396D" w:rsidRPr="00132B20" w:rsidRDefault="00BA396D" w:rsidP="009F7971">
            <w:pPr>
              <w:spacing w:after="0" w:line="240" w:lineRule="auto"/>
              <w:jc w:val="right"/>
              <w:rPr>
                <w:rFonts w:eastAsia="Times New Roman" w:cstheme="minorHAnsi"/>
                <w:color w:val="000000"/>
                <w:lang w:eastAsia="en-GB"/>
              </w:rPr>
            </w:pPr>
            <w:r w:rsidRPr="00132B20">
              <w:rPr>
                <w:rFonts w:eastAsia="Times New Roman" w:cstheme="minorHAnsi"/>
                <w:color w:val="000000"/>
                <w:lang w:eastAsia="en-GB"/>
              </w:rPr>
              <w:t>48</w:t>
            </w:r>
          </w:p>
        </w:tc>
        <w:tc>
          <w:tcPr>
            <w:tcW w:w="960" w:type="dxa"/>
            <w:shd w:val="clear" w:color="auto" w:fill="auto"/>
            <w:noWrap/>
            <w:vAlign w:val="bottom"/>
            <w:hideMark/>
          </w:tcPr>
          <w:p w14:paraId="040A1702" w14:textId="77777777" w:rsidR="00BA396D" w:rsidRPr="00132B20" w:rsidRDefault="00BA396D" w:rsidP="009F7971">
            <w:pPr>
              <w:spacing w:after="0" w:line="240" w:lineRule="auto"/>
              <w:jc w:val="right"/>
              <w:rPr>
                <w:rFonts w:eastAsia="Times New Roman" w:cstheme="minorHAnsi"/>
                <w:color w:val="000000"/>
                <w:lang w:eastAsia="en-GB"/>
              </w:rPr>
            </w:pPr>
            <w:r w:rsidRPr="00132B20">
              <w:rPr>
                <w:rFonts w:eastAsia="Times New Roman" w:cstheme="minorHAnsi"/>
                <w:color w:val="000000"/>
                <w:lang w:eastAsia="en-GB"/>
              </w:rPr>
              <w:t>3.4</w:t>
            </w:r>
          </w:p>
        </w:tc>
      </w:tr>
      <w:tr w:rsidR="00BA396D" w:rsidRPr="00132B20" w14:paraId="18EA51B1" w14:textId="77777777" w:rsidTr="009F7971">
        <w:trPr>
          <w:trHeight w:val="290"/>
        </w:trPr>
        <w:tc>
          <w:tcPr>
            <w:tcW w:w="4960" w:type="dxa"/>
            <w:shd w:val="clear" w:color="auto" w:fill="auto"/>
            <w:noWrap/>
            <w:vAlign w:val="bottom"/>
            <w:hideMark/>
          </w:tcPr>
          <w:p w14:paraId="21D4CCAC" w14:textId="77777777" w:rsidR="00BA396D" w:rsidRPr="00132B20" w:rsidRDefault="00BA396D" w:rsidP="009F7971">
            <w:pPr>
              <w:spacing w:after="0" w:line="240" w:lineRule="auto"/>
              <w:rPr>
                <w:rFonts w:eastAsia="Times New Roman" w:cstheme="minorHAnsi"/>
                <w:color w:val="000000"/>
                <w:lang w:eastAsia="en-GB"/>
              </w:rPr>
            </w:pPr>
            <w:r w:rsidRPr="00132B20">
              <w:rPr>
                <w:rFonts w:eastAsia="Times New Roman" w:cstheme="minorHAnsi"/>
                <w:color w:val="000000"/>
                <w:lang w:eastAsia="en-GB"/>
              </w:rPr>
              <w:t>Vascular disorders</w:t>
            </w:r>
          </w:p>
        </w:tc>
        <w:tc>
          <w:tcPr>
            <w:tcW w:w="2000" w:type="dxa"/>
            <w:shd w:val="clear" w:color="auto" w:fill="auto"/>
            <w:noWrap/>
            <w:vAlign w:val="bottom"/>
            <w:hideMark/>
          </w:tcPr>
          <w:p w14:paraId="7BBCA8B0" w14:textId="77777777" w:rsidR="00BA396D" w:rsidRPr="00132B20" w:rsidRDefault="00BA396D" w:rsidP="009F7971">
            <w:pPr>
              <w:spacing w:after="0" w:line="240" w:lineRule="auto"/>
              <w:jc w:val="right"/>
              <w:rPr>
                <w:rFonts w:eastAsia="Times New Roman" w:cstheme="minorHAnsi"/>
                <w:color w:val="000000"/>
                <w:lang w:eastAsia="en-GB"/>
              </w:rPr>
            </w:pPr>
            <w:r w:rsidRPr="00132B20">
              <w:rPr>
                <w:rFonts w:eastAsia="Times New Roman" w:cstheme="minorHAnsi"/>
                <w:color w:val="000000"/>
                <w:lang w:eastAsia="en-GB"/>
              </w:rPr>
              <w:t>21</w:t>
            </w:r>
          </w:p>
        </w:tc>
        <w:tc>
          <w:tcPr>
            <w:tcW w:w="960" w:type="dxa"/>
            <w:shd w:val="clear" w:color="auto" w:fill="auto"/>
            <w:noWrap/>
            <w:vAlign w:val="bottom"/>
            <w:hideMark/>
          </w:tcPr>
          <w:p w14:paraId="0FA06FB6" w14:textId="77777777" w:rsidR="00BA396D" w:rsidRPr="00132B20" w:rsidRDefault="00BA396D" w:rsidP="009F7971">
            <w:pPr>
              <w:spacing w:after="0" w:line="240" w:lineRule="auto"/>
              <w:jc w:val="right"/>
              <w:rPr>
                <w:rFonts w:eastAsia="Times New Roman" w:cstheme="minorHAnsi"/>
                <w:color w:val="000000"/>
                <w:lang w:eastAsia="en-GB"/>
              </w:rPr>
            </w:pPr>
            <w:r w:rsidRPr="00132B20">
              <w:rPr>
                <w:rFonts w:eastAsia="Times New Roman" w:cstheme="minorHAnsi"/>
                <w:color w:val="000000"/>
                <w:lang w:eastAsia="en-GB"/>
              </w:rPr>
              <w:t>1.5</w:t>
            </w:r>
          </w:p>
        </w:tc>
      </w:tr>
      <w:tr w:rsidR="00BA396D" w:rsidRPr="00132B20" w14:paraId="1E2A13C2" w14:textId="77777777" w:rsidTr="009F7971">
        <w:trPr>
          <w:trHeight w:val="290"/>
        </w:trPr>
        <w:tc>
          <w:tcPr>
            <w:tcW w:w="4960" w:type="dxa"/>
            <w:shd w:val="clear" w:color="auto" w:fill="auto"/>
            <w:noWrap/>
            <w:vAlign w:val="bottom"/>
            <w:hideMark/>
          </w:tcPr>
          <w:p w14:paraId="704CAC18" w14:textId="77777777" w:rsidR="00BA396D" w:rsidRPr="00132B20" w:rsidRDefault="00BA396D" w:rsidP="009F7971">
            <w:pPr>
              <w:spacing w:after="0" w:line="240" w:lineRule="auto"/>
              <w:rPr>
                <w:rFonts w:eastAsia="Times New Roman" w:cstheme="minorHAnsi"/>
                <w:color w:val="000000"/>
                <w:lang w:eastAsia="en-GB"/>
              </w:rPr>
            </w:pPr>
            <w:r w:rsidRPr="00132B20">
              <w:rPr>
                <w:rFonts w:eastAsia="Times New Roman" w:cstheme="minorHAnsi"/>
                <w:color w:val="000000"/>
                <w:lang w:eastAsia="en-GB"/>
              </w:rPr>
              <w:t>Endocrine Disorders</w:t>
            </w:r>
          </w:p>
        </w:tc>
        <w:tc>
          <w:tcPr>
            <w:tcW w:w="2000" w:type="dxa"/>
            <w:shd w:val="clear" w:color="auto" w:fill="auto"/>
            <w:noWrap/>
            <w:vAlign w:val="bottom"/>
            <w:hideMark/>
          </w:tcPr>
          <w:p w14:paraId="487308C8" w14:textId="77777777" w:rsidR="00BA396D" w:rsidRPr="00132B20" w:rsidRDefault="00BA396D" w:rsidP="009F7971">
            <w:pPr>
              <w:spacing w:after="0" w:line="240" w:lineRule="auto"/>
              <w:jc w:val="right"/>
              <w:rPr>
                <w:rFonts w:eastAsia="Times New Roman" w:cstheme="minorHAnsi"/>
                <w:color w:val="000000"/>
                <w:lang w:eastAsia="en-GB"/>
              </w:rPr>
            </w:pPr>
            <w:r w:rsidRPr="00132B20">
              <w:rPr>
                <w:rFonts w:eastAsia="Times New Roman" w:cstheme="minorHAnsi"/>
                <w:color w:val="000000"/>
                <w:lang w:eastAsia="en-GB"/>
              </w:rPr>
              <w:t>18</w:t>
            </w:r>
          </w:p>
        </w:tc>
        <w:tc>
          <w:tcPr>
            <w:tcW w:w="960" w:type="dxa"/>
            <w:shd w:val="clear" w:color="auto" w:fill="auto"/>
            <w:noWrap/>
            <w:vAlign w:val="bottom"/>
            <w:hideMark/>
          </w:tcPr>
          <w:p w14:paraId="0024C870" w14:textId="77777777" w:rsidR="00BA396D" w:rsidRPr="00132B20" w:rsidRDefault="00BA396D" w:rsidP="009F7971">
            <w:pPr>
              <w:spacing w:after="0" w:line="240" w:lineRule="auto"/>
              <w:jc w:val="right"/>
              <w:rPr>
                <w:rFonts w:eastAsia="Times New Roman" w:cstheme="minorHAnsi"/>
                <w:color w:val="000000"/>
                <w:lang w:eastAsia="en-GB"/>
              </w:rPr>
            </w:pPr>
            <w:r w:rsidRPr="00132B20">
              <w:rPr>
                <w:rFonts w:eastAsia="Times New Roman" w:cstheme="minorHAnsi"/>
                <w:color w:val="000000"/>
                <w:lang w:eastAsia="en-GB"/>
              </w:rPr>
              <w:t>1.3</w:t>
            </w:r>
          </w:p>
        </w:tc>
      </w:tr>
      <w:tr w:rsidR="00BA396D" w:rsidRPr="00132B20" w14:paraId="48BFE82F" w14:textId="77777777" w:rsidTr="009F7971">
        <w:trPr>
          <w:trHeight w:val="290"/>
        </w:trPr>
        <w:tc>
          <w:tcPr>
            <w:tcW w:w="4960" w:type="dxa"/>
            <w:shd w:val="clear" w:color="auto" w:fill="auto"/>
            <w:noWrap/>
            <w:vAlign w:val="bottom"/>
            <w:hideMark/>
          </w:tcPr>
          <w:p w14:paraId="4F44AD41" w14:textId="77777777" w:rsidR="00BA396D" w:rsidRPr="00132B20" w:rsidRDefault="00BA396D" w:rsidP="009F7971">
            <w:pPr>
              <w:spacing w:after="0" w:line="240" w:lineRule="auto"/>
              <w:rPr>
                <w:rFonts w:eastAsia="Times New Roman" w:cstheme="minorHAnsi"/>
                <w:color w:val="000000"/>
                <w:lang w:eastAsia="en-GB"/>
              </w:rPr>
            </w:pPr>
            <w:r w:rsidRPr="00132B20">
              <w:rPr>
                <w:rFonts w:eastAsia="Times New Roman" w:cstheme="minorHAnsi"/>
                <w:color w:val="000000"/>
                <w:lang w:eastAsia="en-GB"/>
              </w:rPr>
              <w:t>Infections and infestations</w:t>
            </w:r>
          </w:p>
        </w:tc>
        <w:tc>
          <w:tcPr>
            <w:tcW w:w="2000" w:type="dxa"/>
            <w:shd w:val="clear" w:color="auto" w:fill="auto"/>
            <w:noWrap/>
            <w:vAlign w:val="bottom"/>
            <w:hideMark/>
          </w:tcPr>
          <w:p w14:paraId="18B76C2F" w14:textId="77777777" w:rsidR="00BA396D" w:rsidRPr="00132B20" w:rsidRDefault="00BA396D" w:rsidP="009F7971">
            <w:pPr>
              <w:spacing w:after="0" w:line="240" w:lineRule="auto"/>
              <w:jc w:val="right"/>
              <w:rPr>
                <w:rFonts w:eastAsia="Times New Roman" w:cstheme="minorHAnsi"/>
                <w:color w:val="000000"/>
                <w:lang w:eastAsia="en-GB"/>
              </w:rPr>
            </w:pPr>
            <w:r w:rsidRPr="00132B20">
              <w:rPr>
                <w:rFonts w:eastAsia="Times New Roman" w:cstheme="minorHAnsi"/>
                <w:color w:val="000000"/>
                <w:lang w:eastAsia="en-GB"/>
              </w:rPr>
              <w:t>18</w:t>
            </w:r>
          </w:p>
        </w:tc>
        <w:tc>
          <w:tcPr>
            <w:tcW w:w="960" w:type="dxa"/>
            <w:shd w:val="clear" w:color="auto" w:fill="auto"/>
            <w:noWrap/>
            <w:vAlign w:val="bottom"/>
            <w:hideMark/>
          </w:tcPr>
          <w:p w14:paraId="4FBE0B2F" w14:textId="77777777" w:rsidR="00BA396D" w:rsidRPr="00132B20" w:rsidRDefault="00BA396D" w:rsidP="009F7971">
            <w:pPr>
              <w:spacing w:after="0" w:line="240" w:lineRule="auto"/>
              <w:jc w:val="right"/>
              <w:rPr>
                <w:rFonts w:eastAsia="Times New Roman" w:cstheme="minorHAnsi"/>
                <w:color w:val="000000"/>
                <w:lang w:eastAsia="en-GB"/>
              </w:rPr>
            </w:pPr>
            <w:r w:rsidRPr="00132B20">
              <w:rPr>
                <w:rFonts w:eastAsia="Times New Roman" w:cstheme="minorHAnsi"/>
                <w:color w:val="000000"/>
                <w:lang w:eastAsia="en-GB"/>
              </w:rPr>
              <w:t>1.3</w:t>
            </w:r>
          </w:p>
        </w:tc>
      </w:tr>
      <w:tr w:rsidR="00BA396D" w:rsidRPr="00132B20" w14:paraId="15C07AC6" w14:textId="77777777" w:rsidTr="009F7971">
        <w:trPr>
          <w:trHeight w:val="290"/>
        </w:trPr>
        <w:tc>
          <w:tcPr>
            <w:tcW w:w="4960" w:type="dxa"/>
            <w:shd w:val="clear" w:color="auto" w:fill="auto"/>
            <w:noWrap/>
            <w:vAlign w:val="bottom"/>
            <w:hideMark/>
          </w:tcPr>
          <w:p w14:paraId="053B3250" w14:textId="77777777" w:rsidR="00BA396D" w:rsidRPr="00132B20" w:rsidRDefault="00BA396D" w:rsidP="009F7971">
            <w:pPr>
              <w:spacing w:after="0" w:line="240" w:lineRule="auto"/>
              <w:rPr>
                <w:rFonts w:eastAsia="Times New Roman" w:cstheme="minorHAnsi"/>
                <w:color w:val="000000"/>
                <w:lang w:eastAsia="en-GB"/>
              </w:rPr>
            </w:pPr>
            <w:r w:rsidRPr="00132B20">
              <w:rPr>
                <w:rFonts w:eastAsia="Times New Roman" w:cstheme="minorHAnsi"/>
                <w:color w:val="000000"/>
                <w:lang w:eastAsia="en-GB"/>
              </w:rPr>
              <w:t>Respiratory, thoracic and mediastinal disorders</w:t>
            </w:r>
          </w:p>
        </w:tc>
        <w:tc>
          <w:tcPr>
            <w:tcW w:w="2000" w:type="dxa"/>
            <w:shd w:val="clear" w:color="auto" w:fill="auto"/>
            <w:noWrap/>
            <w:vAlign w:val="bottom"/>
            <w:hideMark/>
          </w:tcPr>
          <w:p w14:paraId="4B05D55E" w14:textId="77777777" w:rsidR="00BA396D" w:rsidRPr="00132B20" w:rsidRDefault="00BA396D" w:rsidP="009F7971">
            <w:pPr>
              <w:spacing w:after="0" w:line="240" w:lineRule="auto"/>
              <w:jc w:val="right"/>
              <w:rPr>
                <w:rFonts w:eastAsia="Times New Roman" w:cstheme="minorHAnsi"/>
                <w:color w:val="000000"/>
                <w:lang w:eastAsia="en-GB"/>
              </w:rPr>
            </w:pPr>
            <w:r w:rsidRPr="00132B20">
              <w:rPr>
                <w:rFonts w:eastAsia="Times New Roman" w:cstheme="minorHAnsi"/>
                <w:color w:val="000000"/>
                <w:lang w:eastAsia="en-GB"/>
              </w:rPr>
              <w:t>8</w:t>
            </w:r>
          </w:p>
        </w:tc>
        <w:tc>
          <w:tcPr>
            <w:tcW w:w="960" w:type="dxa"/>
            <w:shd w:val="clear" w:color="auto" w:fill="auto"/>
            <w:noWrap/>
            <w:vAlign w:val="bottom"/>
            <w:hideMark/>
          </w:tcPr>
          <w:p w14:paraId="39D75ABB" w14:textId="77777777" w:rsidR="00BA396D" w:rsidRPr="00132B20" w:rsidRDefault="00BA396D" w:rsidP="009F7971">
            <w:pPr>
              <w:spacing w:after="0" w:line="240" w:lineRule="auto"/>
              <w:jc w:val="right"/>
              <w:rPr>
                <w:rFonts w:eastAsia="Times New Roman" w:cstheme="minorHAnsi"/>
                <w:color w:val="000000"/>
                <w:lang w:eastAsia="en-GB"/>
              </w:rPr>
            </w:pPr>
            <w:r w:rsidRPr="00132B20">
              <w:rPr>
                <w:rFonts w:eastAsia="Times New Roman" w:cstheme="minorHAnsi"/>
                <w:color w:val="000000"/>
                <w:lang w:eastAsia="en-GB"/>
              </w:rPr>
              <w:t>0.6</w:t>
            </w:r>
          </w:p>
        </w:tc>
      </w:tr>
      <w:tr w:rsidR="00BA396D" w:rsidRPr="00132B20" w14:paraId="160FB524" w14:textId="77777777" w:rsidTr="009F7971">
        <w:trPr>
          <w:trHeight w:val="290"/>
        </w:trPr>
        <w:tc>
          <w:tcPr>
            <w:tcW w:w="4960" w:type="dxa"/>
            <w:shd w:val="clear" w:color="auto" w:fill="auto"/>
            <w:noWrap/>
            <w:vAlign w:val="bottom"/>
            <w:hideMark/>
          </w:tcPr>
          <w:p w14:paraId="1432B24F" w14:textId="77777777" w:rsidR="00BA396D" w:rsidRPr="00132B20" w:rsidRDefault="00BA396D" w:rsidP="009F7971">
            <w:pPr>
              <w:spacing w:after="0" w:line="240" w:lineRule="auto"/>
              <w:rPr>
                <w:rFonts w:eastAsia="Times New Roman" w:cstheme="minorHAnsi"/>
                <w:color w:val="000000"/>
                <w:lang w:eastAsia="en-GB"/>
              </w:rPr>
            </w:pPr>
            <w:r w:rsidRPr="00132B20">
              <w:rPr>
                <w:rFonts w:eastAsia="Times New Roman" w:cstheme="minorHAnsi"/>
                <w:color w:val="000000"/>
                <w:lang w:eastAsia="en-GB"/>
              </w:rPr>
              <w:t>Musculoskeletal and connective tissue disorders</w:t>
            </w:r>
          </w:p>
        </w:tc>
        <w:tc>
          <w:tcPr>
            <w:tcW w:w="2000" w:type="dxa"/>
            <w:shd w:val="clear" w:color="auto" w:fill="auto"/>
            <w:noWrap/>
            <w:vAlign w:val="bottom"/>
            <w:hideMark/>
          </w:tcPr>
          <w:p w14:paraId="77EF32E6" w14:textId="77777777" w:rsidR="00BA396D" w:rsidRPr="00132B20" w:rsidRDefault="00BA396D" w:rsidP="009F7971">
            <w:pPr>
              <w:spacing w:after="0" w:line="240" w:lineRule="auto"/>
              <w:jc w:val="right"/>
              <w:rPr>
                <w:rFonts w:eastAsia="Times New Roman" w:cstheme="minorHAnsi"/>
                <w:color w:val="000000"/>
                <w:lang w:eastAsia="en-GB"/>
              </w:rPr>
            </w:pPr>
            <w:r w:rsidRPr="00132B20">
              <w:rPr>
                <w:rFonts w:eastAsia="Times New Roman" w:cstheme="minorHAnsi"/>
                <w:color w:val="000000"/>
                <w:lang w:eastAsia="en-GB"/>
              </w:rPr>
              <w:t>6</w:t>
            </w:r>
          </w:p>
        </w:tc>
        <w:tc>
          <w:tcPr>
            <w:tcW w:w="960" w:type="dxa"/>
            <w:shd w:val="clear" w:color="auto" w:fill="auto"/>
            <w:noWrap/>
            <w:vAlign w:val="bottom"/>
            <w:hideMark/>
          </w:tcPr>
          <w:p w14:paraId="2E809638" w14:textId="77777777" w:rsidR="00BA396D" w:rsidRPr="00132B20" w:rsidRDefault="00BA396D" w:rsidP="009F7971">
            <w:pPr>
              <w:spacing w:after="0" w:line="240" w:lineRule="auto"/>
              <w:jc w:val="right"/>
              <w:rPr>
                <w:rFonts w:eastAsia="Times New Roman" w:cstheme="minorHAnsi"/>
                <w:color w:val="000000"/>
                <w:lang w:eastAsia="en-GB"/>
              </w:rPr>
            </w:pPr>
            <w:r w:rsidRPr="00132B20">
              <w:rPr>
                <w:rFonts w:eastAsia="Times New Roman" w:cstheme="minorHAnsi"/>
                <w:color w:val="000000"/>
                <w:lang w:eastAsia="en-GB"/>
              </w:rPr>
              <w:t>0.4</w:t>
            </w:r>
          </w:p>
        </w:tc>
      </w:tr>
      <w:tr w:rsidR="00BA396D" w:rsidRPr="00132B20" w14:paraId="0E37A542" w14:textId="77777777" w:rsidTr="009F7971">
        <w:trPr>
          <w:trHeight w:val="290"/>
        </w:trPr>
        <w:tc>
          <w:tcPr>
            <w:tcW w:w="4960" w:type="dxa"/>
            <w:shd w:val="clear" w:color="auto" w:fill="auto"/>
            <w:noWrap/>
            <w:vAlign w:val="bottom"/>
            <w:hideMark/>
          </w:tcPr>
          <w:p w14:paraId="73A4F4E6" w14:textId="77777777" w:rsidR="00BA396D" w:rsidRPr="00132B20" w:rsidRDefault="00BA396D" w:rsidP="009F7971">
            <w:pPr>
              <w:spacing w:after="0" w:line="240" w:lineRule="auto"/>
              <w:rPr>
                <w:rFonts w:eastAsia="Times New Roman" w:cstheme="minorHAnsi"/>
                <w:color w:val="000000"/>
                <w:lang w:eastAsia="en-GB"/>
              </w:rPr>
            </w:pPr>
            <w:r w:rsidRPr="00132B20">
              <w:rPr>
                <w:rFonts w:eastAsia="Times New Roman" w:cstheme="minorHAnsi"/>
                <w:color w:val="000000"/>
                <w:lang w:eastAsia="en-GB"/>
              </w:rPr>
              <w:t>General disorders and administration site conditions</w:t>
            </w:r>
          </w:p>
        </w:tc>
        <w:tc>
          <w:tcPr>
            <w:tcW w:w="2000" w:type="dxa"/>
            <w:shd w:val="clear" w:color="auto" w:fill="auto"/>
            <w:noWrap/>
            <w:vAlign w:val="bottom"/>
            <w:hideMark/>
          </w:tcPr>
          <w:p w14:paraId="1A541F0E" w14:textId="77777777" w:rsidR="00BA396D" w:rsidRPr="00132B20" w:rsidRDefault="00BA396D" w:rsidP="009F7971">
            <w:pPr>
              <w:spacing w:after="0" w:line="240" w:lineRule="auto"/>
              <w:jc w:val="right"/>
              <w:rPr>
                <w:rFonts w:eastAsia="Times New Roman" w:cstheme="minorHAnsi"/>
                <w:color w:val="000000"/>
                <w:lang w:eastAsia="en-GB"/>
              </w:rPr>
            </w:pPr>
            <w:r w:rsidRPr="00132B20">
              <w:rPr>
                <w:rFonts w:eastAsia="Times New Roman" w:cstheme="minorHAnsi"/>
                <w:color w:val="000000"/>
                <w:lang w:eastAsia="en-GB"/>
              </w:rPr>
              <w:t>5</w:t>
            </w:r>
          </w:p>
        </w:tc>
        <w:tc>
          <w:tcPr>
            <w:tcW w:w="960" w:type="dxa"/>
            <w:shd w:val="clear" w:color="auto" w:fill="auto"/>
            <w:noWrap/>
            <w:vAlign w:val="bottom"/>
            <w:hideMark/>
          </w:tcPr>
          <w:p w14:paraId="28382D89" w14:textId="77777777" w:rsidR="00BA396D" w:rsidRPr="00132B20" w:rsidRDefault="00BA396D" w:rsidP="009F7971">
            <w:pPr>
              <w:spacing w:after="0" w:line="240" w:lineRule="auto"/>
              <w:jc w:val="right"/>
              <w:rPr>
                <w:rFonts w:eastAsia="Times New Roman" w:cstheme="minorHAnsi"/>
                <w:color w:val="000000"/>
                <w:lang w:eastAsia="en-GB"/>
              </w:rPr>
            </w:pPr>
            <w:r w:rsidRPr="00132B20">
              <w:rPr>
                <w:rFonts w:eastAsia="Times New Roman" w:cstheme="minorHAnsi"/>
                <w:color w:val="000000"/>
                <w:lang w:eastAsia="en-GB"/>
              </w:rPr>
              <w:t>0.4</w:t>
            </w:r>
          </w:p>
        </w:tc>
      </w:tr>
      <w:tr w:rsidR="00BA396D" w:rsidRPr="00132B20" w14:paraId="0858A7E6" w14:textId="77777777" w:rsidTr="009F7971">
        <w:trPr>
          <w:trHeight w:val="290"/>
        </w:trPr>
        <w:tc>
          <w:tcPr>
            <w:tcW w:w="4960" w:type="dxa"/>
            <w:shd w:val="clear" w:color="auto" w:fill="auto"/>
            <w:noWrap/>
            <w:vAlign w:val="bottom"/>
            <w:hideMark/>
          </w:tcPr>
          <w:p w14:paraId="07CB8935" w14:textId="77777777" w:rsidR="00BA396D" w:rsidRPr="00132B20" w:rsidRDefault="00BA396D" w:rsidP="009F7971">
            <w:pPr>
              <w:spacing w:after="0" w:line="240" w:lineRule="auto"/>
              <w:rPr>
                <w:rFonts w:eastAsia="Times New Roman" w:cstheme="minorHAnsi"/>
                <w:color w:val="000000"/>
                <w:lang w:eastAsia="en-GB"/>
              </w:rPr>
            </w:pPr>
            <w:r w:rsidRPr="00132B20">
              <w:rPr>
                <w:rFonts w:eastAsia="Times New Roman" w:cstheme="minorHAnsi"/>
                <w:color w:val="000000"/>
                <w:lang w:eastAsia="en-GB"/>
              </w:rPr>
              <w:t>Eye Disorders</w:t>
            </w:r>
          </w:p>
        </w:tc>
        <w:tc>
          <w:tcPr>
            <w:tcW w:w="2000" w:type="dxa"/>
            <w:shd w:val="clear" w:color="auto" w:fill="auto"/>
            <w:noWrap/>
            <w:vAlign w:val="bottom"/>
            <w:hideMark/>
          </w:tcPr>
          <w:p w14:paraId="265B5A85" w14:textId="77777777" w:rsidR="00BA396D" w:rsidRPr="00132B20" w:rsidRDefault="00BA396D" w:rsidP="009F7971">
            <w:pPr>
              <w:spacing w:after="0" w:line="240" w:lineRule="auto"/>
              <w:jc w:val="right"/>
              <w:rPr>
                <w:rFonts w:eastAsia="Times New Roman" w:cstheme="minorHAnsi"/>
                <w:color w:val="000000"/>
                <w:lang w:eastAsia="en-GB"/>
              </w:rPr>
            </w:pPr>
            <w:r w:rsidRPr="00132B20">
              <w:rPr>
                <w:rFonts w:eastAsia="Times New Roman" w:cstheme="minorHAnsi"/>
                <w:color w:val="000000"/>
                <w:lang w:eastAsia="en-GB"/>
              </w:rPr>
              <w:t>4</w:t>
            </w:r>
          </w:p>
        </w:tc>
        <w:tc>
          <w:tcPr>
            <w:tcW w:w="960" w:type="dxa"/>
            <w:shd w:val="clear" w:color="auto" w:fill="auto"/>
            <w:noWrap/>
            <w:vAlign w:val="bottom"/>
            <w:hideMark/>
          </w:tcPr>
          <w:p w14:paraId="19AC76DC" w14:textId="77777777" w:rsidR="00BA396D" w:rsidRPr="00132B20" w:rsidRDefault="00BA396D" w:rsidP="009F7971">
            <w:pPr>
              <w:spacing w:after="0" w:line="240" w:lineRule="auto"/>
              <w:jc w:val="right"/>
              <w:rPr>
                <w:rFonts w:eastAsia="Times New Roman" w:cstheme="minorHAnsi"/>
                <w:color w:val="000000"/>
                <w:lang w:eastAsia="en-GB"/>
              </w:rPr>
            </w:pPr>
            <w:r w:rsidRPr="00132B20">
              <w:rPr>
                <w:rFonts w:eastAsia="Times New Roman" w:cstheme="minorHAnsi"/>
                <w:color w:val="000000"/>
                <w:lang w:eastAsia="en-GB"/>
              </w:rPr>
              <w:t>0.3</w:t>
            </w:r>
          </w:p>
        </w:tc>
      </w:tr>
      <w:tr w:rsidR="00BA396D" w:rsidRPr="00132B20" w14:paraId="095AEC28" w14:textId="77777777" w:rsidTr="009F7971">
        <w:trPr>
          <w:trHeight w:val="290"/>
        </w:trPr>
        <w:tc>
          <w:tcPr>
            <w:tcW w:w="4960" w:type="dxa"/>
            <w:shd w:val="clear" w:color="auto" w:fill="auto"/>
            <w:noWrap/>
            <w:vAlign w:val="bottom"/>
            <w:hideMark/>
          </w:tcPr>
          <w:p w14:paraId="4C2DCB17" w14:textId="77777777" w:rsidR="00BA396D" w:rsidRPr="00132B20" w:rsidRDefault="00BA396D" w:rsidP="009F7971">
            <w:pPr>
              <w:spacing w:after="0" w:line="240" w:lineRule="auto"/>
              <w:rPr>
                <w:rFonts w:eastAsia="Times New Roman" w:cstheme="minorHAnsi"/>
                <w:color w:val="000000"/>
                <w:lang w:eastAsia="en-GB"/>
              </w:rPr>
            </w:pPr>
            <w:r w:rsidRPr="00132B20">
              <w:rPr>
                <w:rFonts w:eastAsia="Times New Roman" w:cstheme="minorHAnsi"/>
                <w:color w:val="000000"/>
                <w:lang w:eastAsia="en-GB"/>
              </w:rPr>
              <w:t>Ear and labyrinth Disorders</w:t>
            </w:r>
          </w:p>
        </w:tc>
        <w:tc>
          <w:tcPr>
            <w:tcW w:w="2000" w:type="dxa"/>
            <w:shd w:val="clear" w:color="auto" w:fill="auto"/>
            <w:noWrap/>
            <w:vAlign w:val="bottom"/>
            <w:hideMark/>
          </w:tcPr>
          <w:p w14:paraId="13D51576" w14:textId="77777777" w:rsidR="00BA396D" w:rsidRPr="00132B20" w:rsidRDefault="00BA396D" w:rsidP="009F7971">
            <w:pPr>
              <w:spacing w:after="0" w:line="240" w:lineRule="auto"/>
              <w:jc w:val="right"/>
              <w:rPr>
                <w:rFonts w:eastAsia="Times New Roman" w:cstheme="minorHAnsi"/>
                <w:color w:val="000000"/>
                <w:lang w:eastAsia="en-GB"/>
              </w:rPr>
            </w:pPr>
            <w:r w:rsidRPr="00132B20">
              <w:rPr>
                <w:rFonts w:eastAsia="Times New Roman" w:cstheme="minorHAnsi"/>
                <w:color w:val="000000"/>
                <w:lang w:eastAsia="en-GB"/>
              </w:rPr>
              <w:t>2</w:t>
            </w:r>
          </w:p>
        </w:tc>
        <w:tc>
          <w:tcPr>
            <w:tcW w:w="960" w:type="dxa"/>
            <w:shd w:val="clear" w:color="auto" w:fill="auto"/>
            <w:noWrap/>
            <w:vAlign w:val="bottom"/>
            <w:hideMark/>
          </w:tcPr>
          <w:p w14:paraId="70A51D1E" w14:textId="77777777" w:rsidR="00BA396D" w:rsidRPr="00132B20" w:rsidRDefault="00BA396D" w:rsidP="009F7971">
            <w:pPr>
              <w:spacing w:after="0" w:line="240" w:lineRule="auto"/>
              <w:jc w:val="right"/>
              <w:rPr>
                <w:rFonts w:eastAsia="Times New Roman" w:cstheme="minorHAnsi"/>
                <w:color w:val="000000"/>
                <w:lang w:eastAsia="en-GB"/>
              </w:rPr>
            </w:pPr>
            <w:r w:rsidRPr="00132B20">
              <w:rPr>
                <w:rFonts w:eastAsia="Times New Roman" w:cstheme="minorHAnsi"/>
                <w:color w:val="000000"/>
                <w:lang w:eastAsia="en-GB"/>
              </w:rPr>
              <w:t>0.1</w:t>
            </w:r>
          </w:p>
        </w:tc>
      </w:tr>
      <w:tr w:rsidR="00BA396D" w:rsidRPr="00132B20" w14:paraId="42674415" w14:textId="77777777" w:rsidTr="009F7971">
        <w:trPr>
          <w:trHeight w:val="290"/>
        </w:trPr>
        <w:tc>
          <w:tcPr>
            <w:tcW w:w="4960" w:type="dxa"/>
            <w:shd w:val="clear" w:color="auto" w:fill="auto"/>
            <w:noWrap/>
            <w:vAlign w:val="bottom"/>
            <w:hideMark/>
          </w:tcPr>
          <w:p w14:paraId="00226F83" w14:textId="77777777" w:rsidR="00BA396D" w:rsidRPr="00132B20" w:rsidRDefault="00BA396D" w:rsidP="009F7971">
            <w:pPr>
              <w:spacing w:after="0" w:line="240" w:lineRule="auto"/>
              <w:rPr>
                <w:rFonts w:eastAsia="Times New Roman" w:cstheme="minorHAnsi"/>
                <w:color w:val="000000"/>
                <w:lang w:eastAsia="en-GB"/>
              </w:rPr>
            </w:pPr>
            <w:r w:rsidRPr="00132B20">
              <w:rPr>
                <w:rFonts w:eastAsia="Times New Roman" w:cstheme="minorHAnsi"/>
                <w:color w:val="000000"/>
                <w:lang w:eastAsia="en-GB"/>
              </w:rPr>
              <w:t>Hepatobiliary Disorders</w:t>
            </w:r>
          </w:p>
        </w:tc>
        <w:tc>
          <w:tcPr>
            <w:tcW w:w="2000" w:type="dxa"/>
            <w:shd w:val="clear" w:color="auto" w:fill="auto"/>
            <w:noWrap/>
            <w:vAlign w:val="bottom"/>
            <w:hideMark/>
          </w:tcPr>
          <w:p w14:paraId="441C91D0" w14:textId="77777777" w:rsidR="00BA396D" w:rsidRPr="00132B20" w:rsidRDefault="00BA396D" w:rsidP="009F7971">
            <w:pPr>
              <w:spacing w:after="0" w:line="240" w:lineRule="auto"/>
              <w:jc w:val="right"/>
              <w:rPr>
                <w:rFonts w:eastAsia="Times New Roman" w:cstheme="minorHAnsi"/>
                <w:color w:val="000000"/>
                <w:lang w:eastAsia="en-GB"/>
              </w:rPr>
            </w:pPr>
            <w:r w:rsidRPr="00132B20">
              <w:rPr>
                <w:rFonts w:eastAsia="Times New Roman" w:cstheme="minorHAnsi"/>
                <w:color w:val="000000"/>
                <w:lang w:eastAsia="en-GB"/>
              </w:rPr>
              <w:t>2</w:t>
            </w:r>
          </w:p>
        </w:tc>
        <w:tc>
          <w:tcPr>
            <w:tcW w:w="960" w:type="dxa"/>
            <w:shd w:val="clear" w:color="auto" w:fill="auto"/>
            <w:noWrap/>
            <w:vAlign w:val="bottom"/>
            <w:hideMark/>
          </w:tcPr>
          <w:p w14:paraId="1712AC43" w14:textId="77777777" w:rsidR="00BA396D" w:rsidRPr="00132B20" w:rsidRDefault="00BA396D" w:rsidP="009F7971">
            <w:pPr>
              <w:spacing w:after="0" w:line="240" w:lineRule="auto"/>
              <w:jc w:val="right"/>
              <w:rPr>
                <w:rFonts w:eastAsia="Times New Roman" w:cstheme="minorHAnsi"/>
                <w:color w:val="000000"/>
                <w:lang w:eastAsia="en-GB"/>
              </w:rPr>
            </w:pPr>
            <w:r w:rsidRPr="00132B20">
              <w:rPr>
                <w:rFonts w:eastAsia="Times New Roman" w:cstheme="minorHAnsi"/>
                <w:color w:val="000000"/>
                <w:lang w:eastAsia="en-GB"/>
              </w:rPr>
              <w:t>0.1</w:t>
            </w:r>
          </w:p>
        </w:tc>
      </w:tr>
    </w:tbl>
    <w:p w14:paraId="365951A0" w14:textId="37E03802" w:rsidR="0048198F" w:rsidRDefault="0048198F" w:rsidP="00C36689">
      <w:pPr>
        <w:spacing w:line="360" w:lineRule="auto"/>
        <w:jc w:val="both"/>
      </w:pPr>
    </w:p>
    <w:p w14:paraId="2FD17DBE" w14:textId="245425A4" w:rsidR="00BA396D" w:rsidRDefault="007C7096" w:rsidP="00C36689">
      <w:pPr>
        <w:spacing w:line="360" w:lineRule="auto"/>
        <w:jc w:val="both"/>
        <w:rPr>
          <w:i/>
          <w:color w:val="FF0000"/>
        </w:rPr>
      </w:pPr>
      <w:r>
        <w:rPr>
          <w:i/>
          <w:color w:val="FF0000"/>
        </w:rPr>
        <w:lastRenderedPageBreak/>
        <w:t xml:space="preserve">Can we look at the top presenting </w:t>
      </w:r>
      <w:r w:rsidR="005F54B1" w:rsidRPr="005F54B1">
        <w:rPr>
          <w:i/>
          <w:color w:val="FF0000"/>
        </w:rPr>
        <w:t>groups and see what is most common of each – if possible at all?</w:t>
      </w:r>
      <w:r w:rsidR="005A6058">
        <w:rPr>
          <w:i/>
          <w:color w:val="FF0000"/>
        </w:rPr>
        <w:t xml:space="preserve"> – for metabolism and nutrition it’s likely electrolyte</w:t>
      </w:r>
      <w:r w:rsidR="009C21F7">
        <w:rPr>
          <w:i/>
          <w:color w:val="FF0000"/>
        </w:rPr>
        <w:t xml:space="preserve"> disturbance</w:t>
      </w:r>
      <w:r w:rsidR="005A6058">
        <w:rPr>
          <w:i/>
          <w:color w:val="FF0000"/>
        </w:rPr>
        <w:t>.</w:t>
      </w:r>
    </w:p>
    <w:p w14:paraId="7B5B428F" w14:textId="1E4880CE" w:rsidR="005A6058" w:rsidRDefault="005A6058" w:rsidP="00C36689">
      <w:pPr>
        <w:spacing w:line="360" w:lineRule="auto"/>
        <w:jc w:val="both"/>
        <w:rPr>
          <w:i/>
          <w:color w:val="FF0000"/>
        </w:rPr>
      </w:pPr>
      <w:r w:rsidRPr="005A6058">
        <w:rPr>
          <w:i/>
          <w:color w:val="FF0000"/>
        </w:rPr>
        <w:t>Go back into the presentations for the subgroups like for culprit drugs - ? Polypharmacy and multi-morbidity group present differently?</w:t>
      </w:r>
    </w:p>
    <w:tbl>
      <w:tblPr>
        <w:tblW w:w="9554" w:type="dxa"/>
        <w:tblLook w:val="04A0" w:firstRow="1" w:lastRow="0" w:firstColumn="1" w:lastColumn="0" w:noHBand="0" w:noVBand="1"/>
      </w:tblPr>
      <w:tblGrid>
        <w:gridCol w:w="3397"/>
        <w:gridCol w:w="1391"/>
        <w:gridCol w:w="2437"/>
        <w:gridCol w:w="2329"/>
      </w:tblGrid>
      <w:tr w:rsidR="00B24B98" w:rsidRPr="00B6751D" w14:paraId="4A830CAD" w14:textId="77777777" w:rsidTr="00A94054">
        <w:trPr>
          <w:trHeight w:val="580"/>
        </w:trPr>
        <w:tc>
          <w:tcPr>
            <w:tcW w:w="3397"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73043A6" w14:textId="4C86038C" w:rsidR="00B24B98" w:rsidRPr="00B6751D" w:rsidRDefault="00B24B98" w:rsidP="00A94054">
            <w:pPr>
              <w:spacing w:after="0" w:line="240" w:lineRule="auto"/>
              <w:rPr>
                <w:rFonts w:ascii="Calibri" w:eastAsia="Times New Roman" w:hAnsi="Calibri" w:cs="Calibri"/>
                <w:b/>
                <w:bCs/>
                <w:color w:val="000000"/>
                <w:u w:val="single"/>
                <w:lang w:eastAsia="en-GB"/>
              </w:rPr>
            </w:pPr>
            <w:commentRangeStart w:id="22"/>
            <w:r>
              <w:rPr>
                <w:rFonts w:ascii="Calibri" w:eastAsia="Times New Roman" w:hAnsi="Calibri" w:cs="Calibri"/>
                <w:b/>
                <w:bCs/>
                <w:color w:val="000000"/>
                <w:u w:val="single"/>
                <w:lang w:eastAsia="en-GB"/>
              </w:rPr>
              <w:t xml:space="preserve">Author reported ADR </w:t>
            </w:r>
            <w:commentRangeEnd w:id="22"/>
            <w:r>
              <w:rPr>
                <w:rStyle w:val="CommentReference"/>
              </w:rPr>
              <w:commentReference w:id="22"/>
            </w:r>
          </w:p>
        </w:tc>
        <w:tc>
          <w:tcPr>
            <w:tcW w:w="1391" w:type="dxa"/>
            <w:tcBorders>
              <w:top w:val="single" w:sz="4" w:space="0" w:color="auto"/>
              <w:left w:val="nil"/>
              <w:bottom w:val="single" w:sz="4" w:space="0" w:color="auto"/>
              <w:right w:val="single" w:sz="4" w:space="0" w:color="auto"/>
            </w:tcBorders>
            <w:shd w:val="clear" w:color="auto" w:fill="auto"/>
            <w:noWrap/>
            <w:vAlign w:val="bottom"/>
            <w:hideMark/>
          </w:tcPr>
          <w:p w14:paraId="619FF4D2" w14:textId="77777777" w:rsidR="00B24B98" w:rsidRPr="00B6751D" w:rsidRDefault="00B24B98" w:rsidP="00A94054">
            <w:pPr>
              <w:spacing w:after="0" w:line="240" w:lineRule="auto"/>
              <w:rPr>
                <w:rFonts w:ascii="Calibri" w:eastAsia="Times New Roman" w:hAnsi="Calibri" w:cs="Calibri"/>
                <w:b/>
                <w:bCs/>
                <w:color w:val="000000"/>
                <w:lang w:eastAsia="en-GB"/>
              </w:rPr>
            </w:pPr>
            <w:r w:rsidRPr="00B6751D">
              <w:rPr>
                <w:rFonts w:ascii="Calibri" w:eastAsia="Times New Roman" w:hAnsi="Calibri" w:cs="Calibri"/>
                <w:b/>
                <w:bCs/>
                <w:color w:val="000000"/>
                <w:lang w:eastAsia="en-GB"/>
              </w:rPr>
              <w:t>Total per ADR Presentation</w:t>
            </w:r>
          </w:p>
        </w:tc>
        <w:tc>
          <w:tcPr>
            <w:tcW w:w="2437" w:type="dxa"/>
            <w:tcBorders>
              <w:top w:val="single" w:sz="4" w:space="0" w:color="auto"/>
              <w:left w:val="nil"/>
              <w:bottom w:val="single" w:sz="4" w:space="0" w:color="auto"/>
              <w:right w:val="single" w:sz="4" w:space="0" w:color="auto"/>
            </w:tcBorders>
          </w:tcPr>
          <w:p w14:paraId="507FFAFF" w14:textId="77777777" w:rsidR="00B24B98" w:rsidRDefault="00B24B98" w:rsidP="00A94054">
            <w:pPr>
              <w:spacing w:after="0"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 xml:space="preserve">WHO-ART </w:t>
            </w:r>
          </w:p>
        </w:tc>
        <w:tc>
          <w:tcPr>
            <w:tcW w:w="2329" w:type="dxa"/>
            <w:tcBorders>
              <w:top w:val="single" w:sz="4" w:space="0" w:color="auto"/>
              <w:left w:val="single" w:sz="4" w:space="0" w:color="auto"/>
              <w:bottom w:val="single" w:sz="4" w:space="0" w:color="auto"/>
              <w:right w:val="single" w:sz="4" w:space="0" w:color="auto"/>
            </w:tcBorders>
          </w:tcPr>
          <w:p w14:paraId="58CCF941" w14:textId="77777777" w:rsidR="00B24B98" w:rsidRPr="00B6751D" w:rsidRDefault="00B24B98" w:rsidP="00A94054">
            <w:pPr>
              <w:spacing w:after="0"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MedDRA Classification (where possible)</w:t>
            </w:r>
          </w:p>
        </w:tc>
      </w:tr>
      <w:tr w:rsidR="00B24B98" w:rsidRPr="00B6751D" w14:paraId="59E154FC" w14:textId="77777777" w:rsidTr="00A94054">
        <w:trPr>
          <w:trHeight w:val="290"/>
        </w:trPr>
        <w:tc>
          <w:tcPr>
            <w:tcW w:w="3397" w:type="dxa"/>
            <w:tcBorders>
              <w:top w:val="nil"/>
              <w:left w:val="single" w:sz="4" w:space="0" w:color="auto"/>
              <w:bottom w:val="single" w:sz="4" w:space="0" w:color="auto"/>
              <w:right w:val="single" w:sz="4" w:space="0" w:color="auto"/>
            </w:tcBorders>
            <w:shd w:val="clear" w:color="auto" w:fill="auto"/>
            <w:noWrap/>
            <w:vAlign w:val="bottom"/>
            <w:hideMark/>
          </w:tcPr>
          <w:p w14:paraId="208A2F6D" w14:textId="77777777" w:rsidR="00B24B98" w:rsidRPr="00B6751D" w:rsidRDefault="00B24B98" w:rsidP="00A94054">
            <w:pPr>
              <w:spacing w:after="0" w:line="240" w:lineRule="auto"/>
              <w:rPr>
                <w:rFonts w:ascii="Calibri" w:eastAsia="Times New Roman" w:hAnsi="Calibri" w:cs="Calibri"/>
                <w:b/>
                <w:color w:val="000000"/>
                <w:lang w:eastAsia="en-GB"/>
              </w:rPr>
            </w:pPr>
            <w:r w:rsidRPr="00B6751D">
              <w:rPr>
                <w:rFonts w:ascii="Calibri" w:eastAsia="Times New Roman" w:hAnsi="Calibri" w:cs="Calibri"/>
                <w:b/>
                <w:color w:val="000000"/>
                <w:lang w:eastAsia="en-GB"/>
              </w:rPr>
              <w:t>TOTAL ADRs per paper</w:t>
            </w:r>
          </w:p>
        </w:tc>
        <w:tc>
          <w:tcPr>
            <w:tcW w:w="1391" w:type="dxa"/>
            <w:tcBorders>
              <w:top w:val="nil"/>
              <w:left w:val="nil"/>
              <w:bottom w:val="single" w:sz="4" w:space="0" w:color="auto"/>
              <w:right w:val="single" w:sz="4" w:space="0" w:color="auto"/>
            </w:tcBorders>
            <w:shd w:val="clear" w:color="auto" w:fill="auto"/>
            <w:noWrap/>
            <w:vAlign w:val="bottom"/>
            <w:hideMark/>
          </w:tcPr>
          <w:p w14:paraId="704A359F" w14:textId="77777777" w:rsidR="00B24B98" w:rsidRPr="00B6751D" w:rsidRDefault="00B24B98" w:rsidP="00A94054">
            <w:pPr>
              <w:spacing w:after="0" w:line="240" w:lineRule="auto"/>
              <w:jc w:val="right"/>
              <w:rPr>
                <w:rFonts w:ascii="Calibri" w:eastAsia="Times New Roman" w:hAnsi="Calibri" w:cs="Calibri"/>
                <w:b/>
                <w:color w:val="000000"/>
                <w:lang w:eastAsia="en-GB"/>
              </w:rPr>
            </w:pPr>
            <w:r w:rsidRPr="00B6751D">
              <w:rPr>
                <w:rFonts w:ascii="Calibri" w:eastAsia="Times New Roman" w:hAnsi="Calibri" w:cs="Calibri"/>
                <w:b/>
                <w:color w:val="000000"/>
                <w:lang w:eastAsia="en-GB"/>
              </w:rPr>
              <w:t>2725</w:t>
            </w:r>
          </w:p>
        </w:tc>
        <w:tc>
          <w:tcPr>
            <w:tcW w:w="2437" w:type="dxa"/>
            <w:tcBorders>
              <w:top w:val="single" w:sz="4" w:space="0" w:color="auto"/>
              <w:left w:val="nil"/>
              <w:bottom w:val="single" w:sz="4" w:space="0" w:color="auto"/>
              <w:right w:val="single" w:sz="4" w:space="0" w:color="auto"/>
            </w:tcBorders>
          </w:tcPr>
          <w:p w14:paraId="69F80A79" w14:textId="77777777" w:rsidR="00B24B98" w:rsidRPr="00B6751D" w:rsidRDefault="00B24B98" w:rsidP="00A94054">
            <w:pPr>
              <w:spacing w:after="0" w:line="240" w:lineRule="auto"/>
              <w:jc w:val="right"/>
              <w:rPr>
                <w:rFonts w:ascii="Calibri" w:eastAsia="Times New Roman" w:hAnsi="Calibri" w:cs="Calibri"/>
                <w:b/>
                <w:color w:val="000000"/>
                <w:lang w:eastAsia="en-GB"/>
              </w:rPr>
            </w:pPr>
          </w:p>
        </w:tc>
        <w:tc>
          <w:tcPr>
            <w:tcW w:w="2329" w:type="dxa"/>
            <w:tcBorders>
              <w:top w:val="nil"/>
              <w:left w:val="single" w:sz="4" w:space="0" w:color="auto"/>
              <w:bottom w:val="single" w:sz="4" w:space="0" w:color="auto"/>
              <w:right w:val="single" w:sz="4" w:space="0" w:color="auto"/>
            </w:tcBorders>
          </w:tcPr>
          <w:p w14:paraId="6BB6AB95" w14:textId="77777777" w:rsidR="00B24B98" w:rsidRPr="00B6751D" w:rsidRDefault="00B24B98" w:rsidP="00A94054">
            <w:pPr>
              <w:spacing w:after="0" w:line="240" w:lineRule="auto"/>
              <w:jc w:val="right"/>
              <w:rPr>
                <w:rFonts w:ascii="Calibri" w:eastAsia="Times New Roman" w:hAnsi="Calibri" w:cs="Calibri"/>
                <w:b/>
                <w:color w:val="000000"/>
                <w:lang w:eastAsia="en-GB"/>
              </w:rPr>
            </w:pPr>
          </w:p>
        </w:tc>
      </w:tr>
      <w:tr w:rsidR="00B24B98" w:rsidRPr="00B6751D" w14:paraId="2005FC54" w14:textId="77777777" w:rsidTr="00A94054">
        <w:trPr>
          <w:trHeight w:val="290"/>
        </w:trPr>
        <w:tc>
          <w:tcPr>
            <w:tcW w:w="3397" w:type="dxa"/>
            <w:tcBorders>
              <w:top w:val="nil"/>
              <w:left w:val="single" w:sz="4" w:space="0" w:color="auto"/>
              <w:bottom w:val="single" w:sz="4" w:space="0" w:color="auto"/>
              <w:right w:val="single" w:sz="4" w:space="0" w:color="auto"/>
            </w:tcBorders>
            <w:shd w:val="clear" w:color="auto" w:fill="auto"/>
            <w:vAlign w:val="bottom"/>
            <w:hideMark/>
          </w:tcPr>
          <w:p w14:paraId="34862A14" w14:textId="77777777" w:rsidR="00B24B98" w:rsidRPr="00B6751D" w:rsidRDefault="00B24B98" w:rsidP="00A94054">
            <w:pPr>
              <w:spacing w:after="0" w:line="240" w:lineRule="auto"/>
              <w:rPr>
                <w:rFonts w:ascii="Calibri" w:eastAsia="Times New Roman" w:hAnsi="Calibri" w:cs="Calibri"/>
                <w:color w:val="000000"/>
                <w:lang w:eastAsia="en-GB"/>
              </w:rPr>
            </w:pPr>
            <w:r w:rsidRPr="00B6751D">
              <w:rPr>
                <w:rFonts w:ascii="Calibri" w:eastAsia="Times New Roman" w:hAnsi="Calibri" w:cs="Calibri"/>
                <w:color w:val="000000"/>
                <w:lang w:eastAsia="en-GB"/>
              </w:rPr>
              <w:t>hypokalaemia</w:t>
            </w:r>
          </w:p>
        </w:tc>
        <w:tc>
          <w:tcPr>
            <w:tcW w:w="1391" w:type="dxa"/>
            <w:tcBorders>
              <w:top w:val="nil"/>
              <w:left w:val="nil"/>
              <w:bottom w:val="single" w:sz="4" w:space="0" w:color="auto"/>
              <w:right w:val="single" w:sz="4" w:space="0" w:color="auto"/>
            </w:tcBorders>
            <w:shd w:val="clear" w:color="auto" w:fill="auto"/>
            <w:noWrap/>
            <w:vAlign w:val="bottom"/>
            <w:hideMark/>
          </w:tcPr>
          <w:p w14:paraId="1A0915A3" w14:textId="77777777" w:rsidR="00B24B98" w:rsidRPr="00B6751D" w:rsidRDefault="00B24B98" w:rsidP="00A94054">
            <w:pPr>
              <w:spacing w:after="0" w:line="240" w:lineRule="auto"/>
              <w:jc w:val="right"/>
              <w:rPr>
                <w:rFonts w:ascii="Calibri" w:eastAsia="Times New Roman" w:hAnsi="Calibri" w:cs="Calibri"/>
                <w:color w:val="000000"/>
                <w:lang w:eastAsia="en-GB"/>
              </w:rPr>
            </w:pPr>
            <w:r w:rsidRPr="00B6751D">
              <w:rPr>
                <w:rFonts w:ascii="Calibri" w:eastAsia="Times New Roman" w:hAnsi="Calibri" w:cs="Calibri"/>
                <w:color w:val="000000"/>
                <w:lang w:eastAsia="en-GB"/>
              </w:rPr>
              <w:t>275</w:t>
            </w:r>
          </w:p>
        </w:tc>
        <w:tc>
          <w:tcPr>
            <w:tcW w:w="2437" w:type="dxa"/>
            <w:tcBorders>
              <w:top w:val="single" w:sz="4" w:space="0" w:color="auto"/>
              <w:left w:val="nil"/>
              <w:bottom w:val="single" w:sz="4" w:space="0" w:color="auto"/>
              <w:right w:val="single" w:sz="4" w:space="0" w:color="auto"/>
            </w:tcBorders>
          </w:tcPr>
          <w:p w14:paraId="698FD5EB"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c>
          <w:tcPr>
            <w:tcW w:w="2329" w:type="dxa"/>
            <w:tcBorders>
              <w:top w:val="nil"/>
              <w:left w:val="single" w:sz="4" w:space="0" w:color="auto"/>
              <w:bottom w:val="single" w:sz="4" w:space="0" w:color="auto"/>
              <w:right w:val="single" w:sz="4" w:space="0" w:color="auto"/>
            </w:tcBorders>
          </w:tcPr>
          <w:p w14:paraId="4E0E920E"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r>
      <w:tr w:rsidR="00B24B98" w:rsidRPr="00B6751D" w14:paraId="3B89112A" w14:textId="77777777" w:rsidTr="00A94054">
        <w:trPr>
          <w:trHeight w:val="290"/>
        </w:trPr>
        <w:tc>
          <w:tcPr>
            <w:tcW w:w="3397" w:type="dxa"/>
            <w:tcBorders>
              <w:top w:val="nil"/>
              <w:left w:val="single" w:sz="4" w:space="0" w:color="auto"/>
              <w:bottom w:val="single" w:sz="4" w:space="0" w:color="auto"/>
              <w:right w:val="single" w:sz="4" w:space="0" w:color="auto"/>
            </w:tcBorders>
            <w:shd w:val="clear" w:color="auto" w:fill="auto"/>
            <w:vAlign w:val="bottom"/>
            <w:hideMark/>
          </w:tcPr>
          <w:p w14:paraId="20ADE2CE" w14:textId="77777777" w:rsidR="00B24B98" w:rsidRPr="00B6751D" w:rsidRDefault="00B24B98" w:rsidP="00A94054">
            <w:pPr>
              <w:spacing w:after="0" w:line="240" w:lineRule="auto"/>
              <w:rPr>
                <w:rFonts w:ascii="Calibri" w:eastAsia="Times New Roman" w:hAnsi="Calibri" w:cs="Calibri"/>
                <w:color w:val="000000"/>
                <w:lang w:eastAsia="en-GB"/>
              </w:rPr>
            </w:pPr>
            <w:r w:rsidRPr="00B6751D">
              <w:rPr>
                <w:rFonts w:ascii="Calibri" w:eastAsia="Times New Roman" w:hAnsi="Calibri" w:cs="Calibri"/>
                <w:color w:val="000000"/>
                <w:lang w:eastAsia="en-GB"/>
              </w:rPr>
              <w:t>constipation</w:t>
            </w:r>
          </w:p>
        </w:tc>
        <w:tc>
          <w:tcPr>
            <w:tcW w:w="1391" w:type="dxa"/>
            <w:tcBorders>
              <w:top w:val="nil"/>
              <w:left w:val="nil"/>
              <w:bottom w:val="single" w:sz="4" w:space="0" w:color="auto"/>
              <w:right w:val="single" w:sz="4" w:space="0" w:color="auto"/>
            </w:tcBorders>
            <w:shd w:val="clear" w:color="auto" w:fill="auto"/>
            <w:noWrap/>
            <w:vAlign w:val="bottom"/>
            <w:hideMark/>
          </w:tcPr>
          <w:p w14:paraId="49E2CCD5" w14:textId="77777777" w:rsidR="00B24B98" w:rsidRPr="00B6751D" w:rsidRDefault="00B24B98" w:rsidP="00A94054">
            <w:pPr>
              <w:spacing w:after="0" w:line="240" w:lineRule="auto"/>
              <w:jc w:val="right"/>
              <w:rPr>
                <w:rFonts w:ascii="Calibri" w:eastAsia="Times New Roman" w:hAnsi="Calibri" w:cs="Calibri"/>
                <w:color w:val="000000"/>
                <w:lang w:eastAsia="en-GB"/>
              </w:rPr>
            </w:pPr>
            <w:r w:rsidRPr="00B6751D">
              <w:rPr>
                <w:rFonts w:ascii="Calibri" w:eastAsia="Times New Roman" w:hAnsi="Calibri" w:cs="Calibri"/>
                <w:color w:val="000000"/>
                <w:lang w:eastAsia="en-GB"/>
              </w:rPr>
              <w:t>254</w:t>
            </w:r>
          </w:p>
        </w:tc>
        <w:tc>
          <w:tcPr>
            <w:tcW w:w="2437" w:type="dxa"/>
            <w:tcBorders>
              <w:top w:val="single" w:sz="4" w:space="0" w:color="auto"/>
              <w:left w:val="nil"/>
              <w:bottom w:val="single" w:sz="4" w:space="0" w:color="auto"/>
              <w:right w:val="single" w:sz="4" w:space="0" w:color="auto"/>
            </w:tcBorders>
          </w:tcPr>
          <w:p w14:paraId="1CD8D29C"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c>
          <w:tcPr>
            <w:tcW w:w="2329" w:type="dxa"/>
            <w:tcBorders>
              <w:top w:val="nil"/>
              <w:left w:val="single" w:sz="4" w:space="0" w:color="auto"/>
              <w:bottom w:val="single" w:sz="4" w:space="0" w:color="auto"/>
              <w:right w:val="single" w:sz="4" w:space="0" w:color="auto"/>
            </w:tcBorders>
          </w:tcPr>
          <w:p w14:paraId="45146C3C"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r>
      <w:tr w:rsidR="00B24B98" w:rsidRPr="00B6751D" w14:paraId="0C4A3726" w14:textId="77777777" w:rsidTr="00A94054">
        <w:trPr>
          <w:trHeight w:val="290"/>
        </w:trPr>
        <w:tc>
          <w:tcPr>
            <w:tcW w:w="3397" w:type="dxa"/>
            <w:tcBorders>
              <w:top w:val="nil"/>
              <w:left w:val="single" w:sz="4" w:space="0" w:color="auto"/>
              <w:bottom w:val="single" w:sz="4" w:space="0" w:color="auto"/>
              <w:right w:val="single" w:sz="4" w:space="0" w:color="auto"/>
            </w:tcBorders>
            <w:shd w:val="clear" w:color="auto" w:fill="auto"/>
            <w:vAlign w:val="bottom"/>
            <w:hideMark/>
          </w:tcPr>
          <w:p w14:paraId="14644A28" w14:textId="77777777" w:rsidR="00B24B98" w:rsidRPr="00B6751D" w:rsidRDefault="00B24B98" w:rsidP="00A94054">
            <w:pPr>
              <w:spacing w:after="0" w:line="240" w:lineRule="auto"/>
              <w:rPr>
                <w:rFonts w:ascii="Calibri" w:eastAsia="Times New Roman" w:hAnsi="Calibri" w:cs="Calibri"/>
                <w:color w:val="000000"/>
                <w:lang w:eastAsia="en-GB"/>
              </w:rPr>
            </w:pPr>
            <w:r w:rsidRPr="00B6751D">
              <w:rPr>
                <w:rFonts w:ascii="Calibri" w:eastAsia="Times New Roman" w:hAnsi="Calibri" w:cs="Calibri"/>
                <w:color w:val="000000"/>
                <w:lang w:eastAsia="en-GB"/>
              </w:rPr>
              <w:t>AKI</w:t>
            </w:r>
          </w:p>
        </w:tc>
        <w:tc>
          <w:tcPr>
            <w:tcW w:w="1391" w:type="dxa"/>
            <w:tcBorders>
              <w:top w:val="nil"/>
              <w:left w:val="nil"/>
              <w:bottom w:val="single" w:sz="4" w:space="0" w:color="auto"/>
              <w:right w:val="single" w:sz="4" w:space="0" w:color="auto"/>
            </w:tcBorders>
            <w:shd w:val="clear" w:color="auto" w:fill="auto"/>
            <w:noWrap/>
            <w:vAlign w:val="bottom"/>
            <w:hideMark/>
          </w:tcPr>
          <w:p w14:paraId="667DA876" w14:textId="77777777" w:rsidR="00B24B98" w:rsidRPr="00B6751D" w:rsidRDefault="00B24B98" w:rsidP="00A94054">
            <w:pPr>
              <w:spacing w:after="0" w:line="240" w:lineRule="auto"/>
              <w:jc w:val="right"/>
              <w:rPr>
                <w:rFonts w:ascii="Calibri" w:eastAsia="Times New Roman" w:hAnsi="Calibri" w:cs="Calibri"/>
                <w:color w:val="000000"/>
                <w:lang w:eastAsia="en-GB"/>
              </w:rPr>
            </w:pPr>
            <w:r w:rsidRPr="00B6751D">
              <w:rPr>
                <w:rFonts w:ascii="Calibri" w:eastAsia="Times New Roman" w:hAnsi="Calibri" w:cs="Calibri"/>
                <w:color w:val="000000"/>
                <w:lang w:eastAsia="en-GB"/>
              </w:rPr>
              <w:t>148</w:t>
            </w:r>
          </w:p>
        </w:tc>
        <w:tc>
          <w:tcPr>
            <w:tcW w:w="2437" w:type="dxa"/>
            <w:tcBorders>
              <w:top w:val="single" w:sz="4" w:space="0" w:color="auto"/>
              <w:left w:val="nil"/>
              <w:bottom w:val="single" w:sz="4" w:space="0" w:color="auto"/>
              <w:right w:val="single" w:sz="4" w:space="0" w:color="auto"/>
            </w:tcBorders>
          </w:tcPr>
          <w:p w14:paraId="7DB49F17"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c>
          <w:tcPr>
            <w:tcW w:w="2329" w:type="dxa"/>
            <w:tcBorders>
              <w:top w:val="nil"/>
              <w:left w:val="single" w:sz="4" w:space="0" w:color="auto"/>
              <w:bottom w:val="single" w:sz="4" w:space="0" w:color="auto"/>
              <w:right w:val="single" w:sz="4" w:space="0" w:color="auto"/>
            </w:tcBorders>
          </w:tcPr>
          <w:p w14:paraId="15482899"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r>
      <w:tr w:rsidR="00B24B98" w:rsidRPr="00B6751D" w14:paraId="16761E61" w14:textId="77777777" w:rsidTr="00A94054">
        <w:trPr>
          <w:trHeight w:val="290"/>
        </w:trPr>
        <w:tc>
          <w:tcPr>
            <w:tcW w:w="3397" w:type="dxa"/>
            <w:tcBorders>
              <w:top w:val="nil"/>
              <w:left w:val="single" w:sz="4" w:space="0" w:color="auto"/>
              <w:bottom w:val="single" w:sz="4" w:space="0" w:color="auto"/>
              <w:right w:val="single" w:sz="4" w:space="0" w:color="auto"/>
            </w:tcBorders>
            <w:shd w:val="clear" w:color="auto" w:fill="auto"/>
            <w:vAlign w:val="bottom"/>
            <w:hideMark/>
          </w:tcPr>
          <w:p w14:paraId="16325DD0" w14:textId="77777777" w:rsidR="00B24B98" w:rsidRPr="00B6751D" w:rsidRDefault="00B24B98" w:rsidP="00A94054">
            <w:pPr>
              <w:spacing w:after="0" w:line="240" w:lineRule="auto"/>
              <w:rPr>
                <w:rFonts w:ascii="Calibri" w:eastAsia="Times New Roman" w:hAnsi="Calibri" w:cs="Calibri"/>
                <w:color w:val="000000"/>
                <w:lang w:eastAsia="en-GB"/>
              </w:rPr>
            </w:pPr>
            <w:r w:rsidRPr="00B6751D">
              <w:rPr>
                <w:rFonts w:ascii="Calibri" w:eastAsia="Times New Roman" w:hAnsi="Calibri" w:cs="Calibri"/>
                <w:color w:val="000000"/>
                <w:lang w:eastAsia="en-GB"/>
              </w:rPr>
              <w:t>Diarrhea</w:t>
            </w:r>
          </w:p>
        </w:tc>
        <w:tc>
          <w:tcPr>
            <w:tcW w:w="1391" w:type="dxa"/>
            <w:tcBorders>
              <w:top w:val="nil"/>
              <w:left w:val="nil"/>
              <w:bottom w:val="single" w:sz="4" w:space="0" w:color="auto"/>
              <w:right w:val="single" w:sz="4" w:space="0" w:color="auto"/>
            </w:tcBorders>
            <w:shd w:val="clear" w:color="auto" w:fill="auto"/>
            <w:noWrap/>
            <w:vAlign w:val="bottom"/>
            <w:hideMark/>
          </w:tcPr>
          <w:p w14:paraId="2545A019" w14:textId="77777777" w:rsidR="00B24B98" w:rsidRPr="00B6751D" w:rsidRDefault="00B24B98" w:rsidP="00A94054">
            <w:pPr>
              <w:spacing w:after="0" w:line="240" w:lineRule="auto"/>
              <w:jc w:val="right"/>
              <w:rPr>
                <w:rFonts w:ascii="Calibri" w:eastAsia="Times New Roman" w:hAnsi="Calibri" w:cs="Calibri"/>
                <w:color w:val="000000"/>
                <w:lang w:eastAsia="en-GB"/>
              </w:rPr>
            </w:pPr>
            <w:r w:rsidRPr="00B6751D">
              <w:rPr>
                <w:rFonts w:ascii="Calibri" w:eastAsia="Times New Roman" w:hAnsi="Calibri" w:cs="Calibri"/>
                <w:color w:val="000000"/>
                <w:lang w:eastAsia="en-GB"/>
              </w:rPr>
              <w:t>138</w:t>
            </w:r>
          </w:p>
        </w:tc>
        <w:tc>
          <w:tcPr>
            <w:tcW w:w="2437" w:type="dxa"/>
            <w:tcBorders>
              <w:top w:val="single" w:sz="4" w:space="0" w:color="auto"/>
              <w:left w:val="nil"/>
              <w:bottom w:val="single" w:sz="4" w:space="0" w:color="auto"/>
              <w:right w:val="single" w:sz="4" w:space="0" w:color="auto"/>
            </w:tcBorders>
          </w:tcPr>
          <w:p w14:paraId="7B1BA703"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c>
          <w:tcPr>
            <w:tcW w:w="2329" w:type="dxa"/>
            <w:tcBorders>
              <w:top w:val="nil"/>
              <w:left w:val="single" w:sz="4" w:space="0" w:color="auto"/>
              <w:bottom w:val="single" w:sz="4" w:space="0" w:color="auto"/>
              <w:right w:val="single" w:sz="4" w:space="0" w:color="auto"/>
            </w:tcBorders>
          </w:tcPr>
          <w:p w14:paraId="6EE30650"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r>
      <w:tr w:rsidR="00B24B98" w:rsidRPr="00B6751D" w14:paraId="7EABD66A" w14:textId="77777777" w:rsidTr="00A94054">
        <w:trPr>
          <w:trHeight w:val="290"/>
        </w:trPr>
        <w:tc>
          <w:tcPr>
            <w:tcW w:w="3397" w:type="dxa"/>
            <w:tcBorders>
              <w:top w:val="nil"/>
              <w:left w:val="single" w:sz="4" w:space="0" w:color="auto"/>
              <w:bottom w:val="single" w:sz="4" w:space="0" w:color="auto"/>
              <w:right w:val="single" w:sz="4" w:space="0" w:color="auto"/>
            </w:tcBorders>
            <w:shd w:val="clear" w:color="auto" w:fill="auto"/>
            <w:noWrap/>
            <w:vAlign w:val="center"/>
            <w:hideMark/>
          </w:tcPr>
          <w:p w14:paraId="4C7837B2" w14:textId="77777777" w:rsidR="00B24B98" w:rsidRPr="00B6751D" w:rsidRDefault="00B24B98" w:rsidP="00A94054">
            <w:pPr>
              <w:spacing w:after="0" w:line="240" w:lineRule="auto"/>
              <w:rPr>
                <w:rFonts w:ascii="Calibri" w:eastAsia="Times New Roman" w:hAnsi="Calibri" w:cs="Calibri"/>
                <w:color w:val="000000"/>
                <w:lang w:eastAsia="en-GB"/>
              </w:rPr>
            </w:pPr>
            <w:r w:rsidRPr="00B6751D">
              <w:rPr>
                <w:rFonts w:ascii="Calibri" w:eastAsia="Times New Roman" w:hAnsi="Calibri" w:cs="Calibri"/>
                <w:color w:val="000000"/>
                <w:lang w:eastAsia="en-GB"/>
              </w:rPr>
              <w:t xml:space="preserve">cardiovascular and arrhythmic complications </w:t>
            </w:r>
          </w:p>
        </w:tc>
        <w:tc>
          <w:tcPr>
            <w:tcW w:w="1391" w:type="dxa"/>
            <w:tcBorders>
              <w:top w:val="nil"/>
              <w:left w:val="nil"/>
              <w:bottom w:val="single" w:sz="4" w:space="0" w:color="auto"/>
              <w:right w:val="single" w:sz="4" w:space="0" w:color="auto"/>
            </w:tcBorders>
            <w:shd w:val="clear" w:color="auto" w:fill="auto"/>
            <w:noWrap/>
            <w:vAlign w:val="bottom"/>
            <w:hideMark/>
          </w:tcPr>
          <w:p w14:paraId="3AFD73F1" w14:textId="77777777" w:rsidR="00B24B98" w:rsidRPr="00B6751D" w:rsidRDefault="00B24B98" w:rsidP="00A94054">
            <w:pPr>
              <w:spacing w:after="0" w:line="240" w:lineRule="auto"/>
              <w:jc w:val="right"/>
              <w:rPr>
                <w:rFonts w:ascii="Calibri" w:eastAsia="Times New Roman" w:hAnsi="Calibri" w:cs="Calibri"/>
                <w:color w:val="000000"/>
                <w:lang w:eastAsia="en-GB"/>
              </w:rPr>
            </w:pPr>
            <w:r w:rsidRPr="00B6751D">
              <w:rPr>
                <w:rFonts w:ascii="Calibri" w:eastAsia="Times New Roman" w:hAnsi="Calibri" w:cs="Calibri"/>
                <w:color w:val="000000"/>
                <w:lang w:eastAsia="en-GB"/>
              </w:rPr>
              <w:t>97</w:t>
            </w:r>
          </w:p>
        </w:tc>
        <w:tc>
          <w:tcPr>
            <w:tcW w:w="2437" w:type="dxa"/>
            <w:tcBorders>
              <w:top w:val="single" w:sz="4" w:space="0" w:color="auto"/>
              <w:left w:val="nil"/>
              <w:bottom w:val="single" w:sz="4" w:space="0" w:color="auto"/>
              <w:right w:val="single" w:sz="4" w:space="0" w:color="auto"/>
            </w:tcBorders>
          </w:tcPr>
          <w:p w14:paraId="2855BAF2"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c>
          <w:tcPr>
            <w:tcW w:w="2329" w:type="dxa"/>
            <w:tcBorders>
              <w:top w:val="nil"/>
              <w:left w:val="single" w:sz="4" w:space="0" w:color="auto"/>
              <w:bottom w:val="single" w:sz="4" w:space="0" w:color="auto"/>
              <w:right w:val="single" w:sz="4" w:space="0" w:color="auto"/>
            </w:tcBorders>
          </w:tcPr>
          <w:p w14:paraId="7BF199F2"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r>
      <w:tr w:rsidR="00B24B98" w:rsidRPr="00B6751D" w14:paraId="61D5BCB7" w14:textId="77777777" w:rsidTr="00A94054">
        <w:trPr>
          <w:trHeight w:val="290"/>
        </w:trPr>
        <w:tc>
          <w:tcPr>
            <w:tcW w:w="3397" w:type="dxa"/>
            <w:tcBorders>
              <w:top w:val="nil"/>
              <w:left w:val="single" w:sz="4" w:space="0" w:color="auto"/>
              <w:bottom w:val="single" w:sz="4" w:space="0" w:color="auto"/>
              <w:right w:val="single" w:sz="4" w:space="0" w:color="auto"/>
            </w:tcBorders>
            <w:shd w:val="clear" w:color="auto" w:fill="auto"/>
            <w:vAlign w:val="bottom"/>
            <w:hideMark/>
          </w:tcPr>
          <w:p w14:paraId="214DAA4E" w14:textId="77777777" w:rsidR="00B24B98" w:rsidRPr="00B6751D" w:rsidRDefault="00B24B98" w:rsidP="00A94054">
            <w:pPr>
              <w:spacing w:after="0" w:line="240" w:lineRule="auto"/>
              <w:rPr>
                <w:rFonts w:ascii="Calibri" w:eastAsia="Times New Roman" w:hAnsi="Calibri" w:cs="Calibri"/>
                <w:color w:val="000000"/>
                <w:lang w:eastAsia="en-GB"/>
              </w:rPr>
            </w:pPr>
            <w:r w:rsidRPr="00B6751D">
              <w:rPr>
                <w:rFonts w:ascii="Calibri" w:eastAsia="Times New Roman" w:hAnsi="Calibri" w:cs="Calibri"/>
                <w:color w:val="000000"/>
                <w:lang w:eastAsia="en-GB"/>
              </w:rPr>
              <w:t>INR increase</w:t>
            </w:r>
          </w:p>
        </w:tc>
        <w:tc>
          <w:tcPr>
            <w:tcW w:w="1391" w:type="dxa"/>
            <w:tcBorders>
              <w:top w:val="nil"/>
              <w:left w:val="nil"/>
              <w:bottom w:val="single" w:sz="4" w:space="0" w:color="auto"/>
              <w:right w:val="single" w:sz="4" w:space="0" w:color="auto"/>
            </w:tcBorders>
            <w:shd w:val="clear" w:color="auto" w:fill="auto"/>
            <w:noWrap/>
            <w:vAlign w:val="bottom"/>
            <w:hideMark/>
          </w:tcPr>
          <w:p w14:paraId="3B8B2750" w14:textId="77777777" w:rsidR="00B24B98" w:rsidRPr="00B6751D" w:rsidRDefault="00B24B98" w:rsidP="00A94054">
            <w:pPr>
              <w:spacing w:after="0" w:line="240" w:lineRule="auto"/>
              <w:jc w:val="right"/>
              <w:rPr>
                <w:rFonts w:ascii="Calibri" w:eastAsia="Times New Roman" w:hAnsi="Calibri" w:cs="Calibri"/>
                <w:color w:val="000000"/>
                <w:lang w:eastAsia="en-GB"/>
              </w:rPr>
            </w:pPr>
            <w:r w:rsidRPr="00B6751D">
              <w:rPr>
                <w:rFonts w:ascii="Calibri" w:eastAsia="Times New Roman" w:hAnsi="Calibri" w:cs="Calibri"/>
                <w:color w:val="000000"/>
                <w:lang w:eastAsia="en-GB"/>
              </w:rPr>
              <w:t>97</w:t>
            </w:r>
          </w:p>
        </w:tc>
        <w:tc>
          <w:tcPr>
            <w:tcW w:w="2437" w:type="dxa"/>
            <w:tcBorders>
              <w:top w:val="single" w:sz="4" w:space="0" w:color="auto"/>
              <w:left w:val="nil"/>
              <w:bottom w:val="single" w:sz="4" w:space="0" w:color="auto"/>
              <w:right w:val="single" w:sz="4" w:space="0" w:color="auto"/>
            </w:tcBorders>
          </w:tcPr>
          <w:p w14:paraId="646FEBA5"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c>
          <w:tcPr>
            <w:tcW w:w="2329" w:type="dxa"/>
            <w:tcBorders>
              <w:top w:val="nil"/>
              <w:left w:val="single" w:sz="4" w:space="0" w:color="auto"/>
              <w:bottom w:val="single" w:sz="4" w:space="0" w:color="auto"/>
              <w:right w:val="single" w:sz="4" w:space="0" w:color="auto"/>
            </w:tcBorders>
          </w:tcPr>
          <w:p w14:paraId="34B01300"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r>
      <w:tr w:rsidR="00B24B98" w:rsidRPr="00B6751D" w14:paraId="05070033" w14:textId="77777777" w:rsidTr="00A94054">
        <w:trPr>
          <w:trHeight w:val="290"/>
        </w:trPr>
        <w:tc>
          <w:tcPr>
            <w:tcW w:w="3397" w:type="dxa"/>
            <w:tcBorders>
              <w:top w:val="nil"/>
              <w:left w:val="single" w:sz="4" w:space="0" w:color="auto"/>
              <w:bottom w:val="single" w:sz="4" w:space="0" w:color="auto"/>
              <w:right w:val="single" w:sz="4" w:space="0" w:color="auto"/>
            </w:tcBorders>
            <w:shd w:val="clear" w:color="auto" w:fill="auto"/>
            <w:vAlign w:val="bottom"/>
            <w:hideMark/>
          </w:tcPr>
          <w:p w14:paraId="5FB5B0E3" w14:textId="77777777" w:rsidR="00B24B98" w:rsidRPr="00B6751D" w:rsidRDefault="00B24B98" w:rsidP="00A94054">
            <w:pPr>
              <w:spacing w:after="0" w:line="240" w:lineRule="auto"/>
              <w:rPr>
                <w:rFonts w:ascii="Calibri" w:eastAsia="Times New Roman" w:hAnsi="Calibri" w:cs="Calibri"/>
                <w:color w:val="000000"/>
                <w:lang w:eastAsia="en-GB"/>
              </w:rPr>
            </w:pPr>
            <w:r w:rsidRPr="00B6751D">
              <w:rPr>
                <w:rFonts w:ascii="Calibri" w:eastAsia="Times New Roman" w:hAnsi="Calibri" w:cs="Calibri"/>
                <w:color w:val="000000"/>
                <w:lang w:eastAsia="en-GB"/>
              </w:rPr>
              <w:t xml:space="preserve">gastrointestinal </w:t>
            </w:r>
          </w:p>
        </w:tc>
        <w:tc>
          <w:tcPr>
            <w:tcW w:w="1391" w:type="dxa"/>
            <w:tcBorders>
              <w:top w:val="nil"/>
              <w:left w:val="nil"/>
              <w:bottom w:val="single" w:sz="4" w:space="0" w:color="auto"/>
              <w:right w:val="single" w:sz="4" w:space="0" w:color="auto"/>
            </w:tcBorders>
            <w:shd w:val="clear" w:color="auto" w:fill="auto"/>
            <w:noWrap/>
            <w:vAlign w:val="bottom"/>
            <w:hideMark/>
          </w:tcPr>
          <w:p w14:paraId="584FF0B2" w14:textId="77777777" w:rsidR="00B24B98" w:rsidRPr="00B6751D" w:rsidRDefault="00B24B98" w:rsidP="00A94054">
            <w:pPr>
              <w:spacing w:after="0" w:line="240" w:lineRule="auto"/>
              <w:jc w:val="right"/>
              <w:rPr>
                <w:rFonts w:ascii="Calibri" w:eastAsia="Times New Roman" w:hAnsi="Calibri" w:cs="Calibri"/>
                <w:color w:val="000000"/>
                <w:lang w:eastAsia="en-GB"/>
              </w:rPr>
            </w:pPr>
            <w:r w:rsidRPr="00B6751D">
              <w:rPr>
                <w:rFonts w:ascii="Calibri" w:eastAsia="Times New Roman" w:hAnsi="Calibri" w:cs="Calibri"/>
                <w:color w:val="000000"/>
                <w:lang w:eastAsia="en-GB"/>
              </w:rPr>
              <w:t>88</w:t>
            </w:r>
          </w:p>
        </w:tc>
        <w:tc>
          <w:tcPr>
            <w:tcW w:w="2437" w:type="dxa"/>
            <w:tcBorders>
              <w:top w:val="single" w:sz="4" w:space="0" w:color="auto"/>
              <w:left w:val="nil"/>
              <w:bottom w:val="single" w:sz="4" w:space="0" w:color="auto"/>
              <w:right w:val="single" w:sz="4" w:space="0" w:color="auto"/>
            </w:tcBorders>
          </w:tcPr>
          <w:p w14:paraId="0DD1BCA7"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c>
          <w:tcPr>
            <w:tcW w:w="2329" w:type="dxa"/>
            <w:tcBorders>
              <w:top w:val="nil"/>
              <w:left w:val="single" w:sz="4" w:space="0" w:color="auto"/>
              <w:bottom w:val="single" w:sz="4" w:space="0" w:color="auto"/>
              <w:right w:val="single" w:sz="4" w:space="0" w:color="auto"/>
            </w:tcBorders>
          </w:tcPr>
          <w:p w14:paraId="423EF9EE"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r>
      <w:tr w:rsidR="00B24B98" w:rsidRPr="00B6751D" w14:paraId="1641C293" w14:textId="77777777" w:rsidTr="00A94054">
        <w:trPr>
          <w:trHeight w:val="290"/>
        </w:trPr>
        <w:tc>
          <w:tcPr>
            <w:tcW w:w="3397" w:type="dxa"/>
            <w:tcBorders>
              <w:top w:val="nil"/>
              <w:left w:val="single" w:sz="4" w:space="0" w:color="auto"/>
              <w:bottom w:val="single" w:sz="4" w:space="0" w:color="auto"/>
              <w:right w:val="single" w:sz="4" w:space="0" w:color="auto"/>
            </w:tcBorders>
            <w:shd w:val="clear" w:color="auto" w:fill="auto"/>
            <w:vAlign w:val="bottom"/>
            <w:hideMark/>
          </w:tcPr>
          <w:p w14:paraId="789F44BE" w14:textId="77777777" w:rsidR="00B24B98" w:rsidRPr="00B6751D" w:rsidRDefault="00B24B98" w:rsidP="00A94054">
            <w:pPr>
              <w:spacing w:after="0" w:line="240" w:lineRule="auto"/>
              <w:rPr>
                <w:rFonts w:ascii="Calibri" w:eastAsia="Times New Roman" w:hAnsi="Calibri" w:cs="Calibri"/>
                <w:color w:val="000000"/>
                <w:lang w:eastAsia="en-GB"/>
              </w:rPr>
            </w:pPr>
            <w:r w:rsidRPr="00B6751D">
              <w:rPr>
                <w:rFonts w:ascii="Calibri" w:eastAsia="Times New Roman" w:hAnsi="Calibri" w:cs="Calibri"/>
                <w:color w:val="000000"/>
                <w:lang w:eastAsia="en-GB"/>
              </w:rPr>
              <w:t>Hypotension</w:t>
            </w:r>
          </w:p>
        </w:tc>
        <w:tc>
          <w:tcPr>
            <w:tcW w:w="1391" w:type="dxa"/>
            <w:tcBorders>
              <w:top w:val="nil"/>
              <w:left w:val="nil"/>
              <w:bottom w:val="single" w:sz="4" w:space="0" w:color="auto"/>
              <w:right w:val="single" w:sz="4" w:space="0" w:color="auto"/>
            </w:tcBorders>
            <w:shd w:val="clear" w:color="auto" w:fill="auto"/>
            <w:noWrap/>
            <w:vAlign w:val="bottom"/>
            <w:hideMark/>
          </w:tcPr>
          <w:p w14:paraId="111D3146" w14:textId="77777777" w:rsidR="00B24B98" w:rsidRPr="00B6751D" w:rsidRDefault="00B24B98" w:rsidP="00A94054">
            <w:pPr>
              <w:spacing w:after="0" w:line="240" w:lineRule="auto"/>
              <w:jc w:val="right"/>
              <w:rPr>
                <w:rFonts w:ascii="Calibri" w:eastAsia="Times New Roman" w:hAnsi="Calibri" w:cs="Calibri"/>
                <w:color w:val="000000"/>
                <w:lang w:eastAsia="en-GB"/>
              </w:rPr>
            </w:pPr>
            <w:r w:rsidRPr="00B6751D">
              <w:rPr>
                <w:rFonts w:ascii="Calibri" w:eastAsia="Times New Roman" w:hAnsi="Calibri" w:cs="Calibri"/>
                <w:color w:val="000000"/>
                <w:lang w:eastAsia="en-GB"/>
              </w:rPr>
              <w:t>81</w:t>
            </w:r>
          </w:p>
        </w:tc>
        <w:tc>
          <w:tcPr>
            <w:tcW w:w="2437" w:type="dxa"/>
            <w:tcBorders>
              <w:top w:val="single" w:sz="4" w:space="0" w:color="auto"/>
              <w:left w:val="nil"/>
              <w:bottom w:val="single" w:sz="4" w:space="0" w:color="auto"/>
              <w:right w:val="single" w:sz="4" w:space="0" w:color="auto"/>
            </w:tcBorders>
          </w:tcPr>
          <w:p w14:paraId="27F814D6"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c>
          <w:tcPr>
            <w:tcW w:w="2329" w:type="dxa"/>
            <w:tcBorders>
              <w:top w:val="nil"/>
              <w:left w:val="single" w:sz="4" w:space="0" w:color="auto"/>
              <w:bottom w:val="single" w:sz="4" w:space="0" w:color="auto"/>
              <w:right w:val="single" w:sz="4" w:space="0" w:color="auto"/>
            </w:tcBorders>
          </w:tcPr>
          <w:p w14:paraId="73441760"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r>
      <w:tr w:rsidR="00B24B98" w:rsidRPr="00B6751D" w14:paraId="608CF735" w14:textId="77777777" w:rsidTr="00A94054">
        <w:trPr>
          <w:trHeight w:val="290"/>
        </w:trPr>
        <w:tc>
          <w:tcPr>
            <w:tcW w:w="3397" w:type="dxa"/>
            <w:tcBorders>
              <w:top w:val="nil"/>
              <w:left w:val="single" w:sz="4" w:space="0" w:color="auto"/>
              <w:bottom w:val="single" w:sz="4" w:space="0" w:color="auto"/>
              <w:right w:val="single" w:sz="4" w:space="0" w:color="auto"/>
            </w:tcBorders>
            <w:shd w:val="clear" w:color="auto" w:fill="auto"/>
            <w:vAlign w:val="bottom"/>
            <w:hideMark/>
          </w:tcPr>
          <w:p w14:paraId="73D24F40" w14:textId="77777777" w:rsidR="00B24B98" w:rsidRPr="00B6751D" w:rsidRDefault="00B24B98" w:rsidP="00A94054">
            <w:pPr>
              <w:spacing w:after="0" w:line="240" w:lineRule="auto"/>
              <w:rPr>
                <w:rFonts w:ascii="Calibri" w:eastAsia="Times New Roman" w:hAnsi="Calibri" w:cs="Calibri"/>
                <w:color w:val="000000"/>
                <w:lang w:eastAsia="en-GB"/>
              </w:rPr>
            </w:pPr>
            <w:r w:rsidRPr="00B6751D">
              <w:rPr>
                <w:rFonts w:ascii="Calibri" w:eastAsia="Times New Roman" w:hAnsi="Calibri" w:cs="Calibri"/>
                <w:color w:val="000000"/>
                <w:lang w:eastAsia="en-GB"/>
              </w:rPr>
              <w:t>electrolyte disturbance</w:t>
            </w:r>
          </w:p>
        </w:tc>
        <w:tc>
          <w:tcPr>
            <w:tcW w:w="1391" w:type="dxa"/>
            <w:tcBorders>
              <w:top w:val="nil"/>
              <w:left w:val="nil"/>
              <w:bottom w:val="single" w:sz="4" w:space="0" w:color="auto"/>
              <w:right w:val="single" w:sz="4" w:space="0" w:color="auto"/>
            </w:tcBorders>
            <w:shd w:val="clear" w:color="auto" w:fill="auto"/>
            <w:noWrap/>
            <w:vAlign w:val="bottom"/>
            <w:hideMark/>
          </w:tcPr>
          <w:p w14:paraId="66373FE3" w14:textId="77777777" w:rsidR="00B24B98" w:rsidRPr="00B6751D" w:rsidRDefault="00B24B98" w:rsidP="00A94054">
            <w:pPr>
              <w:spacing w:after="0" w:line="240" w:lineRule="auto"/>
              <w:jc w:val="right"/>
              <w:rPr>
                <w:rFonts w:ascii="Calibri" w:eastAsia="Times New Roman" w:hAnsi="Calibri" w:cs="Calibri"/>
                <w:color w:val="000000"/>
                <w:lang w:eastAsia="en-GB"/>
              </w:rPr>
            </w:pPr>
            <w:r w:rsidRPr="00B6751D">
              <w:rPr>
                <w:rFonts w:ascii="Calibri" w:eastAsia="Times New Roman" w:hAnsi="Calibri" w:cs="Calibri"/>
                <w:color w:val="000000"/>
                <w:lang w:eastAsia="en-GB"/>
              </w:rPr>
              <w:t>78</w:t>
            </w:r>
          </w:p>
        </w:tc>
        <w:tc>
          <w:tcPr>
            <w:tcW w:w="2437" w:type="dxa"/>
            <w:tcBorders>
              <w:top w:val="single" w:sz="4" w:space="0" w:color="auto"/>
              <w:left w:val="nil"/>
              <w:bottom w:val="single" w:sz="4" w:space="0" w:color="auto"/>
              <w:right w:val="single" w:sz="4" w:space="0" w:color="auto"/>
            </w:tcBorders>
          </w:tcPr>
          <w:p w14:paraId="709AC832"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c>
          <w:tcPr>
            <w:tcW w:w="2329" w:type="dxa"/>
            <w:tcBorders>
              <w:top w:val="nil"/>
              <w:left w:val="single" w:sz="4" w:space="0" w:color="auto"/>
              <w:bottom w:val="single" w:sz="4" w:space="0" w:color="auto"/>
              <w:right w:val="single" w:sz="4" w:space="0" w:color="auto"/>
            </w:tcBorders>
          </w:tcPr>
          <w:p w14:paraId="7CFF131B"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r>
      <w:tr w:rsidR="00B24B98" w:rsidRPr="00B6751D" w14:paraId="0E589CEA" w14:textId="77777777" w:rsidTr="00A94054">
        <w:trPr>
          <w:trHeight w:val="290"/>
        </w:trPr>
        <w:tc>
          <w:tcPr>
            <w:tcW w:w="3397" w:type="dxa"/>
            <w:tcBorders>
              <w:top w:val="nil"/>
              <w:left w:val="single" w:sz="4" w:space="0" w:color="auto"/>
              <w:bottom w:val="single" w:sz="4" w:space="0" w:color="auto"/>
              <w:right w:val="single" w:sz="4" w:space="0" w:color="auto"/>
            </w:tcBorders>
            <w:shd w:val="clear" w:color="auto" w:fill="auto"/>
            <w:noWrap/>
            <w:vAlign w:val="bottom"/>
            <w:hideMark/>
          </w:tcPr>
          <w:p w14:paraId="1AF48499" w14:textId="77777777" w:rsidR="00B24B98" w:rsidRPr="00B6751D" w:rsidRDefault="00B24B98" w:rsidP="00A94054">
            <w:pPr>
              <w:spacing w:after="0" w:line="240" w:lineRule="auto"/>
              <w:rPr>
                <w:rFonts w:ascii="Calibri" w:eastAsia="Times New Roman" w:hAnsi="Calibri" w:cs="Calibri"/>
                <w:color w:val="000000"/>
                <w:lang w:eastAsia="en-GB"/>
              </w:rPr>
            </w:pPr>
            <w:r w:rsidRPr="00B6751D">
              <w:rPr>
                <w:rFonts w:ascii="Calibri" w:eastAsia="Times New Roman" w:hAnsi="Calibri" w:cs="Calibri"/>
                <w:color w:val="000000"/>
                <w:lang w:eastAsia="en-GB"/>
              </w:rPr>
              <w:t>Acute kidney injury, electrolyte disturbance</w:t>
            </w:r>
          </w:p>
        </w:tc>
        <w:tc>
          <w:tcPr>
            <w:tcW w:w="1391" w:type="dxa"/>
            <w:tcBorders>
              <w:top w:val="nil"/>
              <w:left w:val="nil"/>
              <w:bottom w:val="single" w:sz="4" w:space="0" w:color="auto"/>
              <w:right w:val="single" w:sz="4" w:space="0" w:color="auto"/>
            </w:tcBorders>
            <w:shd w:val="clear" w:color="auto" w:fill="auto"/>
            <w:noWrap/>
            <w:vAlign w:val="bottom"/>
            <w:hideMark/>
          </w:tcPr>
          <w:p w14:paraId="318F9AFA" w14:textId="77777777" w:rsidR="00B24B98" w:rsidRPr="00B6751D" w:rsidRDefault="00B24B98" w:rsidP="00A94054">
            <w:pPr>
              <w:spacing w:after="0" w:line="240" w:lineRule="auto"/>
              <w:jc w:val="right"/>
              <w:rPr>
                <w:rFonts w:ascii="Calibri" w:eastAsia="Times New Roman" w:hAnsi="Calibri" w:cs="Calibri"/>
                <w:color w:val="000000"/>
                <w:lang w:eastAsia="en-GB"/>
              </w:rPr>
            </w:pPr>
            <w:r w:rsidRPr="00B6751D">
              <w:rPr>
                <w:rFonts w:ascii="Calibri" w:eastAsia="Times New Roman" w:hAnsi="Calibri" w:cs="Calibri"/>
                <w:color w:val="000000"/>
                <w:lang w:eastAsia="en-GB"/>
              </w:rPr>
              <w:t>73</w:t>
            </w:r>
          </w:p>
        </w:tc>
        <w:tc>
          <w:tcPr>
            <w:tcW w:w="2437" w:type="dxa"/>
            <w:tcBorders>
              <w:top w:val="single" w:sz="4" w:space="0" w:color="auto"/>
              <w:left w:val="nil"/>
              <w:bottom w:val="single" w:sz="4" w:space="0" w:color="auto"/>
              <w:right w:val="single" w:sz="4" w:space="0" w:color="auto"/>
            </w:tcBorders>
          </w:tcPr>
          <w:p w14:paraId="6D3947E7"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c>
          <w:tcPr>
            <w:tcW w:w="2329" w:type="dxa"/>
            <w:tcBorders>
              <w:top w:val="nil"/>
              <w:left w:val="single" w:sz="4" w:space="0" w:color="auto"/>
              <w:bottom w:val="single" w:sz="4" w:space="0" w:color="auto"/>
              <w:right w:val="single" w:sz="4" w:space="0" w:color="auto"/>
            </w:tcBorders>
          </w:tcPr>
          <w:p w14:paraId="49885603"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r>
      <w:tr w:rsidR="00B24B98" w:rsidRPr="00B6751D" w14:paraId="55447EC7" w14:textId="77777777" w:rsidTr="00A94054">
        <w:trPr>
          <w:trHeight w:val="290"/>
        </w:trPr>
        <w:tc>
          <w:tcPr>
            <w:tcW w:w="3397" w:type="dxa"/>
            <w:tcBorders>
              <w:top w:val="nil"/>
              <w:left w:val="single" w:sz="4" w:space="0" w:color="auto"/>
              <w:bottom w:val="single" w:sz="4" w:space="0" w:color="auto"/>
              <w:right w:val="single" w:sz="4" w:space="0" w:color="auto"/>
            </w:tcBorders>
            <w:shd w:val="clear" w:color="auto" w:fill="auto"/>
            <w:vAlign w:val="bottom"/>
            <w:hideMark/>
          </w:tcPr>
          <w:p w14:paraId="78887F17" w14:textId="77777777" w:rsidR="00B24B98" w:rsidRPr="00B6751D" w:rsidRDefault="00B24B98" w:rsidP="00A94054">
            <w:pPr>
              <w:spacing w:after="0" w:line="240" w:lineRule="auto"/>
              <w:rPr>
                <w:rFonts w:ascii="Calibri" w:eastAsia="Times New Roman" w:hAnsi="Calibri" w:cs="Calibri"/>
                <w:color w:val="000000"/>
                <w:lang w:eastAsia="en-GB"/>
              </w:rPr>
            </w:pPr>
            <w:r w:rsidRPr="00B6751D">
              <w:rPr>
                <w:rFonts w:ascii="Calibri" w:eastAsia="Times New Roman" w:hAnsi="Calibri" w:cs="Calibri"/>
                <w:color w:val="000000"/>
                <w:lang w:eastAsia="en-GB"/>
              </w:rPr>
              <w:t xml:space="preserve">neurologic and neuropsychiatric </w:t>
            </w:r>
          </w:p>
        </w:tc>
        <w:tc>
          <w:tcPr>
            <w:tcW w:w="1391" w:type="dxa"/>
            <w:tcBorders>
              <w:top w:val="nil"/>
              <w:left w:val="nil"/>
              <w:bottom w:val="single" w:sz="4" w:space="0" w:color="auto"/>
              <w:right w:val="single" w:sz="4" w:space="0" w:color="auto"/>
            </w:tcBorders>
            <w:shd w:val="clear" w:color="auto" w:fill="auto"/>
            <w:noWrap/>
            <w:vAlign w:val="bottom"/>
            <w:hideMark/>
          </w:tcPr>
          <w:p w14:paraId="27809D81" w14:textId="77777777" w:rsidR="00B24B98" w:rsidRPr="00B6751D" w:rsidRDefault="00B24B98" w:rsidP="00A94054">
            <w:pPr>
              <w:spacing w:after="0" w:line="240" w:lineRule="auto"/>
              <w:jc w:val="right"/>
              <w:rPr>
                <w:rFonts w:ascii="Calibri" w:eastAsia="Times New Roman" w:hAnsi="Calibri" w:cs="Calibri"/>
                <w:color w:val="000000"/>
                <w:lang w:eastAsia="en-GB"/>
              </w:rPr>
            </w:pPr>
            <w:r w:rsidRPr="00B6751D">
              <w:rPr>
                <w:rFonts w:ascii="Calibri" w:eastAsia="Times New Roman" w:hAnsi="Calibri" w:cs="Calibri"/>
                <w:color w:val="000000"/>
                <w:lang w:eastAsia="en-GB"/>
              </w:rPr>
              <w:t>68</w:t>
            </w:r>
          </w:p>
        </w:tc>
        <w:tc>
          <w:tcPr>
            <w:tcW w:w="2437" w:type="dxa"/>
            <w:tcBorders>
              <w:top w:val="single" w:sz="4" w:space="0" w:color="auto"/>
              <w:left w:val="nil"/>
              <w:bottom w:val="single" w:sz="4" w:space="0" w:color="auto"/>
              <w:right w:val="single" w:sz="4" w:space="0" w:color="auto"/>
            </w:tcBorders>
          </w:tcPr>
          <w:p w14:paraId="0C2712FE"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c>
          <w:tcPr>
            <w:tcW w:w="2329" w:type="dxa"/>
            <w:tcBorders>
              <w:top w:val="nil"/>
              <w:left w:val="single" w:sz="4" w:space="0" w:color="auto"/>
              <w:bottom w:val="single" w:sz="4" w:space="0" w:color="auto"/>
              <w:right w:val="single" w:sz="4" w:space="0" w:color="auto"/>
            </w:tcBorders>
          </w:tcPr>
          <w:p w14:paraId="5210456E"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r>
      <w:tr w:rsidR="00B24B98" w:rsidRPr="00B6751D" w14:paraId="75574ED9" w14:textId="77777777" w:rsidTr="00A94054">
        <w:trPr>
          <w:trHeight w:val="290"/>
        </w:trPr>
        <w:tc>
          <w:tcPr>
            <w:tcW w:w="3397" w:type="dxa"/>
            <w:tcBorders>
              <w:top w:val="nil"/>
              <w:left w:val="single" w:sz="4" w:space="0" w:color="auto"/>
              <w:bottom w:val="single" w:sz="4" w:space="0" w:color="auto"/>
              <w:right w:val="single" w:sz="4" w:space="0" w:color="auto"/>
            </w:tcBorders>
            <w:shd w:val="clear" w:color="auto" w:fill="auto"/>
            <w:vAlign w:val="bottom"/>
            <w:hideMark/>
          </w:tcPr>
          <w:p w14:paraId="3FC06EC3" w14:textId="77777777" w:rsidR="00B24B98" w:rsidRPr="00B6751D" w:rsidRDefault="00B24B98" w:rsidP="00A94054">
            <w:pPr>
              <w:spacing w:after="0" w:line="240" w:lineRule="auto"/>
              <w:rPr>
                <w:rFonts w:ascii="Calibri" w:eastAsia="Times New Roman" w:hAnsi="Calibri" w:cs="Calibri"/>
                <w:color w:val="000000"/>
                <w:lang w:eastAsia="en-GB"/>
              </w:rPr>
            </w:pPr>
            <w:r w:rsidRPr="00B6751D">
              <w:rPr>
                <w:rFonts w:ascii="Calibri" w:eastAsia="Times New Roman" w:hAnsi="Calibri" w:cs="Calibri"/>
                <w:color w:val="000000"/>
                <w:lang w:eastAsia="en-GB"/>
              </w:rPr>
              <w:t>thrush</w:t>
            </w:r>
          </w:p>
        </w:tc>
        <w:tc>
          <w:tcPr>
            <w:tcW w:w="1391" w:type="dxa"/>
            <w:tcBorders>
              <w:top w:val="nil"/>
              <w:left w:val="nil"/>
              <w:bottom w:val="single" w:sz="4" w:space="0" w:color="auto"/>
              <w:right w:val="single" w:sz="4" w:space="0" w:color="auto"/>
            </w:tcBorders>
            <w:shd w:val="clear" w:color="auto" w:fill="auto"/>
            <w:noWrap/>
            <w:vAlign w:val="bottom"/>
            <w:hideMark/>
          </w:tcPr>
          <w:p w14:paraId="5465F9D8" w14:textId="77777777" w:rsidR="00B24B98" w:rsidRPr="00B6751D" w:rsidRDefault="00B24B98" w:rsidP="00A94054">
            <w:pPr>
              <w:spacing w:after="0" w:line="240" w:lineRule="auto"/>
              <w:jc w:val="right"/>
              <w:rPr>
                <w:rFonts w:ascii="Calibri" w:eastAsia="Times New Roman" w:hAnsi="Calibri" w:cs="Calibri"/>
                <w:color w:val="000000"/>
                <w:lang w:eastAsia="en-GB"/>
              </w:rPr>
            </w:pPr>
            <w:r w:rsidRPr="00B6751D">
              <w:rPr>
                <w:rFonts w:ascii="Calibri" w:eastAsia="Times New Roman" w:hAnsi="Calibri" w:cs="Calibri"/>
                <w:color w:val="000000"/>
                <w:lang w:eastAsia="en-GB"/>
              </w:rPr>
              <w:t>67</w:t>
            </w:r>
          </w:p>
        </w:tc>
        <w:tc>
          <w:tcPr>
            <w:tcW w:w="2437" w:type="dxa"/>
            <w:tcBorders>
              <w:top w:val="single" w:sz="4" w:space="0" w:color="auto"/>
              <w:left w:val="nil"/>
              <w:bottom w:val="single" w:sz="4" w:space="0" w:color="auto"/>
              <w:right w:val="single" w:sz="4" w:space="0" w:color="auto"/>
            </w:tcBorders>
          </w:tcPr>
          <w:p w14:paraId="672EA67D"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c>
          <w:tcPr>
            <w:tcW w:w="2329" w:type="dxa"/>
            <w:tcBorders>
              <w:top w:val="nil"/>
              <w:left w:val="single" w:sz="4" w:space="0" w:color="auto"/>
              <w:bottom w:val="single" w:sz="4" w:space="0" w:color="auto"/>
              <w:right w:val="single" w:sz="4" w:space="0" w:color="auto"/>
            </w:tcBorders>
          </w:tcPr>
          <w:p w14:paraId="03B5ED25"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r>
      <w:tr w:rsidR="00B24B98" w:rsidRPr="00B6751D" w14:paraId="5B799E16" w14:textId="77777777" w:rsidTr="00A94054">
        <w:trPr>
          <w:trHeight w:val="290"/>
        </w:trPr>
        <w:tc>
          <w:tcPr>
            <w:tcW w:w="3397" w:type="dxa"/>
            <w:tcBorders>
              <w:top w:val="nil"/>
              <w:left w:val="single" w:sz="4" w:space="0" w:color="auto"/>
              <w:bottom w:val="single" w:sz="4" w:space="0" w:color="auto"/>
              <w:right w:val="single" w:sz="4" w:space="0" w:color="auto"/>
            </w:tcBorders>
            <w:shd w:val="clear" w:color="auto" w:fill="auto"/>
            <w:vAlign w:val="bottom"/>
            <w:hideMark/>
          </w:tcPr>
          <w:p w14:paraId="3178D3B1" w14:textId="77777777" w:rsidR="00B24B98" w:rsidRPr="00B6751D" w:rsidRDefault="00B24B98" w:rsidP="00A94054">
            <w:pPr>
              <w:spacing w:after="0" w:line="240" w:lineRule="auto"/>
              <w:rPr>
                <w:rFonts w:ascii="Calibri" w:eastAsia="Times New Roman" w:hAnsi="Calibri" w:cs="Calibri"/>
                <w:color w:val="000000"/>
                <w:lang w:eastAsia="en-GB"/>
              </w:rPr>
            </w:pPr>
            <w:r w:rsidRPr="00B6751D">
              <w:rPr>
                <w:rFonts w:ascii="Calibri" w:eastAsia="Times New Roman" w:hAnsi="Calibri" w:cs="Calibri"/>
                <w:color w:val="000000"/>
                <w:lang w:eastAsia="en-GB"/>
              </w:rPr>
              <w:t>Cutaneous Rash</w:t>
            </w:r>
          </w:p>
        </w:tc>
        <w:tc>
          <w:tcPr>
            <w:tcW w:w="1391" w:type="dxa"/>
            <w:tcBorders>
              <w:top w:val="nil"/>
              <w:left w:val="nil"/>
              <w:bottom w:val="single" w:sz="4" w:space="0" w:color="auto"/>
              <w:right w:val="single" w:sz="4" w:space="0" w:color="auto"/>
            </w:tcBorders>
            <w:shd w:val="clear" w:color="auto" w:fill="auto"/>
            <w:noWrap/>
            <w:vAlign w:val="bottom"/>
            <w:hideMark/>
          </w:tcPr>
          <w:p w14:paraId="035E06B2" w14:textId="77777777" w:rsidR="00B24B98" w:rsidRPr="00B6751D" w:rsidRDefault="00B24B98" w:rsidP="00A94054">
            <w:pPr>
              <w:spacing w:after="0" w:line="240" w:lineRule="auto"/>
              <w:jc w:val="right"/>
              <w:rPr>
                <w:rFonts w:ascii="Calibri" w:eastAsia="Times New Roman" w:hAnsi="Calibri" w:cs="Calibri"/>
                <w:color w:val="000000"/>
                <w:lang w:eastAsia="en-GB"/>
              </w:rPr>
            </w:pPr>
            <w:r w:rsidRPr="00B6751D">
              <w:rPr>
                <w:rFonts w:ascii="Calibri" w:eastAsia="Times New Roman" w:hAnsi="Calibri" w:cs="Calibri"/>
                <w:color w:val="000000"/>
                <w:lang w:eastAsia="en-GB"/>
              </w:rPr>
              <w:t>60</w:t>
            </w:r>
          </w:p>
        </w:tc>
        <w:tc>
          <w:tcPr>
            <w:tcW w:w="2437" w:type="dxa"/>
            <w:tcBorders>
              <w:top w:val="single" w:sz="4" w:space="0" w:color="auto"/>
              <w:left w:val="nil"/>
              <w:bottom w:val="single" w:sz="4" w:space="0" w:color="auto"/>
              <w:right w:val="single" w:sz="4" w:space="0" w:color="auto"/>
            </w:tcBorders>
          </w:tcPr>
          <w:p w14:paraId="49338287"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c>
          <w:tcPr>
            <w:tcW w:w="2329" w:type="dxa"/>
            <w:tcBorders>
              <w:top w:val="nil"/>
              <w:left w:val="single" w:sz="4" w:space="0" w:color="auto"/>
              <w:bottom w:val="single" w:sz="4" w:space="0" w:color="auto"/>
              <w:right w:val="single" w:sz="4" w:space="0" w:color="auto"/>
            </w:tcBorders>
          </w:tcPr>
          <w:p w14:paraId="582340CB"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r>
      <w:tr w:rsidR="00B24B98" w:rsidRPr="00B6751D" w14:paraId="278A3F48" w14:textId="77777777" w:rsidTr="00A94054">
        <w:trPr>
          <w:trHeight w:val="290"/>
        </w:trPr>
        <w:tc>
          <w:tcPr>
            <w:tcW w:w="3397" w:type="dxa"/>
            <w:tcBorders>
              <w:top w:val="nil"/>
              <w:left w:val="single" w:sz="4" w:space="0" w:color="auto"/>
              <w:bottom w:val="single" w:sz="4" w:space="0" w:color="auto"/>
              <w:right w:val="single" w:sz="4" w:space="0" w:color="auto"/>
            </w:tcBorders>
            <w:shd w:val="clear" w:color="auto" w:fill="auto"/>
            <w:vAlign w:val="bottom"/>
            <w:hideMark/>
          </w:tcPr>
          <w:p w14:paraId="63B292DF" w14:textId="77777777" w:rsidR="00B24B98" w:rsidRPr="00B6751D" w:rsidRDefault="00B24B98" w:rsidP="00A94054">
            <w:pPr>
              <w:spacing w:after="0" w:line="240" w:lineRule="auto"/>
              <w:rPr>
                <w:rFonts w:ascii="Calibri" w:eastAsia="Times New Roman" w:hAnsi="Calibri" w:cs="Calibri"/>
                <w:color w:val="000000"/>
                <w:lang w:eastAsia="en-GB"/>
              </w:rPr>
            </w:pPr>
            <w:r w:rsidRPr="00B6751D">
              <w:rPr>
                <w:rFonts w:ascii="Calibri" w:eastAsia="Times New Roman" w:hAnsi="Calibri" w:cs="Calibri"/>
                <w:color w:val="000000"/>
                <w:lang w:eastAsia="en-GB"/>
              </w:rPr>
              <w:t>GI Bleed</w:t>
            </w:r>
          </w:p>
        </w:tc>
        <w:tc>
          <w:tcPr>
            <w:tcW w:w="1391" w:type="dxa"/>
            <w:tcBorders>
              <w:top w:val="nil"/>
              <w:left w:val="nil"/>
              <w:bottom w:val="single" w:sz="4" w:space="0" w:color="auto"/>
              <w:right w:val="single" w:sz="4" w:space="0" w:color="auto"/>
            </w:tcBorders>
            <w:shd w:val="clear" w:color="auto" w:fill="auto"/>
            <w:noWrap/>
            <w:vAlign w:val="bottom"/>
            <w:hideMark/>
          </w:tcPr>
          <w:p w14:paraId="54B96FE5" w14:textId="77777777" w:rsidR="00B24B98" w:rsidRPr="00B6751D" w:rsidRDefault="00B24B98" w:rsidP="00A94054">
            <w:pPr>
              <w:spacing w:after="0" w:line="240" w:lineRule="auto"/>
              <w:jc w:val="right"/>
              <w:rPr>
                <w:rFonts w:ascii="Calibri" w:eastAsia="Times New Roman" w:hAnsi="Calibri" w:cs="Calibri"/>
                <w:color w:val="000000"/>
                <w:lang w:eastAsia="en-GB"/>
              </w:rPr>
            </w:pPr>
            <w:r w:rsidRPr="00B6751D">
              <w:rPr>
                <w:rFonts w:ascii="Calibri" w:eastAsia="Times New Roman" w:hAnsi="Calibri" w:cs="Calibri"/>
                <w:color w:val="000000"/>
                <w:lang w:eastAsia="en-GB"/>
              </w:rPr>
              <w:t>59</w:t>
            </w:r>
          </w:p>
        </w:tc>
        <w:tc>
          <w:tcPr>
            <w:tcW w:w="2437" w:type="dxa"/>
            <w:tcBorders>
              <w:top w:val="single" w:sz="4" w:space="0" w:color="auto"/>
              <w:left w:val="nil"/>
              <w:bottom w:val="single" w:sz="4" w:space="0" w:color="auto"/>
              <w:right w:val="single" w:sz="4" w:space="0" w:color="auto"/>
            </w:tcBorders>
          </w:tcPr>
          <w:p w14:paraId="690679D5"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c>
          <w:tcPr>
            <w:tcW w:w="2329" w:type="dxa"/>
            <w:tcBorders>
              <w:top w:val="nil"/>
              <w:left w:val="single" w:sz="4" w:space="0" w:color="auto"/>
              <w:bottom w:val="single" w:sz="4" w:space="0" w:color="auto"/>
              <w:right w:val="single" w:sz="4" w:space="0" w:color="auto"/>
            </w:tcBorders>
          </w:tcPr>
          <w:p w14:paraId="387CD1D2"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r>
      <w:tr w:rsidR="00B24B98" w:rsidRPr="00B6751D" w14:paraId="47359242" w14:textId="77777777" w:rsidTr="00A94054">
        <w:trPr>
          <w:trHeight w:val="290"/>
        </w:trPr>
        <w:tc>
          <w:tcPr>
            <w:tcW w:w="3397" w:type="dxa"/>
            <w:tcBorders>
              <w:top w:val="nil"/>
              <w:left w:val="single" w:sz="4" w:space="0" w:color="auto"/>
              <w:bottom w:val="single" w:sz="4" w:space="0" w:color="auto"/>
              <w:right w:val="single" w:sz="4" w:space="0" w:color="auto"/>
            </w:tcBorders>
            <w:shd w:val="clear" w:color="auto" w:fill="auto"/>
            <w:vAlign w:val="bottom"/>
            <w:hideMark/>
          </w:tcPr>
          <w:p w14:paraId="7DAA6666" w14:textId="77777777" w:rsidR="00B24B98" w:rsidRPr="00B6751D" w:rsidRDefault="00B24B98" w:rsidP="00A94054">
            <w:pPr>
              <w:spacing w:after="0" w:line="240" w:lineRule="auto"/>
              <w:rPr>
                <w:rFonts w:ascii="Calibri" w:eastAsia="Times New Roman" w:hAnsi="Calibri" w:cs="Calibri"/>
                <w:color w:val="000000"/>
                <w:lang w:eastAsia="en-GB"/>
              </w:rPr>
            </w:pPr>
            <w:r w:rsidRPr="00B6751D">
              <w:rPr>
                <w:rFonts w:ascii="Calibri" w:eastAsia="Times New Roman" w:hAnsi="Calibri" w:cs="Calibri"/>
                <w:color w:val="000000"/>
                <w:lang w:eastAsia="en-GB"/>
              </w:rPr>
              <w:t>nausea / vomiting</w:t>
            </w:r>
          </w:p>
        </w:tc>
        <w:tc>
          <w:tcPr>
            <w:tcW w:w="1391" w:type="dxa"/>
            <w:tcBorders>
              <w:top w:val="nil"/>
              <w:left w:val="nil"/>
              <w:bottom w:val="single" w:sz="4" w:space="0" w:color="auto"/>
              <w:right w:val="single" w:sz="4" w:space="0" w:color="auto"/>
            </w:tcBorders>
            <w:shd w:val="clear" w:color="auto" w:fill="auto"/>
            <w:noWrap/>
            <w:vAlign w:val="bottom"/>
            <w:hideMark/>
          </w:tcPr>
          <w:p w14:paraId="0D274E92" w14:textId="77777777" w:rsidR="00B24B98" w:rsidRPr="00B6751D" w:rsidRDefault="00B24B98" w:rsidP="00A94054">
            <w:pPr>
              <w:spacing w:after="0" w:line="240" w:lineRule="auto"/>
              <w:jc w:val="right"/>
              <w:rPr>
                <w:rFonts w:ascii="Calibri" w:eastAsia="Times New Roman" w:hAnsi="Calibri" w:cs="Calibri"/>
                <w:color w:val="000000"/>
                <w:lang w:eastAsia="en-GB"/>
              </w:rPr>
            </w:pPr>
            <w:r w:rsidRPr="00B6751D">
              <w:rPr>
                <w:rFonts w:ascii="Calibri" w:eastAsia="Times New Roman" w:hAnsi="Calibri" w:cs="Calibri"/>
                <w:color w:val="000000"/>
                <w:lang w:eastAsia="en-GB"/>
              </w:rPr>
              <w:t>59</w:t>
            </w:r>
          </w:p>
        </w:tc>
        <w:tc>
          <w:tcPr>
            <w:tcW w:w="2437" w:type="dxa"/>
            <w:tcBorders>
              <w:top w:val="single" w:sz="4" w:space="0" w:color="auto"/>
              <w:left w:val="nil"/>
              <w:bottom w:val="single" w:sz="4" w:space="0" w:color="auto"/>
              <w:right w:val="single" w:sz="4" w:space="0" w:color="auto"/>
            </w:tcBorders>
          </w:tcPr>
          <w:p w14:paraId="37FDDFBA"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c>
          <w:tcPr>
            <w:tcW w:w="2329" w:type="dxa"/>
            <w:tcBorders>
              <w:top w:val="nil"/>
              <w:left w:val="single" w:sz="4" w:space="0" w:color="auto"/>
              <w:bottom w:val="single" w:sz="4" w:space="0" w:color="auto"/>
              <w:right w:val="single" w:sz="4" w:space="0" w:color="auto"/>
            </w:tcBorders>
          </w:tcPr>
          <w:p w14:paraId="217CAE40"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r>
      <w:tr w:rsidR="00B24B98" w:rsidRPr="00B6751D" w14:paraId="68984B32" w14:textId="77777777" w:rsidTr="00A94054">
        <w:trPr>
          <w:trHeight w:val="290"/>
        </w:trPr>
        <w:tc>
          <w:tcPr>
            <w:tcW w:w="3397" w:type="dxa"/>
            <w:tcBorders>
              <w:top w:val="nil"/>
              <w:left w:val="single" w:sz="4" w:space="0" w:color="auto"/>
              <w:bottom w:val="single" w:sz="4" w:space="0" w:color="auto"/>
              <w:right w:val="single" w:sz="4" w:space="0" w:color="auto"/>
            </w:tcBorders>
            <w:shd w:val="clear" w:color="auto" w:fill="auto"/>
            <w:vAlign w:val="bottom"/>
            <w:hideMark/>
          </w:tcPr>
          <w:p w14:paraId="6D38D2FA" w14:textId="77777777" w:rsidR="00B24B98" w:rsidRPr="00B6751D" w:rsidRDefault="00B24B98" w:rsidP="00A94054">
            <w:pPr>
              <w:spacing w:after="0" w:line="240" w:lineRule="auto"/>
              <w:rPr>
                <w:rFonts w:ascii="Calibri" w:eastAsia="Times New Roman" w:hAnsi="Calibri" w:cs="Calibri"/>
                <w:color w:val="000000"/>
                <w:lang w:eastAsia="en-GB"/>
              </w:rPr>
            </w:pPr>
            <w:r w:rsidRPr="00B6751D">
              <w:rPr>
                <w:rFonts w:ascii="Calibri" w:eastAsia="Times New Roman" w:hAnsi="Calibri" w:cs="Calibri"/>
                <w:color w:val="000000"/>
                <w:lang w:eastAsia="en-GB"/>
              </w:rPr>
              <w:t>Bleeding</w:t>
            </w:r>
          </w:p>
        </w:tc>
        <w:tc>
          <w:tcPr>
            <w:tcW w:w="1391" w:type="dxa"/>
            <w:tcBorders>
              <w:top w:val="nil"/>
              <w:left w:val="nil"/>
              <w:bottom w:val="single" w:sz="4" w:space="0" w:color="auto"/>
              <w:right w:val="single" w:sz="4" w:space="0" w:color="auto"/>
            </w:tcBorders>
            <w:shd w:val="clear" w:color="auto" w:fill="auto"/>
            <w:noWrap/>
            <w:vAlign w:val="bottom"/>
            <w:hideMark/>
          </w:tcPr>
          <w:p w14:paraId="3802BB54" w14:textId="77777777" w:rsidR="00B24B98" w:rsidRPr="00B6751D" w:rsidRDefault="00B24B98" w:rsidP="00A94054">
            <w:pPr>
              <w:spacing w:after="0" w:line="240" w:lineRule="auto"/>
              <w:jc w:val="right"/>
              <w:rPr>
                <w:rFonts w:ascii="Calibri" w:eastAsia="Times New Roman" w:hAnsi="Calibri" w:cs="Calibri"/>
                <w:color w:val="000000"/>
                <w:lang w:eastAsia="en-GB"/>
              </w:rPr>
            </w:pPr>
            <w:r w:rsidRPr="00B6751D">
              <w:rPr>
                <w:rFonts w:ascii="Calibri" w:eastAsia="Times New Roman" w:hAnsi="Calibri" w:cs="Calibri"/>
                <w:color w:val="000000"/>
                <w:lang w:eastAsia="en-GB"/>
              </w:rPr>
              <w:t>58</w:t>
            </w:r>
          </w:p>
        </w:tc>
        <w:tc>
          <w:tcPr>
            <w:tcW w:w="2437" w:type="dxa"/>
            <w:tcBorders>
              <w:top w:val="single" w:sz="4" w:space="0" w:color="auto"/>
              <w:left w:val="nil"/>
              <w:bottom w:val="single" w:sz="4" w:space="0" w:color="auto"/>
              <w:right w:val="single" w:sz="4" w:space="0" w:color="auto"/>
            </w:tcBorders>
          </w:tcPr>
          <w:p w14:paraId="5BD95EC1"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c>
          <w:tcPr>
            <w:tcW w:w="2329" w:type="dxa"/>
            <w:tcBorders>
              <w:top w:val="nil"/>
              <w:left w:val="single" w:sz="4" w:space="0" w:color="auto"/>
              <w:bottom w:val="single" w:sz="4" w:space="0" w:color="auto"/>
              <w:right w:val="single" w:sz="4" w:space="0" w:color="auto"/>
            </w:tcBorders>
          </w:tcPr>
          <w:p w14:paraId="3D14F8C4"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r>
      <w:tr w:rsidR="00B24B98" w:rsidRPr="00B6751D" w14:paraId="5F3A6D3A" w14:textId="77777777" w:rsidTr="00A94054">
        <w:trPr>
          <w:trHeight w:val="290"/>
        </w:trPr>
        <w:tc>
          <w:tcPr>
            <w:tcW w:w="3397" w:type="dxa"/>
            <w:tcBorders>
              <w:top w:val="nil"/>
              <w:left w:val="single" w:sz="4" w:space="0" w:color="auto"/>
              <w:bottom w:val="single" w:sz="4" w:space="0" w:color="auto"/>
              <w:right w:val="single" w:sz="4" w:space="0" w:color="auto"/>
            </w:tcBorders>
            <w:shd w:val="clear" w:color="auto" w:fill="auto"/>
            <w:vAlign w:val="bottom"/>
            <w:hideMark/>
          </w:tcPr>
          <w:p w14:paraId="3589AEC2" w14:textId="77777777" w:rsidR="00B24B98" w:rsidRPr="00B6751D" w:rsidRDefault="00B24B98" w:rsidP="00A94054">
            <w:pPr>
              <w:spacing w:after="0" w:line="240" w:lineRule="auto"/>
              <w:rPr>
                <w:rFonts w:ascii="Calibri" w:eastAsia="Times New Roman" w:hAnsi="Calibri" w:cs="Calibri"/>
                <w:color w:val="000000"/>
                <w:lang w:eastAsia="en-GB"/>
              </w:rPr>
            </w:pPr>
            <w:r w:rsidRPr="00B6751D">
              <w:rPr>
                <w:rFonts w:ascii="Calibri" w:eastAsia="Times New Roman" w:hAnsi="Calibri" w:cs="Calibri"/>
                <w:color w:val="000000"/>
                <w:lang w:eastAsia="en-GB"/>
              </w:rPr>
              <w:t>Bradycardia</w:t>
            </w:r>
          </w:p>
        </w:tc>
        <w:tc>
          <w:tcPr>
            <w:tcW w:w="1391" w:type="dxa"/>
            <w:tcBorders>
              <w:top w:val="nil"/>
              <w:left w:val="nil"/>
              <w:bottom w:val="single" w:sz="4" w:space="0" w:color="auto"/>
              <w:right w:val="single" w:sz="4" w:space="0" w:color="auto"/>
            </w:tcBorders>
            <w:shd w:val="clear" w:color="auto" w:fill="auto"/>
            <w:noWrap/>
            <w:vAlign w:val="bottom"/>
            <w:hideMark/>
          </w:tcPr>
          <w:p w14:paraId="7E020A09" w14:textId="77777777" w:rsidR="00B24B98" w:rsidRPr="00B6751D" w:rsidRDefault="00B24B98" w:rsidP="00A94054">
            <w:pPr>
              <w:spacing w:after="0" w:line="240" w:lineRule="auto"/>
              <w:jc w:val="right"/>
              <w:rPr>
                <w:rFonts w:ascii="Calibri" w:eastAsia="Times New Roman" w:hAnsi="Calibri" w:cs="Calibri"/>
                <w:color w:val="000000"/>
                <w:lang w:eastAsia="en-GB"/>
              </w:rPr>
            </w:pPr>
            <w:r w:rsidRPr="00B6751D">
              <w:rPr>
                <w:rFonts w:ascii="Calibri" w:eastAsia="Times New Roman" w:hAnsi="Calibri" w:cs="Calibri"/>
                <w:color w:val="000000"/>
                <w:lang w:eastAsia="en-GB"/>
              </w:rPr>
              <w:t>55</w:t>
            </w:r>
          </w:p>
        </w:tc>
        <w:tc>
          <w:tcPr>
            <w:tcW w:w="2437" w:type="dxa"/>
            <w:tcBorders>
              <w:top w:val="single" w:sz="4" w:space="0" w:color="auto"/>
              <w:left w:val="nil"/>
              <w:bottom w:val="single" w:sz="4" w:space="0" w:color="auto"/>
              <w:right w:val="single" w:sz="4" w:space="0" w:color="auto"/>
            </w:tcBorders>
          </w:tcPr>
          <w:p w14:paraId="2F47F900"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c>
          <w:tcPr>
            <w:tcW w:w="2329" w:type="dxa"/>
            <w:tcBorders>
              <w:top w:val="nil"/>
              <w:left w:val="single" w:sz="4" w:space="0" w:color="auto"/>
              <w:bottom w:val="single" w:sz="4" w:space="0" w:color="auto"/>
              <w:right w:val="single" w:sz="4" w:space="0" w:color="auto"/>
            </w:tcBorders>
          </w:tcPr>
          <w:p w14:paraId="7728470B"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r>
      <w:tr w:rsidR="00B24B98" w:rsidRPr="00B6751D" w14:paraId="655809EA" w14:textId="77777777" w:rsidTr="00A94054">
        <w:trPr>
          <w:trHeight w:val="290"/>
        </w:trPr>
        <w:tc>
          <w:tcPr>
            <w:tcW w:w="3397" w:type="dxa"/>
            <w:tcBorders>
              <w:top w:val="nil"/>
              <w:left w:val="single" w:sz="4" w:space="0" w:color="auto"/>
              <w:bottom w:val="single" w:sz="4" w:space="0" w:color="auto"/>
              <w:right w:val="single" w:sz="4" w:space="0" w:color="auto"/>
            </w:tcBorders>
            <w:shd w:val="clear" w:color="auto" w:fill="auto"/>
            <w:vAlign w:val="bottom"/>
            <w:hideMark/>
          </w:tcPr>
          <w:p w14:paraId="5F7D2A34" w14:textId="77777777" w:rsidR="00B24B98" w:rsidRPr="00B6751D" w:rsidRDefault="00B24B98" w:rsidP="00A94054">
            <w:pPr>
              <w:spacing w:after="0" w:line="240" w:lineRule="auto"/>
              <w:rPr>
                <w:rFonts w:ascii="Calibri" w:eastAsia="Times New Roman" w:hAnsi="Calibri" w:cs="Calibri"/>
                <w:color w:val="000000"/>
                <w:lang w:eastAsia="en-GB"/>
              </w:rPr>
            </w:pPr>
            <w:r w:rsidRPr="00B6751D">
              <w:rPr>
                <w:rFonts w:ascii="Calibri" w:eastAsia="Times New Roman" w:hAnsi="Calibri" w:cs="Calibri"/>
                <w:color w:val="000000"/>
                <w:lang w:eastAsia="en-GB"/>
              </w:rPr>
              <w:t>confusion</w:t>
            </w:r>
          </w:p>
        </w:tc>
        <w:tc>
          <w:tcPr>
            <w:tcW w:w="1391" w:type="dxa"/>
            <w:tcBorders>
              <w:top w:val="nil"/>
              <w:left w:val="nil"/>
              <w:bottom w:val="single" w:sz="4" w:space="0" w:color="auto"/>
              <w:right w:val="single" w:sz="4" w:space="0" w:color="auto"/>
            </w:tcBorders>
            <w:shd w:val="clear" w:color="auto" w:fill="auto"/>
            <w:noWrap/>
            <w:vAlign w:val="bottom"/>
            <w:hideMark/>
          </w:tcPr>
          <w:p w14:paraId="5FC8E874" w14:textId="77777777" w:rsidR="00B24B98" w:rsidRPr="00B6751D" w:rsidRDefault="00B24B98" w:rsidP="00A94054">
            <w:pPr>
              <w:spacing w:after="0" w:line="240" w:lineRule="auto"/>
              <w:jc w:val="right"/>
              <w:rPr>
                <w:rFonts w:ascii="Calibri" w:eastAsia="Times New Roman" w:hAnsi="Calibri" w:cs="Calibri"/>
                <w:color w:val="000000"/>
                <w:lang w:eastAsia="en-GB"/>
              </w:rPr>
            </w:pPr>
            <w:r w:rsidRPr="00B6751D">
              <w:rPr>
                <w:rFonts w:ascii="Calibri" w:eastAsia="Times New Roman" w:hAnsi="Calibri" w:cs="Calibri"/>
                <w:color w:val="000000"/>
                <w:lang w:eastAsia="en-GB"/>
              </w:rPr>
              <w:t>52</w:t>
            </w:r>
          </w:p>
        </w:tc>
        <w:tc>
          <w:tcPr>
            <w:tcW w:w="2437" w:type="dxa"/>
            <w:tcBorders>
              <w:top w:val="single" w:sz="4" w:space="0" w:color="auto"/>
              <w:left w:val="nil"/>
              <w:bottom w:val="single" w:sz="4" w:space="0" w:color="auto"/>
              <w:right w:val="single" w:sz="4" w:space="0" w:color="auto"/>
            </w:tcBorders>
          </w:tcPr>
          <w:p w14:paraId="398A82A2"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c>
          <w:tcPr>
            <w:tcW w:w="2329" w:type="dxa"/>
            <w:tcBorders>
              <w:top w:val="nil"/>
              <w:left w:val="single" w:sz="4" w:space="0" w:color="auto"/>
              <w:bottom w:val="single" w:sz="4" w:space="0" w:color="auto"/>
              <w:right w:val="single" w:sz="4" w:space="0" w:color="auto"/>
            </w:tcBorders>
          </w:tcPr>
          <w:p w14:paraId="11C24830"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r>
      <w:tr w:rsidR="00B24B98" w:rsidRPr="00B6751D" w14:paraId="28B3B746" w14:textId="77777777" w:rsidTr="00A94054">
        <w:trPr>
          <w:trHeight w:val="290"/>
        </w:trPr>
        <w:tc>
          <w:tcPr>
            <w:tcW w:w="3397" w:type="dxa"/>
            <w:tcBorders>
              <w:top w:val="nil"/>
              <w:left w:val="single" w:sz="4" w:space="0" w:color="auto"/>
              <w:bottom w:val="single" w:sz="4" w:space="0" w:color="auto"/>
              <w:right w:val="single" w:sz="4" w:space="0" w:color="auto"/>
            </w:tcBorders>
            <w:shd w:val="clear" w:color="auto" w:fill="auto"/>
            <w:vAlign w:val="bottom"/>
            <w:hideMark/>
          </w:tcPr>
          <w:p w14:paraId="7D8143D9" w14:textId="77777777" w:rsidR="00B24B98" w:rsidRPr="00B6751D" w:rsidRDefault="00B24B98" w:rsidP="00A94054">
            <w:pPr>
              <w:spacing w:after="0" w:line="240" w:lineRule="auto"/>
              <w:rPr>
                <w:rFonts w:ascii="Calibri" w:eastAsia="Times New Roman" w:hAnsi="Calibri" w:cs="Calibri"/>
                <w:color w:val="000000"/>
                <w:lang w:eastAsia="en-GB"/>
              </w:rPr>
            </w:pPr>
            <w:r w:rsidRPr="00B6751D">
              <w:rPr>
                <w:rFonts w:ascii="Calibri" w:eastAsia="Times New Roman" w:hAnsi="Calibri" w:cs="Calibri"/>
                <w:color w:val="000000"/>
                <w:lang w:eastAsia="en-GB"/>
              </w:rPr>
              <w:t>hypoglycaemia</w:t>
            </w:r>
          </w:p>
        </w:tc>
        <w:tc>
          <w:tcPr>
            <w:tcW w:w="1391" w:type="dxa"/>
            <w:tcBorders>
              <w:top w:val="nil"/>
              <w:left w:val="nil"/>
              <w:bottom w:val="single" w:sz="4" w:space="0" w:color="auto"/>
              <w:right w:val="single" w:sz="4" w:space="0" w:color="auto"/>
            </w:tcBorders>
            <w:shd w:val="clear" w:color="auto" w:fill="auto"/>
            <w:noWrap/>
            <w:vAlign w:val="bottom"/>
            <w:hideMark/>
          </w:tcPr>
          <w:p w14:paraId="6314E6F9" w14:textId="77777777" w:rsidR="00B24B98" w:rsidRPr="00B6751D" w:rsidRDefault="00B24B98" w:rsidP="00A94054">
            <w:pPr>
              <w:spacing w:after="0" w:line="240" w:lineRule="auto"/>
              <w:jc w:val="right"/>
              <w:rPr>
                <w:rFonts w:ascii="Calibri" w:eastAsia="Times New Roman" w:hAnsi="Calibri" w:cs="Calibri"/>
                <w:color w:val="000000"/>
                <w:lang w:eastAsia="en-GB"/>
              </w:rPr>
            </w:pPr>
            <w:r w:rsidRPr="00B6751D">
              <w:rPr>
                <w:rFonts w:ascii="Calibri" w:eastAsia="Times New Roman" w:hAnsi="Calibri" w:cs="Calibri"/>
                <w:color w:val="000000"/>
                <w:lang w:eastAsia="en-GB"/>
              </w:rPr>
              <w:t>51</w:t>
            </w:r>
          </w:p>
        </w:tc>
        <w:tc>
          <w:tcPr>
            <w:tcW w:w="2437" w:type="dxa"/>
            <w:tcBorders>
              <w:top w:val="single" w:sz="4" w:space="0" w:color="auto"/>
              <w:left w:val="nil"/>
              <w:bottom w:val="single" w:sz="4" w:space="0" w:color="auto"/>
              <w:right w:val="single" w:sz="4" w:space="0" w:color="auto"/>
            </w:tcBorders>
          </w:tcPr>
          <w:p w14:paraId="33EDC423"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c>
          <w:tcPr>
            <w:tcW w:w="2329" w:type="dxa"/>
            <w:tcBorders>
              <w:top w:val="nil"/>
              <w:left w:val="single" w:sz="4" w:space="0" w:color="auto"/>
              <w:bottom w:val="single" w:sz="4" w:space="0" w:color="auto"/>
              <w:right w:val="single" w:sz="4" w:space="0" w:color="auto"/>
            </w:tcBorders>
          </w:tcPr>
          <w:p w14:paraId="438A38D9"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r>
      <w:tr w:rsidR="00B24B98" w:rsidRPr="00B6751D" w14:paraId="1DFC797E" w14:textId="77777777" w:rsidTr="00A94054">
        <w:trPr>
          <w:trHeight w:val="290"/>
        </w:trPr>
        <w:tc>
          <w:tcPr>
            <w:tcW w:w="3397" w:type="dxa"/>
            <w:tcBorders>
              <w:top w:val="nil"/>
              <w:left w:val="single" w:sz="4" w:space="0" w:color="auto"/>
              <w:bottom w:val="single" w:sz="4" w:space="0" w:color="auto"/>
              <w:right w:val="single" w:sz="4" w:space="0" w:color="auto"/>
            </w:tcBorders>
            <w:shd w:val="clear" w:color="auto" w:fill="auto"/>
            <w:vAlign w:val="bottom"/>
            <w:hideMark/>
          </w:tcPr>
          <w:p w14:paraId="118AB520" w14:textId="77777777" w:rsidR="00B24B98" w:rsidRPr="00B6751D" w:rsidRDefault="00B24B98" w:rsidP="00A94054">
            <w:pPr>
              <w:spacing w:after="0" w:line="240" w:lineRule="auto"/>
              <w:rPr>
                <w:rFonts w:ascii="Calibri" w:eastAsia="Times New Roman" w:hAnsi="Calibri" w:cs="Calibri"/>
                <w:color w:val="000000"/>
                <w:lang w:eastAsia="en-GB"/>
              </w:rPr>
            </w:pPr>
            <w:r w:rsidRPr="00B6751D">
              <w:rPr>
                <w:rFonts w:ascii="Calibri" w:eastAsia="Times New Roman" w:hAnsi="Calibri" w:cs="Calibri"/>
                <w:color w:val="000000"/>
                <w:lang w:eastAsia="en-GB"/>
              </w:rPr>
              <w:t xml:space="preserve">electrolytic </w:t>
            </w:r>
          </w:p>
        </w:tc>
        <w:tc>
          <w:tcPr>
            <w:tcW w:w="1391" w:type="dxa"/>
            <w:tcBorders>
              <w:top w:val="nil"/>
              <w:left w:val="nil"/>
              <w:bottom w:val="single" w:sz="4" w:space="0" w:color="auto"/>
              <w:right w:val="single" w:sz="4" w:space="0" w:color="auto"/>
            </w:tcBorders>
            <w:shd w:val="clear" w:color="auto" w:fill="auto"/>
            <w:noWrap/>
            <w:vAlign w:val="bottom"/>
            <w:hideMark/>
          </w:tcPr>
          <w:p w14:paraId="1153450D" w14:textId="77777777" w:rsidR="00B24B98" w:rsidRPr="00B6751D" w:rsidRDefault="00B24B98" w:rsidP="00A94054">
            <w:pPr>
              <w:spacing w:after="0" w:line="240" w:lineRule="auto"/>
              <w:jc w:val="right"/>
              <w:rPr>
                <w:rFonts w:ascii="Calibri" w:eastAsia="Times New Roman" w:hAnsi="Calibri" w:cs="Calibri"/>
                <w:color w:val="000000"/>
                <w:lang w:eastAsia="en-GB"/>
              </w:rPr>
            </w:pPr>
            <w:r w:rsidRPr="00B6751D">
              <w:rPr>
                <w:rFonts w:ascii="Calibri" w:eastAsia="Times New Roman" w:hAnsi="Calibri" w:cs="Calibri"/>
                <w:color w:val="000000"/>
                <w:lang w:eastAsia="en-GB"/>
              </w:rPr>
              <w:t>50</w:t>
            </w:r>
          </w:p>
        </w:tc>
        <w:tc>
          <w:tcPr>
            <w:tcW w:w="2437" w:type="dxa"/>
            <w:tcBorders>
              <w:top w:val="single" w:sz="4" w:space="0" w:color="auto"/>
              <w:left w:val="nil"/>
              <w:bottom w:val="single" w:sz="4" w:space="0" w:color="auto"/>
              <w:right w:val="single" w:sz="4" w:space="0" w:color="auto"/>
            </w:tcBorders>
          </w:tcPr>
          <w:p w14:paraId="428CAE95"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c>
          <w:tcPr>
            <w:tcW w:w="2329" w:type="dxa"/>
            <w:tcBorders>
              <w:top w:val="nil"/>
              <w:left w:val="single" w:sz="4" w:space="0" w:color="auto"/>
              <w:bottom w:val="single" w:sz="4" w:space="0" w:color="auto"/>
              <w:right w:val="single" w:sz="4" w:space="0" w:color="auto"/>
            </w:tcBorders>
          </w:tcPr>
          <w:p w14:paraId="2A126013"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r>
      <w:tr w:rsidR="00B24B98" w:rsidRPr="00B6751D" w14:paraId="4879436F" w14:textId="77777777" w:rsidTr="00A94054">
        <w:trPr>
          <w:trHeight w:val="290"/>
        </w:trPr>
        <w:tc>
          <w:tcPr>
            <w:tcW w:w="3397" w:type="dxa"/>
            <w:tcBorders>
              <w:top w:val="nil"/>
              <w:left w:val="single" w:sz="4" w:space="0" w:color="auto"/>
              <w:bottom w:val="single" w:sz="4" w:space="0" w:color="auto"/>
              <w:right w:val="single" w:sz="4" w:space="0" w:color="auto"/>
            </w:tcBorders>
            <w:shd w:val="clear" w:color="auto" w:fill="auto"/>
            <w:vAlign w:val="bottom"/>
            <w:hideMark/>
          </w:tcPr>
          <w:p w14:paraId="79CDA046" w14:textId="77777777" w:rsidR="00B24B98" w:rsidRPr="00B6751D" w:rsidRDefault="00B24B98" w:rsidP="00A94054">
            <w:pPr>
              <w:spacing w:after="0" w:line="240" w:lineRule="auto"/>
              <w:rPr>
                <w:rFonts w:ascii="Calibri" w:eastAsia="Times New Roman" w:hAnsi="Calibri" w:cs="Calibri"/>
                <w:color w:val="000000"/>
                <w:lang w:eastAsia="en-GB"/>
              </w:rPr>
            </w:pPr>
            <w:r w:rsidRPr="00B6751D">
              <w:rPr>
                <w:rFonts w:ascii="Calibri" w:eastAsia="Times New Roman" w:hAnsi="Calibri" w:cs="Calibri"/>
                <w:color w:val="000000"/>
                <w:lang w:eastAsia="en-GB"/>
              </w:rPr>
              <w:t>Delirium, falls, constipation</w:t>
            </w:r>
          </w:p>
        </w:tc>
        <w:tc>
          <w:tcPr>
            <w:tcW w:w="1391" w:type="dxa"/>
            <w:tcBorders>
              <w:top w:val="nil"/>
              <w:left w:val="nil"/>
              <w:bottom w:val="single" w:sz="4" w:space="0" w:color="auto"/>
              <w:right w:val="single" w:sz="4" w:space="0" w:color="auto"/>
            </w:tcBorders>
            <w:shd w:val="clear" w:color="auto" w:fill="auto"/>
            <w:noWrap/>
            <w:vAlign w:val="bottom"/>
            <w:hideMark/>
          </w:tcPr>
          <w:p w14:paraId="608AA4E6" w14:textId="77777777" w:rsidR="00B24B98" w:rsidRPr="00B6751D" w:rsidRDefault="00B24B98" w:rsidP="00A94054">
            <w:pPr>
              <w:spacing w:after="0" w:line="240" w:lineRule="auto"/>
              <w:jc w:val="right"/>
              <w:rPr>
                <w:rFonts w:ascii="Calibri" w:eastAsia="Times New Roman" w:hAnsi="Calibri" w:cs="Calibri"/>
                <w:color w:val="000000"/>
                <w:lang w:eastAsia="en-GB"/>
              </w:rPr>
            </w:pPr>
            <w:r w:rsidRPr="00B6751D">
              <w:rPr>
                <w:rFonts w:ascii="Calibri" w:eastAsia="Times New Roman" w:hAnsi="Calibri" w:cs="Calibri"/>
                <w:color w:val="000000"/>
                <w:lang w:eastAsia="en-GB"/>
              </w:rPr>
              <w:t>48</w:t>
            </w:r>
          </w:p>
        </w:tc>
        <w:tc>
          <w:tcPr>
            <w:tcW w:w="2437" w:type="dxa"/>
            <w:tcBorders>
              <w:top w:val="single" w:sz="4" w:space="0" w:color="auto"/>
              <w:left w:val="nil"/>
              <w:bottom w:val="single" w:sz="4" w:space="0" w:color="auto"/>
              <w:right w:val="single" w:sz="4" w:space="0" w:color="auto"/>
            </w:tcBorders>
          </w:tcPr>
          <w:p w14:paraId="41E4F4FB"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c>
          <w:tcPr>
            <w:tcW w:w="2329" w:type="dxa"/>
            <w:tcBorders>
              <w:top w:val="nil"/>
              <w:left w:val="single" w:sz="4" w:space="0" w:color="auto"/>
              <w:bottom w:val="single" w:sz="4" w:space="0" w:color="auto"/>
              <w:right w:val="single" w:sz="4" w:space="0" w:color="auto"/>
            </w:tcBorders>
          </w:tcPr>
          <w:p w14:paraId="07970A78"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r>
      <w:tr w:rsidR="00B24B98" w:rsidRPr="00B6751D" w14:paraId="2F041397" w14:textId="77777777" w:rsidTr="00A94054">
        <w:trPr>
          <w:trHeight w:val="290"/>
        </w:trPr>
        <w:tc>
          <w:tcPr>
            <w:tcW w:w="3397" w:type="dxa"/>
            <w:tcBorders>
              <w:top w:val="nil"/>
              <w:left w:val="single" w:sz="4" w:space="0" w:color="auto"/>
              <w:bottom w:val="single" w:sz="4" w:space="0" w:color="auto"/>
              <w:right w:val="single" w:sz="4" w:space="0" w:color="auto"/>
            </w:tcBorders>
            <w:shd w:val="clear" w:color="auto" w:fill="auto"/>
            <w:vAlign w:val="bottom"/>
            <w:hideMark/>
          </w:tcPr>
          <w:p w14:paraId="6F1CC8BF" w14:textId="77777777" w:rsidR="00B24B98" w:rsidRPr="00B6751D" w:rsidRDefault="00B24B98" w:rsidP="00A94054">
            <w:pPr>
              <w:spacing w:after="0" w:line="240" w:lineRule="auto"/>
              <w:rPr>
                <w:rFonts w:ascii="Calibri" w:eastAsia="Times New Roman" w:hAnsi="Calibri" w:cs="Calibri"/>
                <w:color w:val="000000"/>
                <w:lang w:eastAsia="en-GB"/>
              </w:rPr>
            </w:pPr>
            <w:r w:rsidRPr="00B6751D">
              <w:rPr>
                <w:rFonts w:ascii="Calibri" w:eastAsia="Times New Roman" w:hAnsi="Calibri" w:cs="Calibri"/>
                <w:color w:val="000000"/>
                <w:lang w:eastAsia="en-GB"/>
              </w:rPr>
              <w:t xml:space="preserve">dermatologic/allergic </w:t>
            </w:r>
          </w:p>
        </w:tc>
        <w:tc>
          <w:tcPr>
            <w:tcW w:w="1391" w:type="dxa"/>
            <w:tcBorders>
              <w:top w:val="nil"/>
              <w:left w:val="nil"/>
              <w:bottom w:val="single" w:sz="4" w:space="0" w:color="auto"/>
              <w:right w:val="single" w:sz="4" w:space="0" w:color="auto"/>
            </w:tcBorders>
            <w:shd w:val="clear" w:color="auto" w:fill="auto"/>
            <w:noWrap/>
            <w:vAlign w:val="bottom"/>
            <w:hideMark/>
          </w:tcPr>
          <w:p w14:paraId="3E4E35E8" w14:textId="77777777" w:rsidR="00B24B98" w:rsidRPr="00B6751D" w:rsidRDefault="00B24B98" w:rsidP="00A94054">
            <w:pPr>
              <w:spacing w:after="0" w:line="240" w:lineRule="auto"/>
              <w:jc w:val="right"/>
              <w:rPr>
                <w:rFonts w:ascii="Calibri" w:eastAsia="Times New Roman" w:hAnsi="Calibri" w:cs="Calibri"/>
                <w:color w:val="000000"/>
                <w:lang w:eastAsia="en-GB"/>
              </w:rPr>
            </w:pPr>
            <w:r w:rsidRPr="00B6751D">
              <w:rPr>
                <w:rFonts w:ascii="Calibri" w:eastAsia="Times New Roman" w:hAnsi="Calibri" w:cs="Calibri"/>
                <w:color w:val="000000"/>
                <w:lang w:eastAsia="en-GB"/>
              </w:rPr>
              <w:t>46</w:t>
            </w:r>
          </w:p>
        </w:tc>
        <w:tc>
          <w:tcPr>
            <w:tcW w:w="2437" w:type="dxa"/>
            <w:tcBorders>
              <w:top w:val="single" w:sz="4" w:space="0" w:color="auto"/>
              <w:left w:val="nil"/>
              <w:bottom w:val="single" w:sz="4" w:space="0" w:color="auto"/>
              <w:right w:val="single" w:sz="4" w:space="0" w:color="auto"/>
            </w:tcBorders>
          </w:tcPr>
          <w:p w14:paraId="5976DC1F"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c>
          <w:tcPr>
            <w:tcW w:w="2329" w:type="dxa"/>
            <w:tcBorders>
              <w:top w:val="nil"/>
              <w:left w:val="single" w:sz="4" w:space="0" w:color="auto"/>
              <w:bottom w:val="single" w:sz="4" w:space="0" w:color="auto"/>
              <w:right w:val="single" w:sz="4" w:space="0" w:color="auto"/>
            </w:tcBorders>
          </w:tcPr>
          <w:p w14:paraId="3FE77F1B"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r>
      <w:tr w:rsidR="00B24B98" w:rsidRPr="00B6751D" w14:paraId="2B980707" w14:textId="77777777" w:rsidTr="00A94054">
        <w:trPr>
          <w:trHeight w:val="290"/>
        </w:trPr>
        <w:tc>
          <w:tcPr>
            <w:tcW w:w="3397" w:type="dxa"/>
            <w:tcBorders>
              <w:top w:val="nil"/>
              <w:left w:val="single" w:sz="4" w:space="0" w:color="auto"/>
              <w:bottom w:val="single" w:sz="4" w:space="0" w:color="auto"/>
              <w:right w:val="single" w:sz="4" w:space="0" w:color="auto"/>
            </w:tcBorders>
            <w:shd w:val="clear" w:color="auto" w:fill="auto"/>
            <w:vAlign w:val="bottom"/>
            <w:hideMark/>
          </w:tcPr>
          <w:p w14:paraId="4A704718" w14:textId="77777777" w:rsidR="00B24B98" w:rsidRPr="00B6751D" w:rsidRDefault="00B24B98" w:rsidP="00A94054">
            <w:pPr>
              <w:spacing w:after="0" w:line="240" w:lineRule="auto"/>
              <w:rPr>
                <w:rFonts w:ascii="Calibri" w:eastAsia="Times New Roman" w:hAnsi="Calibri" w:cs="Calibri"/>
                <w:color w:val="000000"/>
                <w:lang w:eastAsia="en-GB"/>
              </w:rPr>
            </w:pPr>
            <w:r w:rsidRPr="00B6751D">
              <w:rPr>
                <w:rFonts w:ascii="Calibri" w:eastAsia="Times New Roman" w:hAnsi="Calibri" w:cs="Calibri"/>
                <w:color w:val="000000"/>
                <w:lang w:eastAsia="en-GB"/>
              </w:rPr>
              <w:t>postural hypotension</w:t>
            </w:r>
          </w:p>
        </w:tc>
        <w:tc>
          <w:tcPr>
            <w:tcW w:w="1391" w:type="dxa"/>
            <w:tcBorders>
              <w:top w:val="nil"/>
              <w:left w:val="nil"/>
              <w:bottom w:val="single" w:sz="4" w:space="0" w:color="auto"/>
              <w:right w:val="single" w:sz="4" w:space="0" w:color="auto"/>
            </w:tcBorders>
            <w:shd w:val="clear" w:color="auto" w:fill="auto"/>
            <w:noWrap/>
            <w:vAlign w:val="bottom"/>
            <w:hideMark/>
          </w:tcPr>
          <w:p w14:paraId="5064493F" w14:textId="77777777" w:rsidR="00B24B98" w:rsidRPr="00B6751D" w:rsidRDefault="00B24B98" w:rsidP="00A94054">
            <w:pPr>
              <w:spacing w:after="0" w:line="240" w:lineRule="auto"/>
              <w:jc w:val="right"/>
              <w:rPr>
                <w:rFonts w:ascii="Calibri" w:eastAsia="Times New Roman" w:hAnsi="Calibri" w:cs="Calibri"/>
                <w:color w:val="000000"/>
                <w:lang w:eastAsia="en-GB"/>
              </w:rPr>
            </w:pPr>
            <w:r w:rsidRPr="00B6751D">
              <w:rPr>
                <w:rFonts w:ascii="Calibri" w:eastAsia="Times New Roman" w:hAnsi="Calibri" w:cs="Calibri"/>
                <w:color w:val="000000"/>
                <w:lang w:eastAsia="en-GB"/>
              </w:rPr>
              <w:t>45</w:t>
            </w:r>
          </w:p>
        </w:tc>
        <w:tc>
          <w:tcPr>
            <w:tcW w:w="2437" w:type="dxa"/>
            <w:tcBorders>
              <w:top w:val="single" w:sz="4" w:space="0" w:color="auto"/>
              <w:left w:val="nil"/>
              <w:bottom w:val="single" w:sz="4" w:space="0" w:color="auto"/>
              <w:right w:val="single" w:sz="4" w:space="0" w:color="auto"/>
            </w:tcBorders>
          </w:tcPr>
          <w:p w14:paraId="325AD473"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c>
          <w:tcPr>
            <w:tcW w:w="2329" w:type="dxa"/>
            <w:tcBorders>
              <w:top w:val="nil"/>
              <w:left w:val="single" w:sz="4" w:space="0" w:color="auto"/>
              <w:bottom w:val="single" w:sz="4" w:space="0" w:color="auto"/>
              <w:right w:val="single" w:sz="4" w:space="0" w:color="auto"/>
            </w:tcBorders>
          </w:tcPr>
          <w:p w14:paraId="6194FC18"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r>
      <w:tr w:rsidR="00B24B98" w:rsidRPr="00B6751D" w14:paraId="24CBA41E" w14:textId="77777777" w:rsidTr="00A94054">
        <w:trPr>
          <w:trHeight w:val="290"/>
        </w:trPr>
        <w:tc>
          <w:tcPr>
            <w:tcW w:w="3397" w:type="dxa"/>
            <w:tcBorders>
              <w:top w:val="nil"/>
              <w:left w:val="single" w:sz="4" w:space="0" w:color="auto"/>
              <w:bottom w:val="single" w:sz="4" w:space="0" w:color="auto"/>
              <w:right w:val="single" w:sz="4" w:space="0" w:color="auto"/>
            </w:tcBorders>
            <w:shd w:val="clear" w:color="auto" w:fill="auto"/>
            <w:noWrap/>
            <w:vAlign w:val="bottom"/>
            <w:hideMark/>
          </w:tcPr>
          <w:p w14:paraId="02525703" w14:textId="77777777" w:rsidR="00B24B98" w:rsidRPr="00B6751D" w:rsidRDefault="00B24B98" w:rsidP="00A94054">
            <w:pPr>
              <w:spacing w:after="0" w:line="240" w:lineRule="auto"/>
              <w:rPr>
                <w:rFonts w:ascii="Calibri" w:eastAsia="Times New Roman" w:hAnsi="Calibri" w:cs="Calibri"/>
                <w:color w:val="000000"/>
                <w:lang w:eastAsia="en-GB"/>
              </w:rPr>
            </w:pPr>
            <w:r w:rsidRPr="00B6751D">
              <w:rPr>
                <w:rFonts w:ascii="Calibri" w:eastAsia="Times New Roman" w:hAnsi="Calibri" w:cs="Calibri"/>
                <w:color w:val="000000"/>
                <w:lang w:eastAsia="en-GB"/>
              </w:rPr>
              <w:t>Symptomatic orthostatic hypotension, symptomatic bradycardia</w:t>
            </w:r>
          </w:p>
        </w:tc>
        <w:tc>
          <w:tcPr>
            <w:tcW w:w="1391" w:type="dxa"/>
            <w:tcBorders>
              <w:top w:val="nil"/>
              <w:left w:val="nil"/>
              <w:bottom w:val="single" w:sz="4" w:space="0" w:color="auto"/>
              <w:right w:val="single" w:sz="4" w:space="0" w:color="auto"/>
            </w:tcBorders>
            <w:shd w:val="clear" w:color="auto" w:fill="auto"/>
            <w:noWrap/>
            <w:vAlign w:val="bottom"/>
            <w:hideMark/>
          </w:tcPr>
          <w:p w14:paraId="2BE0BBCC" w14:textId="77777777" w:rsidR="00B24B98" w:rsidRPr="00B6751D" w:rsidRDefault="00B24B98" w:rsidP="00A94054">
            <w:pPr>
              <w:spacing w:after="0" w:line="240" w:lineRule="auto"/>
              <w:jc w:val="right"/>
              <w:rPr>
                <w:rFonts w:ascii="Calibri" w:eastAsia="Times New Roman" w:hAnsi="Calibri" w:cs="Calibri"/>
                <w:color w:val="000000"/>
                <w:lang w:eastAsia="en-GB"/>
              </w:rPr>
            </w:pPr>
            <w:r w:rsidRPr="00B6751D">
              <w:rPr>
                <w:rFonts w:ascii="Calibri" w:eastAsia="Times New Roman" w:hAnsi="Calibri" w:cs="Calibri"/>
                <w:color w:val="000000"/>
                <w:lang w:eastAsia="en-GB"/>
              </w:rPr>
              <w:t>39</w:t>
            </w:r>
          </w:p>
        </w:tc>
        <w:tc>
          <w:tcPr>
            <w:tcW w:w="2437" w:type="dxa"/>
            <w:tcBorders>
              <w:top w:val="single" w:sz="4" w:space="0" w:color="auto"/>
              <w:left w:val="nil"/>
              <w:bottom w:val="single" w:sz="4" w:space="0" w:color="auto"/>
              <w:right w:val="single" w:sz="4" w:space="0" w:color="auto"/>
            </w:tcBorders>
          </w:tcPr>
          <w:p w14:paraId="6791534E"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c>
          <w:tcPr>
            <w:tcW w:w="2329" w:type="dxa"/>
            <w:tcBorders>
              <w:top w:val="nil"/>
              <w:left w:val="single" w:sz="4" w:space="0" w:color="auto"/>
              <w:bottom w:val="single" w:sz="4" w:space="0" w:color="auto"/>
              <w:right w:val="single" w:sz="4" w:space="0" w:color="auto"/>
            </w:tcBorders>
          </w:tcPr>
          <w:p w14:paraId="4D35D225"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r>
      <w:tr w:rsidR="00B24B98" w:rsidRPr="00B6751D" w14:paraId="4A11299A" w14:textId="77777777" w:rsidTr="00A94054">
        <w:trPr>
          <w:trHeight w:val="290"/>
        </w:trPr>
        <w:tc>
          <w:tcPr>
            <w:tcW w:w="3397" w:type="dxa"/>
            <w:tcBorders>
              <w:top w:val="nil"/>
              <w:left w:val="single" w:sz="4" w:space="0" w:color="auto"/>
              <w:bottom w:val="single" w:sz="4" w:space="0" w:color="auto"/>
              <w:right w:val="single" w:sz="4" w:space="0" w:color="auto"/>
            </w:tcBorders>
            <w:shd w:val="clear" w:color="auto" w:fill="auto"/>
            <w:vAlign w:val="bottom"/>
            <w:hideMark/>
          </w:tcPr>
          <w:p w14:paraId="3363E219" w14:textId="77777777" w:rsidR="00B24B98" w:rsidRPr="00B6751D" w:rsidRDefault="00B24B98" w:rsidP="00A94054">
            <w:pPr>
              <w:spacing w:after="0" w:line="240" w:lineRule="auto"/>
              <w:rPr>
                <w:rFonts w:ascii="Calibri" w:eastAsia="Times New Roman" w:hAnsi="Calibri" w:cs="Calibri"/>
                <w:color w:val="000000"/>
                <w:lang w:eastAsia="en-GB"/>
              </w:rPr>
            </w:pPr>
            <w:r w:rsidRPr="00B6751D">
              <w:rPr>
                <w:rFonts w:ascii="Calibri" w:eastAsia="Times New Roman" w:hAnsi="Calibri" w:cs="Calibri"/>
                <w:color w:val="000000"/>
                <w:lang w:eastAsia="en-GB"/>
              </w:rPr>
              <w:t>fall</w:t>
            </w:r>
          </w:p>
        </w:tc>
        <w:tc>
          <w:tcPr>
            <w:tcW w:w="1391" w:type="dxa"/>
            <w:tcBorders>
              <w:top w:val="nil"/>
              <w:left w:val="nil"/>
              <w:bottom w:val="single" w:sz="4" w:space="0" w:color="auto"/>
              <w:right w:val="single" w:sz="4" w:space="0" w:color="auto"/>
            </w:tcBorders>
            <w:shd w:val="clear" w:color="auto" w:fill="auto"/>
            <w:noWrap/>
            <w:vAlign w:val="bottom"/>
            <w:hideMark/>
          </w:tcPr>
          <w:p w14:paraId="19E5B2B3" w14:textId="77777777" w:rsidR="00B24B98" w:rsidRPr="00B6751D" w:rsidRDefault="00B24B98" w:rsidP="00A94054">
            <w:pPr>
              <w:spacing w:after="0" w:line="240" w:lineRule="auto"/>
              <w:jc w:val="right"/>
              <w:rPr>
                <w:rFonts w:ascii="Calibri" w:eastAsia="Times New Roman" w:hAnsi="Calibri" w:cs="Calibri"/>
                <w:color w:val="000000"/>
                <w:lang w:eastAsia="en-GB"/>
              </w:rPr>
            </w:pPr>
            <w:r w:rsidRPr="00B6751D">
              <w:rPr>
                <w:rFonts w:ascii="Calibri" w:eastAsia="Times New Roman" w:hAnsi="Calibri" w:cs="Calibri"/>
                <w:color w:val="000000"/>
                <w:lang w:eastAsia="en-GB"/>
              </w:rPr>
              <w:t>34</w:t>
            </w:r>
          </w:p>
        </w:tc>
        <w:tc>
          <w:tcPr>
            <w:tcW w:w="2437" w:type="dxa"/>
            <w:tcBorders>
              <w:top w:val="single" w:sz="4" w:space="0" w:color="auto"/>
              <w:left w:val="nil"/>
              <w:bottom w:val="single" w:sz="4" w:space="0" w:color="auto"/>
              <w:right w:val="single" w:sz="4" w:space="0" w:color="auto"/>
            </w:tcBorders>
          </w:tcPr>
          <w:p w14:paraId="1C0539CC"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c>
          <w:tcPr>
            <w:tcW w:w="2329" w:type="dxa"/>
            <w:tcBorders>
              <w:top w:val="nil"/>
              <w:left w:val="single" w:sz="4" w:space="0" w:color="auto"/>
              <w:bottom w:val="single" w:sz="4" w:space="0" w:color="auto"/>
              <w:right w:val="single" w:sz="4" w:space="0" w:color="auto"/>
            </w:tcBorders>
          </w:tcPr>
          <w:p w14:paraId="0F870681"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r>
      <w:tr w:rsidR="00B24B98" w:rsidRPr="00B6751D" w14:paraId="056CB975" w14:textId="77777777" w:rsidTr="00A94054">
        <w:trPr>
          <w:trHeight w:val="290"/>
        </w:trPr>
        <w:tc>
          <w:tcPr>
            <w:tcW w:w="3397" w:type="dxa"/>
            <w:tcBorders>
              <w:top w:val="nil"/>
              <w:left w:val="single" w:sz="4" w:space="0" w:color="auto"/>
              <w:bottom w:val="single" w:sz="4" w:space="0" w:color="auto"/>
              <w:right w:val="single" w:sz="4" w:space="0" w:color="auto"/>
            </w:tcBorders>
            <w:shd w:val="clear" w:color="auto" w:fill="auto"/>
            <w:noWrap/>
            <w:vAlign w:val="bottom"/>
            <w:hideMark/>
          </w:tcPr>
          <w:p w14:paraId="0F75CF44" w14:textId="77777777" w:rsidR="00B24B98" w:rsidRPr="00B6751D" w:rsidRDefault="00B24B98" w:rsidP="00A94054">
            <w:pPr>
              <w:spacing w:after="0" w:line="240" w:lineRule="auto"/>
              <w:rPr>
                <w:rFonts w:ascii="Calibri" w:eastAsia="Times New Roman" w:hAnsi="Calibri" w:cs="Calibri"/>
                <w:color w:val="000000"/>
                <w:lang w:eastAsia="en-GB"/>
              </w:rPr>
            </w:pPr>
            <w:r w:rsidRPr="00B6751D">
              <w:rPr>
                <w:rFonts w:ascii="Calibri" w:eastAsia="Times New Roman" w:hAnsi="Calibri" w:cs="Calibri"/>
                <w:color w:val="000000"/>
                <w:lang w:eastAsia="en-GB"/>
              </w:rPr>
              <w:t xml:space="preserve">acute confusion / falls / sedation / constipation </w:t>
            </w:r>
          </w:p>
        </w:tc>
        <w:tc>
          <w:tcPr>
            <w:tcW w:w="1391" w:type="dxa"/>
            <w:tcBorders>
              <w:top w:val="nil"/>
              <w:left w:val="nil"/>
              <w:bottom w:val="single" w:sz="4" w:space="0" w:color="auto"/>
              <w:right w:val="single" w:sz="4" w:space="0" w:color="auto"/>
            </w:tcBorders>
            <w:shd w:val="clear" w:color="auto" w:fill="auto"/>
            <w:noWrap/>
            <w:vAlign w:val="bottom"/>
            <w:hideMark/>
          </w:tcPr>
          <w:p w14:paraId="359D20C5" w14:textId="77777777" w:rsidR="00B24B98" w:rsidRPr="00B6751D" w:rsidRDefault="00B24B98" w:rsidP="00A94054">
            <w:pPr>
              <w:spacing w:after="0" w:line="240" w:lineRule="auto"/>
              <w:jc w:val="right"/>
              <w:rPr>
                <w:rFonts w:ascii="Calibri" w:eastAsia="Times New Roman" w:hAnsi="Calibri" w:cs="Calibri"/>
                <w:color w:val="000000"/>
                <w:lang w:eastAsia="en-GB"/>
              </w:rPr>
            </w:pPr>
            <w:r w:rsidRPr="00B6751D">
              <w:rPr>
                <w:rFonts w:ascii="Calibri" w:eastAsia="Times New Roman" w:hAnsi="Calibri" w:cs="Calibri"/>
                <w:color w:val="000000"/>
                <w:lang w:eastAsia="en-GB"/>
              </w:rPr>
              <w:t>32</w:t>
            </w:r>
          </w:p>
        </w:tc>
        <w:tc>
          <w:tcPr>
            <w:tcW w:w="2437" w:type="dxa"/>
            <w:tcBorders>
              <w:top w:val="single" w:sz="4" w:space="0" w:color="auto"/>
              <w:left w:val="nil"/>
              <w:bottom w:val="single" w:sz="4" w:space="0" w:color="auto"/>
              <w:right w:val="single" w:sz="4" w:space="0" w:color="auto"/>
            </w:tcBorders>
          </w:tcPr>
          <w:p w14:paraId="67FF00D4"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c>
          <w:tcPr>
            <w:tcW w:w="2329" w:type="dxa"/>
            <w:tcBorders>
              <w:top w:val="nil"/>
              <w:left w:val="single" w:sz="4" w:space="0" w:color="auto"/>
              <w:bottom w:val="single" w:sz="4" w:space="0" w:color="auto"/>
              <w:right w:val="single" w:sz="4" w:space="0" w:color="auto"/>
            </w:tcBorders>
          </w:tcPr>
          <w:p w14:paraId="3CCFA7FF"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r>
      <w:tr w:rsidR="00B24B98" w:rsidRPr="00B6751D" w14:paraId="00D8EE5A" w14:textId="77777777" w:rsidTr="00A94054">
        <w:trPr>
          <w:trHeight w:val="290"/>
        </w:trPr>
        <w:tc>
          <w:tcPr>
            <w:tcW w:w="3397" w:type="dxa"/>
            <w:tcBorders>
              <w:top w:val="nil"/>
              <w:left w:val="single" w:sz="4" w:space="0" w:color="auto"/>
              <w:bottom w:val="single" w:sz="4" w:space="0" w:color="auto"/>
              <w:right w:val="single" w:sz="4" w:space="0" w:color="auto"/>
            </w:tcBorders>
            <w:shd w:val="clear" w:color="auto" w:fill="auto"/>
            <w:vAlign w:val="bottom"/>
            <w:hideMark/>
          </w:tcPr>
          <w:p w14:paraId="37136C7C" w14:textId="77777777" w:rsidR="00B24B98" w:rsidRPr="00B6751D" w:rsidRDefault="00B24B98" w:rsidP="00A94054">
            <w:pPr>
              <w:spacing w:after="0" w:line="240" w:lineRule="auto"/>
              <w:rPr>
                <w:rFonts w:ascii="Calibri" w:eastAsia="Times New Roman" w:hAnsi="Calibri" w:cs="Calibri"/>
                <w:color w:val="000000"/>
                <w:lang w:eastAsia="en-GB"/>
              </w:rPr>
            </w:pPr>
            <w:r w:rsidRPr="00B6751D">
              <w:rPr>
                <w:rFonts w:ascii="Calibri" w:eastAsia="Times New Roman" w:hAnsi="Calibri" w:cs="Calibri"/>
                <w:color w:val="000000"/>
                <w:lang w:eastAsia="en-GB"/>
              </w:rPr>
              <w:t>Hyponatraemia</w:t>
            </w:r>
          </w:p>
        </w:tc>
        <w:tc>
          <w:tcPr>
            <w:tcW w:w="1391" w:type="dxa"/>
            <w:tcBorders>
              <w:top w:val="nil"/>
              <w:left w:val="nil"/>
              <w:bottom w:val="single" w:sz="4" w:space="0" w:color="auto"/>
              <w:right w:val="single" w:sz="4" w:space="0" w:color="auto"/>
            </w:tcBorders>
            <w:shd w:val="clear" w:color="auto" w:fill="auto"/>
            <w:noWrap/>
            <w:vAlign w:val="bottom"/>
            <w:hideMark/>
          </w:tcPr>
          <w:p w14:paraId="7F35A69D" w14:textId="77777777" w:rsidR="00B24B98" w:rsidRPr="00B6751D" w:rsidRDefault="00B24B98" w:rsidP="00A94054">
            <w:pPr>
              <w:spacing w:after="0" w:line="240" w:lineRule="auto"/>
              <w:jc w:val="right"/>
              <w:rPr>
                <w:rFonts w:ascii="Calibri" w:eastAsia="Times New Roman" w:hAnsi="Calibri" w:cs="Calibri"/>
                <w:color w:val="000000"/>
                <w:lang w:eastAsia="en-GB"/>
              </w:rPr>
            </w:pPr>
            <w:r w:rsidRPr="00B6751D">
              <w:rPr>
                <w:rFonts w:ascii="Calibri" w:eastAsia="Times New Roman" w:hAnsi="Calibri" w:cs="Calibri"/>
                <w:color w:val="000000"/>
                <w:lang w:eastAsia="en-GB"/>
              </w:rPr>
              <w:t>27</w:t>
            </w:r>
          </w:p>
        </w:tc>
        <w:tc>
          <w:tcPr>
            <w:tcW w:w="2437" w:type="dxa"/>
            <w:tcBorders>
              <w:top w:val="single" w:sz="4" w:space="0" w:color="auto"/>
              <w:left w:val="nil"/>
              <w:bottom w:val="single" w:sz="4" w:space="0" w:color="auto"/>
              <w:right w:val="single" w:sz="4" w:space="0" w:color="auto"/>
            </w:tcBorders>
          </w:tcPr>
          <w:p w14:paraId="4845BF82"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c>
          <w:tcPr>
            <w:tcW w:w="2329" w:type="dxa"/>
            <w:tcBorders>
              <w:top w:val="nil"/>
              <w:left w:val="single" w:sz="4" w:space="0" w:color="auto"/>
              <w:bottom w:val="single" w:sz="4" w:space="0" w:color="auto"/>
              <w:right w:val="single" w:sz="4" w:space="0" w:color="auto"/>
            </w:tcBorders>
          </w:tcPr>
          <w:p w14:paraId="36D0BC6A"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r>
      <w:tr w:rsidR="00B24B98" w:rsidRPr="00B6751D" w14:paraId="4A854904" w14:textId="77777777" w:rsidTr="00A94054">
        <w:trPr>
          <w:trHeight w:val="290"/>
        </w:trPr>
        <w:tc>
          <w:tcPr>
            <w:tcW w:w="3397" w:type="dxa"/>
            <w:tcBorders>
              <w:top w:val="nil"/>
              <w:left w:val="single" w:sz="4" w:space="0" w:color="auto"/>
              <w:bottom w:val="single" w:sz="4" w:space="0" w:color="auto"/>
              <w:right w:val="single" w:sz="4" w:space="0" w:color="auto"/>
            </w:tcBorders>
            <w:shd w:val="clear" w:color="auto" w:fill="auto"/>
            <w:vAlign w:val="bottom"/>
            <w:hideMark/>
          </w:tcPr>
          <w:p w14:paraId="1D3C9CE2" w14:textId="77777777" w:rsidR="00B24B98" w:rsidRPr="00B6751D" w:rsidRDefault="00B24B98" w:rsidP="00A94054">
            <w:pPr>
              <w:spacing w:after="0" w:line="240" w:lineRule="auto"/>
              <w:rPr>
                <w:rFonts w:ascii="Calibri" w:eastAsia="Times New Roman" w:hAnsi="Calibri" w:cs="Calibri"/>
                <w:color w:val="000000"/>
                <w:lang w:eastAsia="en-GB"/>
              </w:rPr>
            </w:pPr>
            <w:r w:rsidRPr="00B6751D">
              <w:rPr>
                <w:rFonts w:ascii="Calibri" w:eastAsia="Times New Roman" w:hAnsi="Calibri" w:cs="Calibri"/>
                <w:color w:val="000000"/>
                <w:lang w:eastAsia="en-GB"/>
              </w:rPr>
              <w:t>anaemia</w:t>
            </w:r>
          </w:p>
        </w:tc>
        <w:tc>
          <w:tcPr>
            <w:tcW w:w="1391" w:type="dxa"/>
            <w:tcBorders>
              <w:top w:val="nil"/>
              <w:left w:val="nil"/>
              <w:bottom w:val="single" w:sz="4" w:space="0" w:color="auto"/>
              <w:right w:val="single" w:sz="4" w:space="0" w:color="auto"/>
            </w:tcBorders>
            <w:shd w:val="clear" w:color="auto" w:fill="auto"/>
            <w:noWrap/>
            <w:vAlign w:val="bottom"/>
            <w:hideMark/>
          </w:tcPr>
          <w:p w14:paraId="395B47B2" w14:textId="77777777" w:rsidR="00B24B98" w:rsidRPr="00B6751D" w:rsidRDefault="00B24B98" w:rsidP="00A94054">
            <w:pPr>
              <w:spacing w:after="0" w:line="240" w:lineRule="auto"/>
              <w:jc w:val="right"/>
              <w:rPr>
                <w:rFonts w:ascii="Calibri" w:eastAsia="Times New Roman" w:hAnsi="Calibri" w:cs="Calibri"/>
                <w:color w:val="000000"/>
                <w:lang w:eastAsia="en-GB"/>
              </w:rPr>
            </w:pPr>
            <w:r w:rsidRPr="00B6751D">
              <w:rPr>
                <w:rFonts w:ascii="Calibri" w:eastAsia="Times New Roman" w:hAnsi="Calibri" w:cs="Calibri"/>
                <w:color w:val="000000"/>
                <w:lang w:eastAsia="en-GB"/>
              </w:rPr>
              <w:t>26</w:t>
            </w:r>
          </w:p>
        </w:tc>
        <w:tc>
          <w:tcPr>
            <w:tcW w:w="2437" w:type="dxa"/>
            <w:tcBorders>
              <w:top w:val="single" w:sz="4" w:space="0" w:color="auto"/>
              <w:left w:val="nil"/>
              <w:bottom w:val="single" w:sz="4" w:space="0" w:color="auto"/>
              <w:right w:val="single" w:sz="4" w:space="0" w:color="auto"/>
            </w:tcBorders>
          </w:tcPr>
          <w:p w14:paraId="7DDA427A"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c>
          <w:tcPr>
            <w:tcW w:w="2329" w:type="dxa"/>
            <w:tcBorders>
              <w:top w:val="nil"/>
              <w:left w:val="single" w:sz="4" w:space="0" w:color="auto"/>
              <w:bottom w:val="single" w:sz="4" w:space="0" w:color="auto"/>
              <w:right w:val="single" w:sz="4" w:space="0" w:color="auto"/>
            </w:tcBorders>
          </w:tcPr>
          <w:p w14:paraId="39353D81"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r>
      <w:tr w:rsidR="00B24B98" w:rsidRPr="00B6751D" w14:paraId="178986E0" w14:textId="77777777" w:rsidTr="00A94054">
        <w:trPr>
          <w:trHeight w:val="290"/>
        </w:trPr>
        <w:tc>
          <w:tcPr>
            <w:tcW w:w="3397" w:type="dxa"/>
            <w:tcBorders>
              <w:top w:val="nil"/>
              <w:left w:val="single" w:sz="4" w:space="0" w:color="auto"/>
              <w:bottom w:val="single" w:sz="4" w:space="0" w:color="auto"/>
              <w:right w:val="single" w:sz="4" w:space="0" w:color="auto"/>
            </w:tcBorders>
            <w:shd w:val="clear" w:color="auto" w:fill="auto"/>
            <w:noWrap/>
            <w:vAlign w:val="bottom"/>
            <w:hideMark/>
          </w:tcPr>
          <w:p w14:paraId="764EFF68" w14:textId="77777777" w:rsidR="00B24B98" w:rsidRPr="00B6751D" w:rsidRDefault="00B24B98" w:rsidP="00A94054">
            <w:pPr>
              <w:spacing w:after="0" w:line="240" w:lineRule="auto"/>
              <w:rPr>
                <w:rFonts w:ascii="Calibri" w:eastAsia="Times New Roman" w:hAnsi="Calibri" w:cs="Calibri"/>
                <w:color w:val="000000"/>
                <w:lang w:eastAsia="en-GB"/>
              </w:rPr>
            </w:pPr>
            <w:r w:rsidRPr="00B6751D">
              <w:rPr>
                <w:rFonts w:ascii="Calibri" w:eastAsia="Times New Roman" w:hAnsi="Calibri" w:cs="Calibri"/>
                <w:color w:val="000000"/>
                <w:lang w:eastAsia="en-GB"/>
              </w:rPr>
              <w:t>electrolyte / metabolic abnormlaity</w:t>
            </w:r>
          </w:p>
        </w:tc>
        <w:tc>
          <w:tcPr>
            <w:tcW w:w="1391" w:type="dxa"/>
            <w:tcBorders>
              <w:top w:val="nil"/>
              <w:left w:val="nil"/>
              <w:bottom w:val="single" w:sz="4" w:space="0" w:color="auto"/>
              <w:right w:val="single" w:sz="4" w:space="0" w:color="auto"/>
            </w:tcBorders>
            <w:shd w:val="clear" w:color="auto" w:fill="auto"/>
            <w:noWrap/>
            <w:vAlign w:val="bottom"/>
            <w:hideMark/>
          </w:tcPr>
          <w:p w14:paraId="4FA93AA2" w14:textId="77777777" w:rsidR="00B24B98" w:rsidRPr="00B6751D" w:rsidRDefault="00B24B98" w:rsidP="00A94054">
            <w:pPr>
              <w:spacing w:after="0" w:line="240" w:lineRule="auto"/>
              <w:jc w:val="right"/>
              <w:rPr>
                <w:rFonts w:ascii="Calibri" w:eastAsia="Times New Roman" w:hAnsi="Calibri" w:cs="Calibri"/>
                <w:color w:val="000000"/>
                <w:lang w:eastAsia="en-GB"/>
              </w:rPr>
            </w:pPr>
            <w:r w:rsidRPr="00B6751D">
              <w:rPr>
                <w:rFonts w:ascii="Calibri" w:eastAsia="Times New Roman" w:hAnsi="Calibri" w:cs="Calibri"/>
                <w:color w:val="000000"/>
                <w:lang w:eastAsia="en-GB"/>
              </w:rPr>
              <w:t>26</w:t>
            </w:r>
          </w:p>
        </w:tc>
        <w:tc>
          <w:tcPr>
            <w:tcW w:w="2437" w:type="dxa"/>
            <w:tcBorders>
              <w:top w:val="single" w:sz="4" w:space="0" w:color="auto"/>
              <w:left w:val="nil"/>
              <w:bottom w:val="single" w:sz="4" w:space="0" w:color="auto"/>
              <w:right w:val="single" w:sz="4" w:space="0" w:color="auto"/>
            </w:tcBorders>
          </w:tcPr>
          <w:p w14:paraId="2A3B2A73"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c>
          <w:tcPr>
            <w:tcW w:w="2329" w:type="dxa"/>
            <w:tcBorders>
              <w:top w:val="nil"/>
              <w:left w:val="single" w:sz="4" w:space="0" w:color="auto"/>
              <w:bottom w:val="single" w:sz="4" w:space="0" w:color="auto"/>
              <w:right w:val="single" w:sz="4" w:space="0" w:color="auto"/>
            </w:tcBorders>
          </w:tcPr>
          <w:p w14:paraId="3AD85033"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r>
      <w:tr w:rsidR="00B24B98" w:rsidRPr="00B6751D" w14:paraId="0633A763" w14:textId="77777777" w:rsidTr="00A94054">
        <w:trPr>
          <w:trHeight w:val="290"/>
        </w:trPr>
        <w:tc>
          <w:tcPr>
            <w:tcW w:w="3397" w:type="dxa"/>
            <w:tcBorders>
              <w:top w:val="nil"/>
              <w:left w:val="single" w:sz="4" w:space="0" w:color="auto"/>
              <w:bottom w:val="single" w:sz="4" w:space="0" w:color="auto"/>
              <w:right w:val="single" w:sz="4" w:space="0" w:color="auto"/>
            </w:tcBorders>
            <w:shd w:val="clear" w:color="auto" w:fill="auto"/>
            <w:noWrap/>
            <w:vAlign w:val="bottom"/>
            <w:hideMark/>
          </w:tcPr>
          <w:p w14:paraId="12080AC2" w14:textId="77777777" w:rsidR="00B24B98" w:rsidRPr="00B6751D" w:rsidRDefault="00B24B98" w:rsidP="00A94054">
            <w:pPr>
              <w:spacing w:after="0" w:line="240" w:lineRule="auto"/>
              <w:rPr>
                <w:rFonts w:ascii="Calibri" w:eastAsia="Times New Roman" w:hAnsi="Calibri" w:cs="Calibri"/>
                <w:color w:val="000000"/>
                <w:lang w:eastAsia="en-GB"/>
              </w:rPr>
            </w:pPr>
            <w:r w:rsidRPr="00B6751D">
              <w:rPr>
                <w:rFonts w:ascii="Calibri" w:eastAsia="Times New Roman" w:hAnsi="Calibri" w:cs="Calibri"/>
                <w:color w:val="000000"/>
                <w:lang w:eastAsia="en-GB"/>
              </w:rPr>
              <w:t>drowsiness / Somnolence / sleepiness</w:t>
            </w:r>
          </w:p>
        </w:tc>
        <w:tc>
          <w:tcPr>
            <w:tcW w:w="1391" w:type="dxa"/>
            <w:tcBorders>
              <w:top w:val="nil"/>
              <w:left w:val="nil"/>
              <w:bottom w:val="single" w:sz="4" w:space="0" w:color="auto"/>
              <w:right w:val="single" w:sz="4" w:space="0" w:color="auto"/>
            </w:tcBorders>
            <w:shd w:val="clear" w:color="auto" w:fill="auto"/>
            <w:noWrap/>
            <w:vAlign w:val="bottom"/>
            <w:hideMark/>
          </w:tcPr>
          <w:p w14:paraId="59915D9C" w14:textId="77777777" w:rsidR="00B24B98" w:rsidRPr="00B6751D" w:rsidRDefault="00B24B98" w:rsidP="00A94054">
            <w:pPr>
              <w:spacing w:after="0" w:line="240" w:lineRule="auto"/>
              <w:jc w:val="right"/>
              <w:rPr>
                <w:rFonts w:ascii="Calibri" w:eastAsia="Times New Roman" w:hAnsi="Calibri" w:cs="Calibri"/>
                <w:color w:val="000000"/>
                <w:lang w:eastAsia="en-GB"/>
              </w:rPr>
            </w:pPr>
            <w:r w:rsidRPr="00B6751D">
              <w:rPr>
                <w:rFonts w:ascii="Calibri" w:eastAsia="Times New Roman" w:hAnsi="Calibri" w:cs="Calibri"/>
                <w:color w:val="000000"/>
                <w:lang w:eastAsia="en-GB"/>
              </w:rPr>
              <w:t>24</w:t>
            </w:r>
          </w:p>
        </w:tc>
        <w:tc>
          <w:tcPr>
            <w:tcW w:w="2437" w:type="dxa"/>
            <w:tcBorders>
              <w:top w:val="single" w:sz="4" w:space="0" w:color="auto"/>
              <w:left w:val="nil"/>
              <w:bottom w:val="single" w:sz="4" w:space="0" w:color="auto"/>
              <w:right w:val="single" w:sz="4" w:space="0" w:color="auto"/>
            </w:tcBorders>
          </w:tcPr>
          <w:p w14:paraId="38C11F29"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c>
          <w:tcPr>
            <w:tcW w:w="2329" w:type="dxa"/>
            <w:tcBorders>
              <w:top w:val="nil"/>
              <w:left w:val="single" w:sz="4" w:space="0" w:color="auto"/>
              <w:bottom w:val="single" w:sz="4" w:space="0" w:color="auto"/>
              <w:right w:val="single" w:sz="4" w:space="0" w:color="auto"/>
            </w:tcBorders>
          </w:tcPr>
          <w:p w14:paraId="63D53A8A"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r>
      <w:tr w:rsidR="00B24B98" w:rsidRPr="00B6751D" w14:paraId="7FF324C6" w14:textId="77777777" w:rsidTr="00A94054">
        <w:trPr>
          <w:trHeight w:val="290"/>
        </w:trPr>
        <w:tc>
          <w:tcPr>
            <w:tcW w:w="3397" w:type="dxa"/>
            <w:tcBorders>
              <w:top w:val="nil"/>
              <w:left w:val="single" w:sz="4" w:space="0" w:color="auto"/>
              <w:bottom w:val="single" w:sz="4" w:space="0" w:color="auto"/>
              <w:right w:val="single" w:sz="4" w:space="0" w:color="auto"/>
            </w:tcBorders>
            <w:shd w:val="clear" w:color="auto" w:fill="auto"/>
            <w:vAlign w:val="bottom"/>
            <w:hideMark/>
          </w:tcPr>
          <w:p w14:paraId="06A93FFC" w14:textId="77777777" w:rsidR="00B24B98" w:rsidRPr="00B6751D" w:rsidRDefault="00B24B98" w:rsidP="00A94054">
            <w:pPr>
              <w:spacing w:after="0" w:line="240" w:lineRule="auto"/>
              <w:rPr>
                <w:rFonts w:ascii="Calibri" w:eastAsia="Times New Roman" w:hAnsi="Calibri" w:cs="Calibri"/>
                <w:color w:val="000000"/>
                <w:lang w:eastAsia="en-GB"/>
              </w:rPr>
            </w:pPr>
            <w:r w:rsidRPr="00B6751D">
              <w:rPr>
                <w:rFonts w:ascii="Calibri" w:eastAsia="Times New Roman" w:hAnsi="Calibri" w:cs="Calibri"/>
                <w:color w:val="000000"/>
                <w:lang w:eastAsia="en-GB"/>
              </w:rPr>
              <w:t>hyperkalaemia</w:t>
            </w:r>
          </w:p>
        </w:tc>
        <w:tc>
          <w:tcPr>
            <w:tcW w:w="1391" w:type="dxa"/>
            <w:tcBorders>
              <w:top w:val="nil"/>
              <w:left w:val="nil"/>
              <w:bottom w:val="single" w:sz="4" w:space="0" w:color="auto"/>
              <w:right w:val="single" w:sz="4" w:space="0" w:color="auto"/>
            </w:tcBorders>
            <w:shd w:val="clear" w:color="auto" w:fill="auto"/>
            <w:noWrap/>
            <w:vAlign w:val="bottom"/>
            <w:hideMark/>
          </w:tcPr>
          <w:p w14:paraId="260850CF" w14:textId="77777777" w:rsidR="00B24B98" w:rsidRPr="00B6751D" w:rsidRDefault="00B24B98" w:rsidP="00A94054">
            <w:pPr>
              <w:spacing w:after="0" w:line="240" w:lineRule="auto"/>
              <w:jc w:val="right"/>
              <w:rPr>
                <w:rFonts w:ascii="Calibri" w:eastAsia="Times New Roman" w:hAnsi="Calibri" w:cs="Calibri"/>
                <w:color w:val="000000"/>
                <w:lang w:eastAsia="en-GB"/>
              </w:rPr>
            </w:pPr>
            <w:r w:rsidRPr="00B6751D">
              <w:rPr>
                <w:rFonts w:ascii="Calibri" w:eastAsia="Times New Roman" w:hAnsi="Calibri" w:cs="Calibri"/>
                <w:color w:val="000000"/>
                <w:lang w:eastAsia="en-GB"/>
              </w:rPr>
              <w:t>24</w:t>
            </w:r>
          </w:p>
        </w:tc>
        <w:tc>
          <w:tcPr>
            <w:tcW w:w="2437" w:type="dxa"/>
            <w:tcBorders>
              <w:top w:val="single" w:sz="4" w:space="0" w:color="auto"/>
              <w:left w:val="nil"/>
              <w:bottom w:val="single" w:sz="4" w:space="0" w:color="auto"/>
              <w:right w:val="single" w:sz="4" w:space="0" w:color="auto"/>
            </w:tcBorders>
          </w:tcPr>
          <w:p w14:paraId="2810D9C3"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c>
          <w:tcPr>
            <w:tcW w:w="2329" w:type="dxa"/>
            <w:tcBorders>
              <w:top w:val="nil"/>
              <w:left w:val="single" w:sz="4" w:space="0" w:color="auto"/>
              <w:bottom w:val="single" w:sz="4" w:space="0" w:color="auto"/>
              <w:right w:val="single" w:sz="4" w:space="0" w:color="auto"/>
            </w:tcBorders>
          </w:tcPr>
          <w:p w14:paraId="297EC909"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r>
      <w:tr w:rsidR="00B24B98" w:rsidRPr="00B6751D" w14:paraId="36B40911" w14:textId="77777777" w:rsidTr="00A94054">
        <w:trPr>
          <w:trHeight w:val="290"/>
        </w:trPr>
        <w:tc>
          <w:tcPr>
            <w:tcW w:w="3397" w:type="dxa"/>
            <w:tcBorders>
              <w:top w:val="nil"/>
              <w:left w:val="single" w:sz="4" w:space="0" w:color="auto"/>
              <w:bottom w:val="single" w:sz="4" w:space="0" w:color="auto"/>
              <w:right w:val="single" w:sz="4" w:space="0" w:color="auto"/>
            </w:tcBorders>
            <w:shd w:val="clear" w:color="auto" w:fill="auto"/>
            <w:vAlign w:val="bottom"/>
            <w:hideMark/>
          </w:tcPr>
          <w:p w14:paraId="2DD6BD36" w14:textId="77777777" w:rsidR="00B24B98" w:rsidRPr="00B6751D" w:rsidRDefault="00B24B98" w:rsidP="00A94054">
            <w:pPr>
              <w:spacing w:after="0" w:line="240" w:lineRule="auto"/>
              <w:rPr>
                <w:rFonts w:ascii="Calibri" w:eastAsia="Times New Roman" w:hAnsi="Calibri" w:cs="Calibri"/>
                <w:color w:val="000000"/>
                <w:lang w:eastAsia="en-GB"/>
              </w:rPr>
            </w:pPr>
            <w:r w:rsidRPr="00B6751D">
              <w:rPr>
                <w:rFonts w:ascii="Calibri" w:eastAsia="Times New Roman" w:hAnsi="Calibri" w:cs="Calibri"/>
                <w:color w:val="000000"/>
                <w:lang w:eastAsia="en-GB"/>
              </w:rPr>
              <w:lastRenderedPageBreak/>
              <w:t>other</w:t>
            </w:r>
          </w:p>
        </w:tc>
        <w:tc>
          <w:tcPr>
            <w:tcW w:w="1391" w:type="dxa"/>
            <w:tcBorders>
              <w:top w:val="nil"/>
              <w:left w:val="nil"/>
              <w:bottom w:val="single" w:sz="4" w:space="0" w:color="auto"/>
              <w:right w:val="single" w:sz="4" w:space="0" w:color="auto"/>
            </w:tcBorders>
            <w:shd w:val="clear" w:color="auto" w:fill="auto"/>
            <w:noWrap/>
            <w:vAlign w:val="bottom"/>
            <w:hideMark/>
          </w:tcPr>
          <w:p w14:paraId="22258F12" w14:textId="77777777" w:rsidR="00B24B98" w:rsidRPr="00B6751D" w:rsidRDefault="00B24B98" w:rsidP="00A94054">
            <w:pPr>
              <w:spacing w:after="0" w:line="240" w:lineRule="auto"/>
              <w:jc w:val="right"/>
              <w:rPr>
                <w:rFonts w:ascii="Calibri" w:eastAsia="Times New Roman" w:hAnsi="Calibri" w:cs="Calibri"/>
                <w:color w:val="000000"/>
                <w:lang w:eastAsia="en-GB"/>
              </w:rPr>
            </w:pPr>
            <w:r w:rsidRPr="00B6751D">
              <w:rPr>
                <w:rFonts w:ascii="Calibri" w:eastAsia="Times New Roman" w:hAnsi="Calibri" w:cs="Calibri"/>
                <w:color w:val="000000"/>
                <w:lang w:eastAsia="en-GB"/>
              </w:rPr>
              <w:t>23</w:t>
            </w:r>
          </w:p>
        </w:tc>
        <w:tc>
          <w:tcPr>
            <w:tcW w:w="2437" w:type="dxa"/>
            <w:tcBorders>
              <w:top w:val="single" w:sz="4" w:space="0" w:color="auto"/>
              <w:left w:val="nil"/>
              <w:bottom w:val="single" w:sz="4" w:space="0" w:color="auto"/>
              <w:right w:val="single" w:sz="4" w:space="0" w:color="auto"/>
            </w:tcBorders>
          </w:tcPr>
          <w:p w14:paraId="15EE5FD6"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c>
          <w:tcPr>
            <w:tcW w:w="2329" w:type="dxa"/>
            <w:tcBorders>
              <w:top w:val="nil"/>
              <w:left w:val="single" w:sz="4" w:space="0" w:color="auto"/>
              <w:bottom w:val="single" w:sz="4" w:space="0" w:color="auto"/>
              <w:right w:val="single" w:sz="4" w:space="0" w:color="auto"/>
            </w:tcBorders>
          </w:tcPr>
          <w:p w14:paraId="74DF545A"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r>
      <w:tr w:rsidR="00B24B98" w:rsidRPr="00B6751D" w14:paraId="08882EBD" w14:textId="77777777" w:rsidTr="00A94054">
        <w:trPr>
          <w:trHeight w:val="290"/>
        </w:trPr>
        <w:tc>
          <w:tcPr>
            <w:tcW w:w="3397" w:type="dxa"/>
            <w:tcBorders>
              <w:top w:val="nil"/>
              <w:left w:val="single" w:sz="4" w:space="0" w:color="auto"/>
              <w:bottom w:val="single" w:sz="4" w:space="0" w:color="auto"/>
              <w:right w:val="single" w:sz="4" w:space="0" w:color="auto"/>
            </w:tcBorders>
            <w:shd w:val="clear" w:color="auto" w:fill="auto"/>
            <w:vAlign w:val="bottom"/>
            <w:hideMark/>
          </w:tcPr>
          <w:p w14:paraId="33CC9B22" w14:textId="77777777" w:rsidR="00B24B98" w:rsidRPr="00B6751D" w:rsidRDefault="00B24B98" w:rsidP="00A94054">
            <w:pPr>
              <w:spacing w:after="0" w:line="240" w:lineRule="auto"/>
              <w:rPr>
                <w:rFonts w:ascii="Calibri" w:eastAsia="Times New Roman" w:hAnsi="Calibri" w:cs="Calibri"/>
                <w:color w:val="000000"/>
                <w:lang w:eastAsia="en-GB"/>
              </w:rPr>
            </w:pPr>
            <w:r w:rsidRPr="00B6751D">
              <w:rPr>
                <w:rFonts w:ascii="Calibri" w:eastAsia="Times New Roman" w:hAnsi="Calibri" w:cs="Calibri"/>
                <w:color w:val="000000"/>
                <w:lang w:eastAsia="en-GB"/>
              </w:rPr>
              <w:t>hyperglycaemia</w:t>
            </w:r>
          </w:p>
        </w:tc>
        <w:tc>
          <w:tcPr>
            <w:tcW w:w="1391" w:type="dxa"/>
            <w:tcBorders>
              <w:top w:val="nil"/>
              <w:left w:val="nil"/>
              <w:bottom w:val="single" w:sz="4" w:space="0" w:color="auto"/>
              <w:right w:val="single" w:sz="4" w:space="0" w:color="auto"/>
            </w:tcBorders>
            <w:shd w:val="clear" w:color="auto" w:fill="auto"/>
            <w:noWrap/>
            <w:vAlign w:val="bottom"/>
            <w:hideMark/>
          </w:tcPr>
          <w:p w14:paraId="4B68258B" w14:textId="77777777" w:rsidR="00B24B98" w:rsidRPr="00B6751D" w:rsidRDefault="00B24B98" w:rsidP="00A94054">
            <w:pPr>
              <w:spacing w:after="0" w:line="240" w:lineRule="auto"/>
              <w:jc w:val="right"/>
              <w:rPr>
                <w:rFonts w:ascii="Calibri" w:eastAsia="Times New Roman" w:hAnsi="Calibri" w:cs="Calibri"/>
                <w:color w:val="000000"/>
                <w:lang w:eastAsia="en-GB"/>
              </w:rPr>
            </w:pPr>
            <w:r w:rsidRPr="00B6751D">
              <w:rPr>
                <w:rFonts w:ascii="Calibri" w:eastAsia="Times New Roman" w:hAnsi="Calibri" w:cs="Calibri"/>
                <w:color w:val="000000"/>
                <w:lang w:eastAsia="en-GB"/>
              </w:rPr>
              <w:t>21</w:t>
            </w:r>
          </w:p>
        </w:tc>
        <w:tc>
          <w:tcPr>
            <w:tcW w:w="2437" w:type="dxa"/>
            <w:tcBorders>
              <w:top w:val="single" w:sz="4" w:space="0" w:color="auto"/>
              <w:left w:val="nil"/>
              <w:bottom w:val="single" w:sz="4" w:space="0" w:color="auto"/>
              <w:right w:val="single" w:sz="4" w:space="0" w:color="auto"/>
            </w:tcBorders>
          </w:tcPr>
          <w:p w14:paraId="75751631"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c>
          <w:tcPr>
            <w:tcW w:w="2329" w:type="dxa"/>
            <w:tcBorders>
              <w:top w:val="nil"/>
              <w:left w:val="single" w:sz="4" w:space="0" w:color="auto"/>
              <w:bottom w:val="single" w:sz="4" w:space="0" w:color="auto"/>
              <w:right w:val="single" w:sz="4" w:space="0" w:color="auto"/>
            </w:tcBorders>
          </w:tcPr>
          <w:p w14:paraId="27E147B2"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r>
      <w:tr w:rsidR="00B24B98" w:rsidRPr="00B6751D" w14:paraId="3B054ABC" w14:textId="77777777" w:rsidTr="00A94054">
        <w:trPr>
          <w:trHeight w:val="290"/>
        </w:trPr>
        <w:tc>
          <w:tcPr>
            <w:tcW w:w="3397" w:type="dxa"/>
            <w:tcBorders>
              <w:top w:val="nil"/>
              <w:left w:val="single" w:sz="4" w:space="0" w:color="auto"/>
              <w:bottom w:val="single" w:sz="4" w:space="0" w:color="auto"/>
              <w:right w:val="single" w:sz="4" w:space="0" w:color="auto"/>
            </w:tcBorders>
            <w:shd w:val="clear" w:color="auto" w:fill="auto"/>
            <w:vAlign w:val="bottom"/>
            <w:hideMark/>
          </w:tcPr>
          <w:p w14:paraId="6B75CF8A" w14:textId="77777777" w:rsidR="00B24B98" w:rsidRPr="00B6751D" w:rsidRDefault="00B24B98" w:rsidP="00A94054">
            <w:pPr>
              <w:spacing w:after="0" w:line="240" w:lineRule="auto"/>
              <w:rPr>
                <w:rFonts w:ascii="Calibri" w:eastAsia="Times New Roman" w:hAnsi="Calibri" w:cs="Calibri"/>
                <w:color w:val="000000"/>
                <w:lang w:eastAsia="en-GB"/>
              </w:rPr>
            </w:pPr>
            <w:r w:rsidRPr="00B6751D">
              <w:rPr>
                <w:rFonts w:ascii="Calibri" w:eastAsia="Times New Roman" w:hAnsi="Calibri" w:cs="Calibri"/>
                <w:color w:val="000000"/>
                <w:lang w:eastAsia="en-GB"/>
              </w:rPr>
              <w:t>haematoma</w:t>
            </w:r>
          </w:p>
        </w:tc>
        <w:tc>
          <w:tcPr>
            <w:tcW w:w="1391" w:type="dxa"/>
            <w:tcBorders>
              <w:top w:val="nil"/>
              <w:left w:val="nil"/>
              <w:bottom w:val="single" w:sz="4" w:space="0" w:color="auto"/>
              <w:right w:val="single" w:sz="4" w:space="0" w:color="auto"/>
            </w:tcBorders>
            <w:shd w:val="clear" w:color="auto" w:fill="auto"/>
            <w:noWrap/>
            <w:vAlign w:val="bottom"/>
            <w:hideMark/>
          </w:tcPr>
          <w:p w14:paraId="21A7DAE5" w14:textId="77777777" w:rsidR="00B24B98" w:rsidRPr="00B6751D" w:rsidRDefault="00B24B98" w:rsidP="00A94054">
            <w:pPr>
              <w:spacing w:after="0" w:line="240" w:lineRule="auto"/>
              <w:jc w:val="right"/>
              <w:rPr>
                <w:rFonts w:ascii="Calibri" w:eastAsia="Times New Roman" w:hAnsi="Calibri" w:cs="Calibri"/>
                <w:color w:val="000000"/>
                <w:lang w:eastAsia="en-GB"/>
              </w:rPr>
            </w:pPr>
            <w:r w:rsidRPr="00B6751D">
              <w:rPr>
                <w:rFonts w:ascii="Calibri" w:eastAsia="Times New Roman" w:hAnsi="Calibri" w:cs="Calibri"/>
                <w:color w:val="000000"/>
                <w:lang w:eastAsia="en-GB"/>
              </w:rPr>
              <w:t>20</w:t>
            </w:r>
          </w:p>
        </w:tc>
        <w:tc>
          <w:tcPr>
            <w:tcW w:w="2437" w:type="dxa"/>
            <w:tcBorders>
              <w:top w:val="single" w:sz="4" w:space="0" w:color="auto"/>
              <w:left w:val="nil"/>
              <w:bottom w:val="single" w:sz="4" w:space="0" w:color="auto"/>
              <w:right w:val="single" w:sz="4" w:space="0" w:color="auto"/>
            </w:tcBorders>
          </w:tcPr>
          <w:p w14:paraId="3F853D1D"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c>
          <w:tcPr>
            <w:tcW w:w="2329" w:type="dxa"/>
            <w:tcBorders>
              <w:top w:val="nil"/>
              <w:left w:val="single" w:sz="4" w:space="0" w:color="auto"/>
              <w:bottom w:val="single" w:sz="4" w:space="0" w:color="auto"/>
              <w:right w:val="single" w:sz="4" w:space="0" w:color="auto"/>
            </w:tcBorders>
          </w:tcPr>
          <w:p w14:paraId="758644AB"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r>
      <w:tr w:rsidR="00B24B98" w:rsidRPr="00B6751D" w14:paraId="22217432" w14:textId="77777777" w:rsidTr="00A94054">
        <w:trPr>
          <w:trHeight w:val="290"/>
        </w:trPr>
        <w:tc>
          <w:tcPr>
            <w:tcW w:w="3397" w:type="dxa"/>
            <w:tcBorders>
              <w:top w:val="nil"/>
              <w:left w:val="single" w:sz="4" w:space="0" w:color="auto"/>
              <w:bottom w:val="single" w:sz="4" w:space="0" w:color="auto"/>
              <w:right w:val="single" w:sz="4" w:space="0" w:color="auto"/>
            </w:tcBorders>
            <w:shd w:val="clear" w:color="auto" w:fill="auto"/>
            <w:vAlign w:val="bottom"/>
            <w:hideMark/>
          </w:tcPr>
          <w:p w14:paraId="5510D674" w14:textId="77777777" w:rsidR="00B24B98" w:rsidRPr="00B6751D" w:rsidRDefault="00B24B98" w:rsidP="00A94054">
            <w:pPr>
              <w:spacing w:after="0" w:line="240" w:lineRule="auto"/>
              <w:rPr>
                <w:rFonts w:ascii="Calibri" w:eastAsia="Times New Roman" w:hAnsi="Calibri" w:cs="Calibri"/>
                <w:color w:val="000000"/>
                <w:lang w:eastAsia="en-GB"/>
              </w:rPr>
            </w:pPr>
            <w:r w:rsidRPr="00B6751D">
              <w:rPr>
                <w:rFonts w:ascii="Calibri" w:eastAsia="Times New Roman" w:hAnsi="Calibri" w:cs="Calibri"/>
                <w:color w:val="000000"/>
                <w:lang w:eastAsia="en-GB"/>
              </w:rPr>
              <w:t>haematuria</w:t>
            </w:r>
          </w:p>
        </w:tc>
        <w:tc>
          <w:tcPr>
            <w:tcW w:w="1391" w:type="dxa"/>
            <w:tcBorders>
              <w:top w:val="nil"/>
              <w:left w:val="nil"/>
              <w:bottom w:val="single" w:sz="4" w:space="0" w:color="auto"/>
              <w:right w:val="single" w:sz="4" w:space="0" w:color="auto"/>
            </w:tcBorders>
            <w:shd w:val="clear" w:color="auto" w:fill="auto"/>
            <w:noWrap/>
            <w:vAlign w:val="bottom"/>
            <w:hideMark/>
          </w:tcPr>
          <w:p w14:paraId="01FFF6E9" w14:textId="77777777" w:rsidR="00B24B98" w:rsidRPr="00B6751D" w:rsidRDefault="00B24B98" w:rsidP="00A94054">
            <w:pPr>
              <w:spacing w:after="0" w:line="240" w:lineRule="auto"/>
              <w:jc w:val="right"/>
              <w:rPr>
                <w:rFonts w:ascii="Calibri" w:eastAsia="Times New Roman" w:hAnsi="Calibri" w:cs="Calibri"/>
                <w:color w:val="000000"/>
                <w:lang w:eastAsia="en-GB"/>
              </w:rPr>
            </w:pPr>
            <w:r w:rsidRPr="00B6751D">
              <w:rPr>
                <w:rFonts w:ascii="Calibri" w:eastAsia="Times New Roman" w:hAnsi="Calibri" w:cs="Calibri"/>
                <w:color w:val="000000"/>
                <w:lang w:eastAsia="en-GB"/>
              </w:rPr>
              <w:t>18</w:t>
            </w:r>
          </w:p>
        </w:tc>
        <w:tc>
          <w:tcPr>
            <w:tcW w:w="2437" w:type="dxa"/>
            <w:tcBorders>
              <w:top w:val="single" w:sz="4" w:space="0" w:color="auto"/>
              <w:left w:val="nil"/>
              <w:bottom w:val="single" w:sz="4" w:space="0" w:color="auto"/>
              <w:right w:val="single" w:sz="4" w:space="0" w:color="auto"/>
            </w:tcBorders>
          </w:tcPr>
          <w:p w14:paraId="53B00928"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c>
          <w:tcPr>
            <w:tcW w:w="2329" w:type="dxa"/>
            <w:tcBorders>
              <w:top w:val="nil"/>
              <w:left w:val="single" w:sz="4" w:space="0" w:color="auto"/>
              <w:bottom w:val="single" w:sz="4" w:space="0" w:color="auto"/>
              <w:right w:val="single" w:sz="4" w:space="0" w:color="auto"/>
            </w:tcBorders>
          </w:tcPr>
          <w:p w14:paraId="235C2C6F"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r>
      <w:tr w:rsidR="00B24B98" w:rsidRPr="00B6751D" w14:paraId="63FA11CA" w14:textId="77777777" w:rsidTr="00A94054">
        <w:trPr>
          <w:trHeight w:val="290"/>
        </w:trPr>
        <w:tc>
          <w:tcPr>
            <w:tcW w:w="3397" w:type="dxa"/>
            <w:tcBorders>
              <w:top w:val="nil"/>
              <w:left w:val="single" w:sz="4" w:space="0" w:color="auto"/>
              <w:bottom w:val="single" w:sz="4" w:space="0" w:color="auto"/>
              <w:right w:val="single" w:sz="4" w:space="0" w:color="auto"/>
            </w:tcBorders>
            <w:shd w:val="clear" w:color="auto" w:fill="auto"/>
            <w:vAlign w:val="bottom"/>
            <w:hideMark/>
          </w:tcPr>
          <w:p w14:paraId="78735BC8" w14:textId="77777777" w:rsidR="00B24B98" w:rsidRPr="00B6751D" w:rsidRDefault="00B24B98" w:rsidP="00A94054">
            <w:pPr>
              <w:spacing w:after="0" w:line="240" w:lineRule="auto"/>
              <w:rPr>
                <w:rFonts w:ascii="Calibri" w:eastAsia="Times New Roman" w:hAnsi="Calibri" w:cs="Calibri"/>
                <w:color w:val="000000"/>
                <w:lang w:eastAsia="en-GB"/>
              </w:rPr>
            </w:pPr>
            <w:r w:rsidRPr="00B6751D">
              <w:rPr>
                <w:rFonts w:ascii="Calibri" w:eastAsia="Times New Roman" w:hAnsi="Calibri" w:cs="Calibri"/>
                <w:color w:val="000000"/>
                <w:lang w:eastAsia="en-GB"/>
              </w:rPr>
              <w:t>elevated liver enzymes</w:t>
            </w:r>
          </w:p>
        </w:tc>
        <w:tc>
          <w:tcPr>
            <w:tcW w:w="1391" w:type="dxa"/>
            <w:tcBorders>
              <w:top w:val="nil"/>
              <w:left w:val="nil"/>
              <w:bottom w:val="single" w:sz="4" w:space="0" w:color="auto"/>
              <w:right w:val="single" w:sz="4" w:space="0" w:color="auto"/>
            </w:tcBorders>
            <w:shd w:val="clear" w:color="auto" w:fill="auto"/>
            <w:noWrap/>
            <w:vAlign w:val="bottom"/>
            <w:hideMark/>
          </w:tcPr>
          <w:p w14:paraId="7C94FBA4" w14:textId="77777777" w:rsidR="00B24B98" w:rsidRPr="00B6751D" w:rsidRDefault="00B24B98" w:rsidP="00A94054">
            <w:pPr>
              <w:spacing w:after="0" w:line="240" w:lineRule="auto"/>
              <w:jc w:val="right"/>
              <w:rPr>
                <w:rFonts w:ascii="Calibri" w:eastAsia="Times New Roman" w:hAnsi="Calibri" w:cs="Calibri"/>
                <w:color w:val="000000"/>
                <w:lang w:eastAsia="en-GB"/>
              </w:rPr>
            </w:pPr>
            <w:r w:rsidRPr="00B6751D">
              <w:rPr>
                <w:rFonts w:ascii="Calibri" w:eastAsia="Times New Roman" w:hAnsi="Calibri" w:cs="Calibri"/>
                <w:color w:val="000000"/>
                <w:lang w:eastAsia="en-GB"/>
              </w:rPr>
              <w:t>16</w:t>
            </w:r>
          </w:p>
        </w:tc>
        <w:tc>
          <w:tcPr>
            <w:tcW w:w="2437" w:type="dxa"/>
            <w:tcBorders>
              <w:top w:val="single" w:sz="4" w:space="0" w:color="auto"/>
              <w:left w:val="nil"/>
              <w:bottom w:val="single" w:sz="4" w:space="0" w:color="auto"/>
              <w:right w:val="single" w:sz="4" w:space="0" w:color="auto"/>
            </w:tcBorders>
          </w:tcPr>
          <w:p w14:paraId="7A86C9AC"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c>
          <w:tcPr>
            <w:tcW w:w="2329" w:type="dxa"/>
            <w:tcBorders>
              <w:top w:val="nil"/>
              <w:left w:val="single" w:sz="4" w:space="0" w:color="auto"/>
              <w:bottom w:val="single" w:sz="4" w:space="0" w:color="auto"/>
              <w:right w:val="single" w:sz="4" w:space="0" w:color="auto"/>
            </w:tcBorders>
          </w:tcPr>
          <w:p w14:paraId="1FF3B882"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r>
      <w:tr w:rsidR="00B24B98" w:rsidRPr="00B6751D" w14:paraId="263707E0" w14:textId="77777777" w:rsidTr="00A94054">
        <w:trPr>
          <w:trHeight w:val="290"/>
        </w:trPr>
        <w:tc>
          <w:tcPr>
            <w:tcW w:w="3397" w:type="dxa"/>
            <w:tcBorders>
              <w:top w:val="nil"/>
              <w:left w:val="single" w:sz="4" w:space="0" w:color="auto"/>
              <w:bottom w:val="single" w:sz="4" w:space="0" w:color="auto"/>
              <w:right w:val="single" w:sz="4" w:space="0" w:color="auto"/>
            </w:tcBorders>
            <w:shd w:val="clear" w:color="auto" w:fill="auto"/>
            <w:vAlign w:val="bottom"/>
            <w:hideMark/>
          </w:tcPr>
          <w:p w14:paraId="0B8965ED" w14:textId="77777777" w:rsidR="00B24B98" w:rsidRPr="00B6751D" w:rsidRDefault="00B24B98" w:rsidP="00A94054">
            <w:pPr>
              <w:spacing w:after="0" w:line="240" w:lineRule="auto"/>
              <w:rPr>
                <w:rFonts w:ascii="Calibri" w:eastAsia="Times New Roman" w:hAnsi="Calibri" w:cs="Calibri"/>
                <w:color w:val="000000"/>
                <w:lang w:eastAsia="en-GB"/>
              </w:rPr>
            </w:pPr>
            <w:r w:rsidRPr="00B6751D">
              <w:rPr>
                <w:rFonts w:ascii="Calibri" w:eastAsia="Times New Roman" w:hAnsi="Calibri" w:cs="Calibri"/>
                <w:color w:val="000000"/>
                <w:lang w:eastAsia="en-GB"/>
              </w:rPr>
              <w:t>respiratory failure</w:t>
            </w:r>
          </w:p>
        </w:tc>
        <w:tc>
          <w:tcPr>
            <w:tcW w:w="1391" w:type="dxa"/>
            <w:tcBorders>
              <w:top w:val="nil"/>
              <w:left w:val="nil"/>
              <w:bottom w:val="single" w:sz="4" w:space="0" w:color="auto"/>
              <w:right w:val="single" w:sz="4" w:space="0" w:color="auto"/>
            </w:tcBorders>
            <w:shd w:val="clear" w:color="auto" w:fill="auto"/>
            <w:noWrap/>
            <w:vAlign w:val="bottom"/>
            <w:hideMark/>
          </w:tcPr>
          <w:p w14:paraId="3117EC05" w14:textId="77777777" w:rsidR="00B24B98" w:rsidRPr="00B6751D" w:rsidRDefault="00B24B98" w:rsidP="00A94054">
            <w:pPr>
              <w:spacing w:after="0" w:line="240" w:lineRule="auto"/>
              <w:jc w:val="right"/>
              <w:rPr>
                <w:rFonts w:ascii="Calibri" w:eastAsia="Times New Roman" w:hAnsi="Calibri" w:cs="Calibri"/>
                <w:color w:val="000000"/>
                <w:lang w:eastAsia="en-GB"/>
              </w:rPr>
            </w:pPr>
            <w:r w:rsidRPr="00B6751D">
              <w:rPr>
                <w:rFonts w:ascii="Calibri" w:eastAsia="Times New Roman" w:hAnsi="Calibri" w:cs="Calibri"/>
                <w:color w:val="000000"/>
                <w:lang w:eastAsia="en-GB"/>
              </w:rPr>
              <w:t>16</w:t>
            </w:r>
          </w:p>
        </w:tc>
        <w:tc>
          <w:tcPr>
            <w:tcW w:w="2437" w:type="dxa"/>
            <w:tcBorders>
              <w:top w:val="single" w:sz="4" w:space="0" w:color="auto"/>
              <w:left w:val="nil"/>
              <w:bottom w:val="single" w:sz="4" w:space="0" w:color="auto"/>
              <w:right w:val="single" w:sz="4" w:space="0" w:color="auto"/>
            </w:tcBorders>
          </w:tcPr>
          <w:p w14:paraId="7DC65B1F"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c>
          <w:tcPr>
            <w:tcW w:w="2329" w:type="dxa"/>
            <w:tcBorders>
              <w:top w:val="nil"/>
              <w:left w:val="single" w:sz="4" w:space="0" w:color="auto"/>
              <w:bottom w:val="single" w:sz="4" w:space="0" w:color="auto"/>
              <w:right w:val="single" w:sz="4" w:space="0" w:color="auto"/>
            </w:tcBorders>
          </w:tcPr>
          <w:p w14:paraId="3DA2B643"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r>
      <w:tr w:rsidR="00B24B98" w:rsidRPr="00B6751D" w14:paraId="4B829E8E" w14:textId="77777777" w:rsidTr="00A94054">
        <w:trPr>
          <w:trHeight w:val="290"/>
        </w:trPr>
        <w:tc>
          <w:tcPr>
            <w:tcW w:w="3397" w:type="dxa"/>
            <w:tcBorders>
              <w:top w:val="nil"/>
              <w:left w:val="single" w:sz="4" w:space="0" w:color="auto"/>
              <w:bottom w:val="single" w:sz="4" w:space="0" w:color="auto"/>
              <w:right w:val="single" w:sz="4" w:space="0" w:color="auto"/>
            </w:tcBorders>
            <w:shd w:val="clear" w:color="auto" w:fill="auto"/>
            <w:vAlign w:val="bottom"/>
            <w:hideMark/>
          </w:tcPr>
          <w:p w14:paraId="2835E68E" w14:textId="77777777" w:rsidR="00B24B98" w:rsidRPr="00B6751D" w:rsidRDefault="00B24B98" w:rsidP="00A94054">
            <w:pPr>
              <w:spacing w:after="0" w:line="240" w:lineRule="auto"/>
              <w:rPr>
                <w:rFonts w:ascii="Calibri" w:eastAsia="Times New Roman" w:hAnsi="Calibri" w:cs="Calibri"/>
                <w:color w:val="000000"/>
                <w:lang w:eastAsia="en-GB"/>
              </w:rPr>
            </w:pPr>
            <w:r w:rsidRPr="00B6751D">
              <w:rPr>
                <w:rFonts w:ascii="Calibri" w:eastAsia="Times New Roman" w:hAnsi="Calibri" w:cs="Calibri"/>
                <w:color w:val="000000"/>
                <w:lang w:eastAsia="en-GB"/>
              </w:rPr>
              <w:t>Thrombocytopaenia</w:t>
            </w:r>
          </w:p>
        </w:tc>
        <w:tc>
          <w:tcPr>
            <w:tcW w:w="1391" w:type="dxa"/>
            <w:tcBorders>
              <w:top w:val="nil"/>
              <w:left w:val="nil"/>
              <w:bottom w:val="single" w:sz="4" w:space="0" w:color="auto"/>
              <w:right w:val="single" w:sz="4" w:space="0" w:color="auto"/>
            </w:tcBorders>
            <w:shd w:val="clear" w:color="auto" w:fill="auto"/>
            <w:noWrap/>
            <w:vAlign w:val="bottom"/>
            <w:hideMark/>
          </w:tcPr>
          <w:p w14:paraId="36DAA8AF" w14:textId="77777777" w:rsidR="00B24B98" w:rsidRPr="00B6751D" w:rsidRDefault="00B24B98" w:rsidP="00A94054">
            <w:pPr>
              <w:spacing w:after="0" w:line="240" w:lineRule="auto"/>
              <w:jc w:val="right"/>
              <w:rPr>
                <w:rFonts w:ascii="Calibri" w:eastAsia="Times New Roman" w:hAnsi="Calibri" w:cs="Calibri"/>
                <w:color w:val="000000"/>
                <w:lang w:eastAsia="en-GB"/>
              </w:rPr>
            </w:pPr>
            <w:r w:rsidRPr="00B6751D">
              <w:rPr>
                <w:rFonts w:ascii="Calibri" w:eastAsia="Times New Roman" w:hAnsi="Calibri" w:cs="Calibri"/>
                <w:color w:val="000000"/>
                <w:lang w:eastAsia="en-GB"/>
              </w:rPr>
              <w:t>16</w:t>
            </w:r>
          </w:p>
        </w:tc>
        <w:tc>
          <w:tcPr>
            <w:tcW w:w="2437" w:type="dxa"/>
            <w:tcBorders>
              <w:top w:val="single" w:sz="4" w:space="0" w:color="auto"/>
              <w:left w:val="nil"/>
              <w:bottom w:val="single" w:sz="4" w:space="0" w:color="auto"/>
              <w:right w:val="single" w:sz="4" w:space="0" w:color="auto"/>
            </w:tcBorders>
          </w:tcPr>
          <w:p w14:paraId="7D8605E8"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c>
          <w:tcPr>
            <w:tcW w:w="2329" w:type="dxa"/>
            <w:tcBorders>
              <w:top w:val="nil"/>
              <w:left w:val="single" w:sz="4" w:space="0" w:color="auto"/>
              <w:bottom w:val="single" w:sz="4" w:space="0" w:color="auto"/>
              <w:right w:val="single" w:sz="4" w:space="0" w:color="auto"/>
            </w:tcBorders>
          </w:tcPr>
          <w:p w14:paraId="199D884D"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r>
      <w:tr w:rsidR="00B24B98" w:rsidRPr="00B6751D" w14:paraId="477FF2F8" w14:textId="77777777" w:rsidTr="00A94054">
        <w:trPr>
          <w:trHeight w:val="290"/>
        </w:trPr>
        <w:tc>
          <w:tcPr>
            <w:tcW w:w="3397" w:type="dxa"/>
            <w:tcBorders>
              <w:top w:val="nil"/>
              <w:left w:val="single" w:sz="4" w:space="0" w:color="auto"/>
              <w:bottom w:val="single" w:sz="4" w:space="0" w:color="auto"/>
              <w:right w:val="single" w:sz="4" w:space="0" w:color="auto"/>
            </w:tcBorders>
            <w:shd w:val="clear" w:color="auto" w:fill="auto"/>
            <w:noWrap/>
            <w:vAlign w:val="bottom"/>
            <w:hideMark/>
          </w:tcPr>
          <w:p w14:paraId="6D098A58" w14:textId="77777777" w:rsidR="00B24B98" w:rsidRPr="00B6751D" w:rsidRDefault="00B24B98" w:rsidP="00A94054">
            <w:pPr>
              <w:spacing w:after="0" w:line="240" w:lineRule="auto"/>
              <w:rPr>
                <w:rFonts w:ascii="Calibri" w:eastAsia="Times New Roman" w:hAnsi="Calibri" w:cs="Calibri"/>
                <w:color w:val="000000"/>
                <w:lang w:eastAsia="en-GB"/>
              </w:rPr>
            </w:pPr>
            <w:r w:rsidRPr="00B6751D">
              <w:rPr>
                <w:rFonts w:ascii="Calibri" w:eastAsia="Times New Roman" w:hAnsi="Calibri" w:cs="Calibri"/>
                <w:color w:val="000000"/>
                <w:lang w:eastAsia="en-GB"/>
              </w:rPr>
              <w:t>orthostatic hypotension / AKI / Hyperkalaemia</w:t>
            </w:r>
          </w:p>
        </w:tc>
        <w:tc>
          <w:tcPr>
            <w:tcW w:w="1391" w:type="dxa"/>
            <w:tcBorders>
              <w:top w:val="nil"/>
              <w:left w:val="nil"/>
              <w:bottom w:val="single" w:sz="4" w:space="0" w:color="auto"/>
              <w:right w:val="single" w:sz="4" w:space="0" w:color="auto"/>
            </w:tcBorders>
            <w:shd w:val="clear" w:color="auto" w:fill="auto"/>
            <w:noWrap/>
            <w:vAlign w:val="bottom"/>
            <w:hideMark/>
          </w:tcPr>
          <w:p w14:paraId="220D4D3A" w14:textId="77777777" w:rsidR="00B24B98" w:rsidRPr="00B6751D" w:rsidRDefault="00B24B98" w:rsidP="00A94054">
            <w:pPr>
              <w:spacing w:after="0" w:line="240" w:lineRule="auto"/>
              <w:jc w:val="right"/>
              <w:rPr>
                <w:rFonts w:ascii="Calibri" w:eastAsia="Times New Roman" w:hAnsi="Calibri" w:cs="Calibri"/>
                <w:color w:val="000000"/>
                <w:lang w:eastAsia="en-GB"/>
              </w:rPr>
            </w:pPr>
            <w:r w:rsidRPr="00B6751D">
              <w:rPr>
                <w:rFonts w:ascii="Calibri" w:eastAsia="Times New Roman" w:hAnsi="Calibri" w:cs="Calibri"/>
                <w:color w:val="000000"/>
                <w:lang w:eastAsia="en-GB"/>
              </w:rPr>
              <w:t>14</w:t>
            </w:r>
          </w:p>
        </w:tc>
        <w:tc>
          <w:tcPr>
            <w:tcW w:w="2437" w:type="dxa"/>
            <w:tcBorders>
              <w:top w:val="single" w:sz="4" w:space="0" w:color="auto"/>
              <w:left w:val="nil"/>
              <w:bottom w:val="single" w:sz="4" w:space="0" w:color="auto"/>
              <w:right w:val="single" w:sz="4" w:space="0" w:color="auto"/>
            </w:tcBorders>
          </w:tcPr>
          <w:p w14:paraId="73587C44"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c>
          <w:tcPr>
            <w:tcW w:w="2329" w:type="dxa"/>
            <w:tcBorders>
              <w:top w:val="nil"/>
              <w:left w:val="single" w:sz="4" w:space="0" w:color="auto"/>
              <w:bottom w:val="single" w:sz="4" w:space="0" w:color="auto"/>
              <w:right w:val="single" w:sz="4" w:space="0" w:color="auto"/>
            </w:tcBorders>
          </w:tcPr>
          <w:p w14:paraId="24A42082"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r>
      <w:tr w:rsidR="00B24B98" w:rsidRPr="00B6751D" w14:paraId="7E29005C" w14:textId="77777777" w:rsidTr="00A94054">
        <w:trPr>
          <w:trHeight w:val="290"/>
        </w:trPr>
        <w:tc>
          <w:tcPr>
            <w:tcW w:w="3397" w:type="dxa"/>
            <w:tcBorders>
              <w:top w:val="nil"/>
              <w:left w:val="single" w:sz="4" w:space="0" w:color="auto"/>
              <w:bottom w:val="single" w:sz="4" w:space="0" w:color="auto"/>
              <w:right w:val="single" w:sz="4" w:space="0" w:color="auto"/>
            </w:tcBorders>
            <w:shd w:val="clear" w:color="auto" w:fill="auto"/>
            <w:noWrap/>
            <w:vAlign w:val="bottom"/>
            <w:hideMark/>
          </w:tcPr>
          <w:p w14:paraId="1298E279" w14:textId="77777777" w:rsidR="00B24B98" w:rsidRPr="00B6751D" w:rsidRDefault="00B24B98" w:rsidP="00A94054">
            <w:pPr>
              <w:spacing w:after="0" w:line="240" w:lineRule="auto"/>
              <w:rPr>
                <w:rFonts w:ascii="Calibri" w:eastAsia="Times New Roman" w:hAnsi="Calibri" w:cs="Calibri"/>
                <w:color w:val="000000"/>
                <w:lang w:eastAsia="en-GB"/>
              </w:rPr>
            </w:pPr>
            <w:r w:rsidRPr="00B6751D">
              <w:rPr>
                <w:rFonts w:ascii="Calibri" w:eastAsia="Times New Roman" w:hAnsi="Calibri" w:cs="Calibri"/>
                <w:color w:val="000000"/>
                <w:lang w:eastAsia="en-GB"/>
              </w:rPr>
              <w:t>Haematological disturbance</w:t>
            </w:r>
          </w:p>
        </w:tc>
        <w:tc>
          <w:tcPr>
            <w:tcW w:w="1391" w:type="dxa"/>
            <w:tcBorders>
              <w:top w:val="nil"/>
              <w:left w:val="nil"/>
              <w:bottom w:val="single" w:sz="4" w:space="0" w:color="auto"/>
              <w:right w:val="single" w:sz="4" w:space="0" w:color="auto"/>
            </w:tcBorders>
            <w:shd w:val="clear" w:color="auto" w:fill="auto"/>
            <w:noWrap/>
            <w:vAlign w:val="bottom"/>
            <w:hideMark/>
          </w:tcPr>
          <w:p w14:paraId="0E34EF49" w14:textId="77777777" w:rsidR="00B24B98" w:rsidRPr="00B6751D" w:rsidRDefault="00B24B98" w:rsidP="00A94054">
            <w:pPr>
              <w:spacing w:after="0" w:line="240" w:lineRule="auto"/>
              <w:jc w:val="right"/>
              <w:rPr>
                <w:rFonts w:ascii="Calibri" w:eastAsia="Times New Roman" w:hAnsi="Calibri" w:cs="Calibri"/>
                <w:color w:val="000000"/>
                <w:lang w:eastAsia="en-GB"/>
              </w:rPr>
            </w:pPr>
            <w:r w:rsidRPr="00B6751D">
              <w:rPr>
                <w:rFonts w:ascii="Calibri" w:eastAsia="Times New Roman" w:hAnsi="Calibri" w:cs="Calibri"/>
                <w:color w:val="000000"/>
                <w:lang w:eastAsia="en-GB"/>
              </w:rPr>
              <w:t>14</w:t>
            </w:r>
          </w:p>
        </w:tc>
        <w:tc>
          <w:tcPr>
            <w:tcW w:w="2437" w:type="dxa"/>
            <w:tcBorders>
              <w:top w:val="single" w:sz="4" w:space="0" w:color="auto"/>
              <w:left w:val="nil"/>
              <w:bottom w:val="single" w:sz="4" w:space="0" w:color="auto"/>
              <w:right w:val="single" w:sz="4" w:space="0" w:color="auto"/>
            </w:tcBorders>
          </w:tcPr>
          <w:p w14:paraId="1FCC8742"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c>
          <w:tcPr>
            <w:tcW w:w="2329" w:type="dxa"/>
            <w:tcBorders>
              <w:top w:val="nil"/>
              <w:left w:val="single" w:sz="4" w:space="0" w:color="auto"/>
              <w:bottom w:val="single" w:sz="4" w:space="0" w:color="auto"/>
              <w:right w:val="single" w:sz="4" w:space="0" w:color="auto"/>
            </w:tcBorders>
          </w:tcPr>
          <w:p w14:paraId="046DAA40"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r>
      <w:tr w:rsidR="00B24B98" w:rsidRPr="00B6751D" w14:paraId="088485EB" w14:textId="77777777" w:rsidTr="00A94054">
        <w:trPr>
          <w:trHeight w:val="290"/>
        </w:trPr>
        <w:tc>
          <w:tcPr>
            <w:tcW w:w="3397" w:type="dxa"/>
            <w:tcBorders>
              <w:top w:val="nil"/>
              <w:left w:val="single" w:sz="4" w:space="0" w:color="auto"/>
              <w:bottom w:val="single" w:sz="4" w:space="0" w:color="auto"/>
              <w:right w:val="single" w:sz="4" w:space="0" w:color="auto"/>
            </w:tcBorders>
            <w:shd w:val="clear" w:color="auto" w:fill="auto"/>
            <w:noWrap/>
            <w:vAlign w:val="bottom"/>
            <w:hideMark/>
          </w:tcPr>
          <w:p w14:paraId="05FFC296" w14:textId="77777777" w:rsidR="00B24B98" w:rsidRPr="00B6751D" w:rsidRDefault="00B24B98" w:rsidP="00A94054">
            <w:pPr>
              <w:spacing w:after="0" w:line="240" w:lineRule="auto"/>
              <w:rPr>
                <w:rFonts w:ascii="Calibri" w:eastAsia="Times New Roman" w:hAnsi="Calibri" w:cs="Calibri"/>
                <w:color w:val="000000"/>
                <w:lang w:eastAsia="en-GB"/>
              </w:rPr>
            </w:pPr>
            <w:r w:rsidRPr="00B6751D">
              <w:rPr>
                <w:rFonts w:ascii="Calibri" w:eastAsia="Times New Roman" w:hAnsi="Calibri" w:cs="Calibri"/>
                <w:color w:val="000000"/>
                <w:lang w:eastAsia="en-GB"/>
              </w:rPr>
              <w:t>cardiovascular system</w:t>
            </w:r>
          </w:p>
        </w:tc>
        <w:tc>
          <w:tcPr>
            <w:tcW w:w="1391" w:type="dxa"/>
            <w:tcBorders>
              <w:top w:val="nil"/>
              <w:left w:val="nil"/>
              <w:bottom w:val="single" w:sz="4" w:space="0" w:color="auto"/>
              <w:right w:val="single" w:sz="4" w:space="0" w:color="auto"/>
            </w:tcBorders>
            <w:shd w:val="clear" w:color="auto" w:fill="auto"/>
            <w:noWrap/>
            <w:vAlign w:val="bottom"/>
            <w:hideMark/>
          </w:tcPr>
          <w:p w14:paraId="3FD89D07" w14:textId="77777777" w:rsidR="00B24B98" w:rsidRPr="00B6751D" w:rsidRDefault="00B24B98" w:rsidP="00A94054">
            <w:pPr>
              <w:spacing w:after="0" w:line="240" w:lineRule="auto"/>
              <w:jc w:val="right"/>
              <w:rPr>
                <w:rFonts w:ascii="Calibri" w:eastAsia="Times New Roman" w:hAnsi="Calibri" w:cs="Calibri"/>
                <w:color w:val="000000"/>
                <w:lang w:eastAsia="en-GB"/>
              </w:rPr>
            </w:pPr>
            <w:r w:rsidRPr="00B6751D">
              <w:rPr>
                <w:rFonts w:ascii="Calibri" w:eastAsia="Times New Roman" w:hAnsi="Calibri" w:cs="Calibri"/>
                <w:color w:val="000000"/>
                <w:lang w:eastAsia="en-GB"/>
              </w:rPr>
              <w:t>13</w:t>
            </w:r>
          </w:p>
        </w:tc>
        <w:tc>
          <w:tcPr>
            <w:tcW w:w="2437" w:type="dxa"/>
            <w:tcBorders>
              <w:top w:val="single" w:sz="4" w:space="0" w:color="auto"/>
              <w:left w:val="nil"/>
              <w:bottom w:val="single" w:sz="4" w:space="0" w:color="auto"/>
              <w:right w:val="single" w:sz="4" w:space="0" w:color="auto"/>
            </w:tcBorders>
          </w:tcPr>
          <w:p w14:paraId="740CF9A5"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c>
          <w:tcPr>
            <w:tcW w:w="2329" w:type="dxa"/>
            <w:tcBorders>
              <w:top w:val="nil"/>
              <w:left w:val="single" w:sz="4" w:space="0" w:color="auto"/>
              <w:bottom w:val="single" w:sz="4" w:space="0" w:color="auto"/>
              <w:right w:val="single" w:sz="4" w:space="0" w:color="auto"/>
            </w:tcBorders>
          </w:tcPr>
          <w:p w14:paraId="30D2228F"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r>
      <w:tr w:rsidR="00B24B98" w:rsidRPr="00B6751D" w14:paraId="33A8DBD1" w14:textId="77777777" w:rsidTr="00A94054">
        <w:trPr>
          <w:trHeight w:val="290"/>
        </w:trPr>
        <w:tc>
          <w:tcPr>
            <w:tcW w:w="3397" w:type="dxa"/>
            <w:tcBorders>
              <w:top w:val="nil"/>
              <w:left w:val="single" w:sz="4" w:space="0" w:color="auto"/>
              <w:bottom w:val="single" w:sz="4" w:space="0" w:color="auto"/>
              <w:right w:val="single" w:sz="4" w:space="0" w:color="auto"/>
            </w:tcBorders>
            <w:shd w:val="clear" w:color="auto" w:fill="auto"/>
            <w:noWrap/>
            <w:vAlign w:val="bottom"/>
            <w:hideMark/>
          </w:tcPr>
          <w:p w14:paraId="5F12442A" w14:textId="77777777" w:rsidR="00B24B98" w:rsidRPr="00B6751D" w:rsidRDefault="00B24B98" w:rsidP="00A94054">
            <w:pPr>
              <w:spacing w:after="0" w:line="240" w:lineRule="auto"/>
              <w:rPr>
                <w:rFonts w:ascii="Calibri" w:eastAsia="Times New Roman" w:hAnsi="Calibri" w:cs="Calibri"/>
                <w:color w:val="000000"/>
                <w:lang w:eastAsia="en-GB"/>
              </w:rPr>
            </w:pPr>
            <w:r w:rsidRPr="00B6751D">
              <w:rPr>
                <w:rFonts w:ascii="Calibri" w:eastAsia="Times New Roman" w:hAnsi="Calibri" w:cs="Calibri"/>
                <w:color w:val="000000"/>
                <w:lang w:eastAsia="en-GB"/>
              </w:rPr>
              <w:t>Acute kidney injury, hyperkalemia</w:t>
            </w:r>
          </w:p>
        </w:tc>
        <w:tc>
          <w:tcPr>
            <w:tcW w:w="1391" w:type="dxa"/>
            <w:tcBorders>
              <w:top w:val="nil"/>
              <w:left w:val="nil"/>
              <w:bottom w:val="single" w:sz="4" w:space="0" w:color="auto"/>
              <w:right w:val="single" w:sz="4" w:space="0" w:color="auto"/>
            </w:tcBorders>
            <w:shd w:val="clear" w:color="auto" w:fill="auto"/>
            <w:noWrap/>
            <w:vAlign w:val="bottom"/>
            <w:hideMark/>
          </w:tcPr>
          <w:p w14:paraId="5ACDD726" w14:textId="77777777" w:rsidR="00B24B98" w:rsidRPr="00B6751D" w:rsidRDefault="00B24B98" w:rsidP="00A94054">
            <w:pPr>
              <w:spacing w:after="0" w:line="240" w:lineRule="auto"/>
              <w:jc w:val="right"/>
              <w:rPr>
                <w:rFonts w:ascii="Calibri" w:eastAsia="Times New Roman" w:hAnsi="Calibri" w:cs="Calibri"/>
                <w:color w:val="000000"/>
                <w:lang w:eastAsia="en-GB"/>
              </w:rPr>
            </w:pPr>
            <w:r w:rsidRPr="00B6751D">
              <w:rPr>
                <w:rFonts w:ascii="Calibri" w:eastAsia="Times New Roman" w:hAnsi="Calibri" w:cs="Calibri"/>
                <w:color w:val="000000"/>
                <w:lang w:eastAsia="en-GB"/>
              </w:rPr>
              <w:t>12</w:t>
            </w:r>
          </w:p>
        </w:tc>
        <w:tc>
          <w:tcPr>
            <w:tcW w:w="2437" w:type="dxa"/>
            <w:tcBorders>
              <w:top w:val="single" w:sz="4" w:space="0" w:color="auto"/>
              <w:left w:val="nil"/>
              <w:bottom w:val="single" w:sz="4" w:space="0" w:color="auto"/>
              <w:right w:val="single" w:sz="4" w:space="0" w:color="auto"/>
            </w:tcBorders>
          </w:tcPr>
          <w:p w14:paraId="25C3A91E"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c>
          <w:tcPr>
            <w:tcW w:w="2329" w:type="dxa"/>
            <w:tcBorders>
              <w:top w:val="nil"/>
              <w:left w:val="single" w:sz="4" w:space="0" w:color="auto"/>
              <w:bottom w:val="single" w:sz="4" w:space="0" w:color="auto"/>
              <w:right w:val="single" w:sz="4" w:space="0" w:color="auto"/>
            </w:tcBorders>
          </w:tcPr>
          <w:p w14:paraId="5E3BB558"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r>
      <w:tr w:rsidR="00B24B98" w:rsidRPr="00B6751D" w14:paraId="3FEF0E68" w14:textId="77777777" w:rsidTr="00A94054">
        <w:trPr>
          <w:trHeight w:val="290"/>
        </w:trPr>
        <w:tc>
          <w:tcPr>
            <w:tcW w:w="3397" w:type="dxa"/>
            <w:tcBorders>
              <w:top w:val="nil"/>
              <w:left w:val="single" w:sz="4" w:space="0" w:color="auto"/>
              <w:bottom w:val="single" w:sz="4" w:space="0" w:color="auto"/>
              <w:right w:val="single" w:sz="4" w:space="0" w:color="auto"/>
            </w:tcBorders>
            <w:shd w:val="clear" w:color="auto" w:fill="auto"/>
            <w:vAlign w:val="bottom"/>
            <w:hideMark/>
          </w:tcPr>
          <w:p w14:paraId="7005BB83" w14:textId="77777777" w:rsidR="00B24B98" w:rsidRPr="00B6751D" w:rsidRDefault="00B24B98" w:rsidP="00A94054">
            <w:pPr>
              <w:spacing w:after="0" w:line="240" w:lineRule="auto"/>
              <w:rPr>
                <w:rFonts w:ascii="Calibri" w:eastAsia="Times New Roman" w:hAnsi="Calibri" w:cs="Calibri"/>
                <w:color w:val="000000"/>
                <w:lang w:eastAsia="en-GB"/>
              </w:rPr>
            </w:pPr>
            <w:r w:rsidRPr="00B6751D">
              <w:rPr>
                <w:rFonts w:ascii="Calibri" w:eastAsia="Times New Roman" w:hAnsi="Calibri" w:cs="Calibri"/>
                <w:color w:val="000000"/>
                <w:lang w:eastAsia="en-GB"/>
              </w:rPr>
              <w:t>AV Block</w:t>
            </w:r>
          </w:p>
        </w:tc>
        <w:tc>
          <w:tcPr>
            <w:tcW w:w="1391" w:type="dxa"/>
            <w:tcBorders>
              <w:top w:val="nil"/>
              <w:left w:val="nil"/>
              <w:bottom w:val="single" w:sz="4" w:space="0" w:color="auto"/>
              <w:right w:val="single" w:sz="4" w:space="0" w:color="auto"/>
            </w:tcBorders>
            <w:shd w:val="clear" w:color="auto" w:fill="auto"/>
            <w:noWrap/>
            <w:vAlign w:val="bottom"/>
            <w:hideMark/>
          </w:tcPr>
          <w:p w14:paraId="26F78195" w14:textId="77777777" w:rsidR="00B24B98" w:rsidRPr="00B6751D" w:rsidRDefault="00B24B98" w:rsidP="00A94054">
            <w:pPr>
              <w:spacing w:after="0" w:line="240" w:lineRule="auto"/>
              <w:jc w:val="right"/>
              <w:rPr>
                <w:rFonts w:ascii="Calibri" w:eastAsia="Times New Roman" w:hAnsi="Calibri" w:cs="Calibri"/>
                <w:color w:val="000000"/>
                <w:lang w:eastAsia="en-GB"/>
              </w:rPr>
            </w:pPr>
            <w:r w:rsidRPr="00B6751D">
              <w:rPr>
                <w:rFonts w:ascii="Calibri" w:eastAsia="Times New Roman" w:hAnsi="Calibri" w:cs="Calibri"/>
                <w:color w:val="000000"/>
                <w:lang w:eastAsia="en-GB"/>
              </w:rPr>
              <w:t>12</w:t>
            </w:r>
          </w:p>
        </w:tc>
        <w:tc>
          <w:tcPr>
            <w:tcW w:w="2437" w:type="dxa"/>
            <w:tcBorders>
              <w:top w:val="single" w:sz="4" w:space="0" w:color="auto"/>
              <w:left w:val="nil"/>
              <w:bottom w:val="single" w:sz="4" w:space="0" w:color="auto"/>
              <w:right w:val="single" w:sz="4" w:space="0" w:color="auto"/>
            </w:tcBorders>
          </w:tcPr>
          <w:p w14:paraId="003307AD"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c>
          <w:tcPr>
            <w:tcW w:w="2329" w:type="dxa"/>
            <w:tcBorders>
              <w:top w:val="nil"/>
              <w:left w:val="single" w:sz="4" w:space="0" w:color="auto"/>
              <w:bottom w:val="single" w:sz="4" w:space="0" w:color="auto"/>
              <w:right w:val="single" w:sz="4" w:space="0" w:color="auto"/>
            </w:tcBorders>
          </w:tcPr>
          <w:p w14:paraId="40BA2375"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r>
      <w:tr w:rsidR="00B24B98" w:rsidRPr="00B6751D" w14:paraId="647269FA" w14:textId="77777777" w:rsidTr="00A94054">
        <w:trPr>
          <w:trHeight w:val="290"/>
        </w:trPr>
        <w:tc>
          <w:tcPr>
            <w:tcW w:w="3397" w:type="dxa"/>
            <w:tcBorders>
              <w:top w:val="nil"/>
              <w:left w:val="single" w:sz="4" w:space="0" w:color="auto"/>
              <w:bottom w:val="single" w:sz="4" w:space="0" w:color="auto"/>
              <w:right w:val="single" w:sz="4" w:space="0" w:color="auto"/>
            </w:tcBorders>
            <w:shd w:val="clear" w:color="auto" w:fill="auto"/>
            <w:noWrap/>
            <w:vAlign w:val="bottom"/>
            <w:hideMark/>
          </w:tcPr>
          <w:p w14:paraId="510877E8" w14:textId="77777777" w:rsidR="00B24B98" w:rsidRPr="00B6751D" w:rsidRDefault="00B24B98" w:rsidP="00A94054">
            <w:pPr>
              <w:spacing w:after="0" w:line="240" w:lineRule="auto"/>
              <w:rPr>
                <w:rFonts w:ascii="Calibri" w:eastAsia="Times New Roman" w:hAnsi="Calibri" w:cs="Calibri"/>
                <w:color w:val="000000"/>
                <w:lang w:eastAsia="en-GB"/>
              </w:rPr>
            </w:pPr>
            <w:r w:rsidRPr="00B6751D">
              <w:rPr>
                <w:rFonts w:ascii="Calibri" w:eastAsia="Times New Roman" w:hAnsi="Calibri" w:cs="Calibri"/>
                <w:color w:val="000000"/>
                <w:lang w:eastAsia="en-GB"/>
              </w:rPr>
              <w:t>Bleeding requiring transfusion with or without hemostasis intervention</w:t>
            </w:r>
          </w:p>
        </w:tc>
        <w:tc>
          <w:tcPr>
            <w:tcW w:w="1391" w:type="dxa"/>
            <w:tcBorders>
              <w:top w:val="nil"/>
              <w:left w:val="nil"/>
              <w:bottom w:val="single" w:sz="4" w:space="0" w:color="auto"/>
              <w:right w:val="single" w:sz="4" w:space="0" w:color="auto"/>
            </w:tcBorders>
            <w:shd w:val="clear" w:color="auto" w:fill="auto"/>
            <w:noWrap/>
            <w:vAlign w:val="bottom"/>
            <w:hideMark/>
          </w:tcPr>
          <w:p w14:paraId="4CECEE1A" w14:textId="77777777" w:rsidR="00B24B98" w:rsidRPr="00B6751D" w:rsidRDefault="00B24B98" w:rsidP="00A94054">
            <w:pPr>
              <w:spacing w:after="0" w:line="240" w:lineRule="auto"/>
              <w:jc w:val="right"/>
              <w:rPr>
                <w:rFonts w:ascii="Calibri" w:eastAsia="Times New Roman" w:hAnsi="Calibri" w:cs="Calibri"/>
                <w:color w:val="000000"/>
                <w:lang w:eastAsia="en-GB"/>
              </w:rPr>
            </w:pPr>
            <w:r w:rsidRPr="00B6751D">
              <w:rPr>
                <w:rFonts w:ascii="Calibri" w:eastAsia="Times New Roman" w:hAnsi="Calibri" w:cs="Calibri"/>
                <w:color w:val="000000"/>
                <w:lang w:eastAsia="en-GB"/>
              </w:rPr>
              <w:t>11</w:t>
            </w:r>
          </w:p>
        </w:tc>
        <w:tc>
          <w:tcPr>
            <w:tcW w:w="2437" w:type="dxa"/>
            <w:tcBorders>
              <w:top w:val="single" w:sz="4" w:space="0" w:color="auto"/>
              <w:left w:val="nil"/>
              <w:bottom w:val="single" w:sz="4" w:space="0" w:color="auto"/>
              <w:right w:val="single" w:sz="4" w:space="0" w:color="auto"/>
            </w:tcBorders>
          </w:tcPr>
          <w:p w14:paraId="387727B9"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c>
          <w:tcPr>
            <w:tcW w:w="2329" w:type="dxa"/>
            <w:tcBorders>
              <w:top w:val="nil"/>
              <w:left w:val="single" w:sz="4" w:space="0" w:color="auto"/>
              <w:bottom w:val="single" w:sz="4" w:space="0" w:color="auto"/>
              <w:right w:val="single" w:sz="4" w:space="0" w:color="auto"/>
            </w:tcBorders>
          </w:tcPr>
          <w:p w14:paraId="4E3BBA99"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r>
      <w:tr w:rsidR="00B24B98" w:rsidRPr="00B6751D" w14:paraId="0893D051" w14:textId="77777777" w:rsidTr="00A94054">
        <w:trPr>
          <w:trHeight w:val="290"/>
        </w:trPr>
        <w:tc>
          <w:tcPr>
            <w:tcW w:w="3397" w:type="dxa"/>
            <w:tcBorders>
              <w:top w:val="nil"/>
              <w:left w:val="single" w:sz="4" w:space="0" w:color="auto"/>
              <w:bottom w:val="single" w:sz="4" w:space="0" w:color="auto"/>
              <w:right w:val="single" w:sz="4" w:space="0" w:color="auto"/>
            </w:tcBorders>
            <w:shd w:val="clear" w:color="auto" w:fill="auto"/>
            <w:noWrap/>
            <w:vAlign w:val="bottom"/>
            <w:hideMark/>
          </w:tcPr>
          <w:p w14:paraId="14589954" w14:textId="77777777" w:rsidR="00B24B98" w:rsidRPr="00B6751D" w:rsidRDefault="00B24B98" w:rsidP="00A94054">
            <w:pPr>
              <w:spacing w:after="0" w:line="240" w:lineRule="auto"/>
              <w:rPr>
                <w:rFonts w:ascii="Calibri" w:eastAsia="Times New Roman" w:hAnsi="Calibri" w:cs="Calibri"/>
                <w:color w:val="000000"/>
                <w:lang w:eastAsia="en-GB"/>
              </w:rPr>
            </w:pPr>
            <w:r w:rsidRPr="00B6751D">
              <w:rPr>
                <w:rFonts w:ascii="Calibri" w:eastAsia="Times New Roman" w:hAnsi="Calibri" w:cs="Calibri"/>
                <w:color w:val="000000"/>
                <w:lang w:eastAsia="en-GB"/>
              </w:rPr>
              <w:t>central nervous system</w:t>
            </w:r>
          </w:p>
        </w:tc>
        <w:tc>
          <w:tcPr>
            <w:tcW w:w="1391" w:type="dxa"/>
            <w:tcBorders>
              <w:top w:val="nil"/>
              <w:left w:val="nil"/>
              <w:bottom w:val="single" w:sz="4" w:space="0" w:color="auto"/>
              <w:right w:val="single" w:sz="4" w:space="0" w:color="auto"/>
            </w:tcBorders>
            <w:shd w:val="clear" w:color="auto" w:fill="auto"/>
            <w:noWrap/>
            <w:vAlign w:val="bottom"/>
            <w:hideMark/>
          </w:tcPr>
          <w:p w14:paraId="25FEE882" w14:textId="77777777" w:rsidR="00B24B98" w:rsidRPr="00B6751D" w:rsidRDefault="00B24B98" w:rsidP="00A94054">
            <w:pPr>
              <w:spacing w:after="0" w:line="240" w:lineRule="auto"/>
              <w:jc w:val="right"/>
              <w:rPr>
                <w:rFonts w:ascii="Calibri" w:eastAsia="Times New Roman" w:hAnsi="Calibri" w:cs="Calibri"/>
                <w:color w:val="000000"/>
                <w:lang w:eastAsia="en-GB"/>
              </w:rPr>
            </w:pPr>
            <w:r w:rsidRPr="00B6751D">
              <w:rPr>
                <w:rFonts w:ascii="Calibri" w:eastAsia="Times New Roman" w:hAnsi="Calibri" w:cs="Calibri"/>
                <w:color w:val="000000"/>
                <w:lang w:eastAsia="en-GB"/>
              </w:rPr>
              <w:t>11</w:t>
            </w:r>
          </w:p>
        </w:tc>
        <w:tc>
          <w:tcPr>
            <w:tcW w:w="2437" w:type="dxa"/>
            <w:tcBorders>
              <w:top w:val="single" w:sz="4" w:space="0" w:color="auto"/>
              <w:left w:val="nil"/>
              <w:bottom w:val="single" w:sz="4" w:space="0" w:color="auto"/>
              <w:right w:val="single" w:sz="4" w:space="0" w:color="auto"/>
            </w:tcBorders>
          </w:tcPr>
          <w:p w14:paraId="3F2A9785"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c>
          <w:tcPr>
            <w:tcW w:w="2329" w:type="dxa"/>
            <w:tcBorders>
              <w:top w:val="nil"/>
              <w:left w:val="single" w:sz="4" w:space="0" w:color="auto"/>
              <w:bottom w:val="single" w:sz="4" w:space="0" w:color="auto"/>
              <w:right w:val="single" w:sz="4" w:space="0" w:color="auto"/>
            </w:tcBorders>
          </w:tcPr>
          <w:p w14:paraId="6003B06B"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r>
      <w:tr w:rsidR="00B24B98" w:rsidRPr="00B6751D" w14:paraId="3DDF527E" w14:textId="77777777" w:rsidTr="00A94054">
        <w:trPr>
          <w:trHeight w:val="290"/>
        </w:trPr>
        <w:tc>
          <w:tcPr>
            <w:tcW w:w="3397" w:type="dxa"/>
            <w:tcBorders>
              <w:top w:val="nil"/>
              <w:left w:val="single" w:sz="4" w:space="0" w:color="auto"/>
              <w:bottom w:val="single" w:sz="4" w:space="0" w:color="auto"/>
              <w:right w:val="single" w:sz="4" w:space="0" w:color="auto"/>
            </w:tcBorders>
            <w:shd w:val="clear" w:color="auto" w:fill="auto"/>
            <w:noWrap/>
            <w:vAlign w:val="bottom"/>
            <w:hideMark/>
          </w:tcPr>
          <w:p w14:paraId="29AB65EE" w14:textId="77777777" w:rsidR="00B24B98" w:rsidRPr="00B6751D" w:rsidRDefault="00B24B98" w:rsidP="00A94054">
            <w:pPr>
              <w:spacing w:after="0" w:line="240" w:lineRule="auto"/>
              <w:rPr>
                <w:rFonts w:ascii="Calibri" w:eastAsia="Times New Roman" w:hAnsi="Calibri" w:cs="Calibri"/>
                <w:color w:val="000000"/>
                <w:lang w:eastAsia="en-GB"/>
              </w:rPr>
            </w:pPr>
            <w:r w:rsidRPr="00B6751D">
              <w:rPr>
                <w:rFonts w:ascii="Calibri" w:eastAsia="Times New Roman" w:hAnsi="Calibri" w:cs="Calibri"/>
                <w:color w:val="000000"/>
                <w:lang w:eastAsia="en-GB"/>
              </w:rPr>
              <w:t>Ileus</w:t>
            </w:r>
          </w:p>
        </w:tc>
        <w:tc>
          <w:tcPr>
            <w:tcW w:w="1391" w:type="dxa"/>
            <w:tcBorders>
              <w:top w:val="nil"/>
              <w:left w:val="nil"/>
              <w:bottom w:val="single" w:sz="4" w:space="0" w:color="auto"/>
              <w:right w:val="single" w:sz="4" w:space="0" w:color="auto"/>
            </w:tcBorders>
            <w:shd w:val="clear" w:color="auto" w:fill="auto"/>
            <w:noWrap/>
            <w:vAlign w:val="bottom"/>
            <w:hideMark/>
          </w:tcPr>
          <w:p w14:paraId="2F721F46" w14:textId="77777777" w:rsidR="00B24B98" w:rsidRPr="00B6751D" w:rsidRDefault="00B24B98" w:rsidP="00A94054">
            <w:pPr>
              <w:spacing w:after="0" w:line="240" w:lineRule="auto"/>
              <w:jc w:val="right"/>
              <w:rPr>
                <w:rFonts w:ascii="Calibri" w:eastAsia="Times New Roman" w:hAnsi="Calibri" w:cs="Calibri"/>
                <w:color w:val="000000"/>
                <w:lang w:eastAsia="en-GB"/>
              </w:rPr>
            </w:pPr>
            <w:r w:rsidRPr="00B6751D">
              <w:rPr>
                <w:rFonts w:ascii="Calibri" w:eastAsia="Times New Roman" w:hAnsi="Calibri" w:cs="Calibri"/>
                <w:color w:val="000000"/>
                <w:lang w:eastAsia="en-GB"/>
              </w:rPr>
              <w:t>10</w:t>
            </w:r>
          </w:p>
        </w:tc>
        <w:tc>
          <w:tcPr>
            <w:tcW w:w="2437" w:type="dxa"/>
            <w:tcBorders>
              <w:top w:val="single" w:sz="4" w:space="0" w:color="auto"/>
              <w:left w:val="nil"/>
              <w:bottom w:val="single" w:sz="4" w:space="0" w:color="auto"/>
              <w:right w:val="single" w:sz="4" w:space="0" w:color="auto"/>
            </w:tcBorders>
          </w:tcPr>
          <w:p w14:paraId="482682AB"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c>
          <w:tcPr>
            <w:tcW w:w="2329" w:type="dxa"/>
            <w:tcBorders>
              <w:top w:val="nil"/>
              <w:left w:val="single" w:sz="4" w:space="0" w:color="auto"/>
              <w:bottom w:val="single" w:sz="4" w:space="0" w:color="auto"/>
              <w:right w:val="single" w:sz="4" w:space="0" w:color="auto"/>
            </w:tcBorders>
          </w:tcPr>
          <w:p w14:paraId="086FA37B"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r>
      <w:tr w:rsidR="00B24B98" w:rsidRPr="00B6751D" w14:paraId="01EC594B" w14:textId="77777777" w:rsidTr="00A94054">
        <w:trPr>
          <w:trHeight w:val="290"/>
        </w:trPr>
        <w:tc>
          <w:tcPr>
            <w:tcW w:w="3397" w:type="dxa"/>
            <w:tcBorders>
              <w:top w:val="nil"/>
              <w:left w:val="single" w:sz="4" w:space="0" w:color="auto"/>
              <w:bottom w:val="single" w:sz="4" w:space="0" w:color="auto"/>
              <w:right w:val="single" w:sz="4" w:space="0" w:color="auto"/>
            </w:tcBorders>
            <w:shd w:val="clear" w:color="auto" w:fill="auto"/>
            <w:noWrap/>
            <w:vAlign w:val="bottom"/>
            <w:hideMark/>
          </w:tcPr>
          <w:p w14:paraId="3B6C7714" w14:textId="77777777" w:rsidR="00B24B98" w:rsidRPr="00B6751D" w:rsidRDefault="00B24B98" w:rsidP="00A94054">
            <w:pPr>
              <w:spacing w:after="0" w:line="240" w:lineRule="auto"/>
              <w:rPr>
                <w:rFonts w:ascii="Calibri" w:eastAsia="Times New Roman" w:hAnsi="Calibri" w:cs="Calibri"/>
                <w:color w:val="000000"/>
                <w:lang w:eastAsia="en-GB"/>
              </w:rPr>
            </w:pPr>
            <w:r w:rsidRPr="00B6751D">
              <w:rPr>
                <w:rFonts w:ascii="Calibri" w:eastAsia="Times New Roman" w:hAnsi="Calibri" w:cs="Calibri"/>
                <w:color w:val="000000"/>
                <w:lang w:eastAsia="en-GB"/>
              </w:rPr>
              <w:t>Upper GI bleeding, gastritis, AKI</w:t>
            </w:r>
          </w:p>
        </w:tc>
        <w:tc>
          <w:tcPr>
            <w:tcW w:w="1391" w:type="dxa"/>
            <w:tcBorders>
              <w:top w:val="nil"/>
              <w:left w:val="nil"/>
              <w:bottom w:val="single" w:sz="4" w:space="0" w:color="auto"/>
              <w:right w:val="single" w:sz="4" w:space="0" w:color="auto"/>
            </w:tcBorders>
            <w:shd w:val="clear" w:color="auto" w:fill="auto"/>
            <w:noWrap/>
            <w:vAlign w:val="bottom"/>
            <w:hideMark/>
          </w:tcPr>
          <w:p w14:paraId="4B2102CC" w14:textId="77777777" w:rsidR="00B24B98" w:rsidRPr="00B6751D" w:rsidRDefault="00B24B98" w:rsidP="00A94054">
            <w:pPr>
              <w:spacing w:after="0" w:line="240" w:lineRule="auto"/>
              <w:jc w:val="right"/>
              <w:rPr>
                <w:rFonts w:ascii="Calibri" w:eastAsia="Times New Roman" w:hAnsi="Calibri" w:cs="Calibri"/>
                <w:color w:val="000000"/>
                <w:lang w:eastAsia="en-GB"/>
              </w:rPr>
            </w:pPr>
            <w:r w:rsidRPr="00B6751D">
              <w:rPr>
                <w:rFonts w:ascii="Calibri" w:eastAsia="Times New Roman" w:hAnsi="Calibri" w:cs="Calibri"/>
                <w:color w:val="000000"/>
                <w:lang w:eastAsia="en-GB"/>
              </w:rPr>
              <w:t>10</w:t>
            </w:r>
          </w:p>
        </w:tc>
        <w:tc>
          <w:tcPr>
            <w:tcW w:w="2437" w:type="dxa"/>
            <w:tcBorders>
              <w:top w:val="single" w:sz="4" w:space="0" w:color="auto"/>
              <w:left w:val="nil"/>
              <w:bottom w:val="single" w:sz="4" w:space="0" w:color="auto"/>
              <w:right w:val="single" w:sz="4" w:space="0" w:color="auto"/>
            </w:tcBorders>
          </w:tcPr>
          <w:p w14:paraId="4C751F5B"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c>
          <w:tcPr>
            <w:tcW w:w="2329" w:type="dxa"/>
            <w:tcBorders>
              <w:top w:val="nil"/>
              <w:left w:val="single" w:sz="4" w:space="0" w:color="auto"/>
              <w:bottom w:val="single" w:sz="4" w:space="0" w:color="auto"/>
              <w:right w:val="single" w:sz="4" w:space="0" w:color="auto"/>
            </w:tcBorders>
          </w:tcPr>
          <w:p w14:paraId="4440B854"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r>
      <w:tr w:rsidR="00B24B98" w:rsidRPr="00B6751D" w14:paraId="1BCFD28B" w14:textId="77777777" w:rsidTr="00A94054">
        <w:trPr>
          <w:trHeight w:val="290"/>
        </w:trPr>
        <w:tc>
          <w:tcPr>
            <w:tcW w:w="3397" w:type="dxa"/>
            <w:tcBorders>
              <w:top w:val="nil"/>
              <w:left w:val="single" w:sz="4" w:space="0" w:color="auto"/>
              <w:bottom w:val="single" w:sz="4" w:space="0" w:color="auto"/>
              <w:right w:val="single" w:sz="4" w:space="0" w:color="auto"/>
            </w:tcBorders>
            <w:shd w:val="clear" w:color="auto" w:fill="auto"/>
            <w:vAlign w:val="bottom"/>
            <w:hideMark/>
          </w:tcPr>
          <w:p w14:paraId="632A3F80" w14:textId="77777777" w:rsidR="00B24B98" w:rsidRPr="00B6751D" w:rsidRDefault="00B24B98" w:rsidP="00A94054">
            <w:pPr>
              <w:spacing w:after="0" w:line="240" w:lineRule="auto"/>
              <w:rPr>
                <w:rFonts w:ascii="Calibri" w:eastAsia="Times New Roman" w:hAnsi="Calibri" w:cs="Calibri"/>
                <w:color w:val="000000"/>
                <w:lang w:eastAsia="en-GB"/>
              </w:rPr>
            </w:pPr>
            <w:r w:rsidRPr="00B6751D">
              <w:rPr>
                <w:rFonts w:ascii="Calibri" w:eastAsia="Times New Roman" w:hAnsi="Calibri" w:cs="Calibri"/>
                <w:color w:val="000000"/>
                <w:lang w:eastAsia="en-GB"/>
              </w:rPr>
              <w:t>Urticaria</w:t>
            </w:r>
          </w:p>
        </w:tc>
        <w:tc>
          <w:tcPr>
            <w:tcW w:w="1391" w:type="dxa"/>
            <w:tcBorders>
              <w:top w:val="nil"/>
              <w:left w:val="nil"/>
              <w:bottom w:val="single" w:sz="4" w:space="0" w:color="auto"/>
              <w:right w:val="single" w:sz="4" w:space="0" w:color="auto"/>
            </w:tcBorders>
            <w:shd w:val="clear" w:color="auto" w:fill="auto"/>
            <w:noWrap/>
            <w:vAlign w:val="bottom"/>
            <w:hideMark/>
          </w:tcPr>
          <w:p w14:paraId="66D3069D" w14:textId="77777777" w:rsidR="00B24B98" w:rsidRPr="00B6751D" w:rsidRDefault="00B24B98" w:rsidP="00A94054">
            <w:pPr>
              <w:spacing w:after="0" w:line="240" w:lineRule="auto"/>
              <w:jc w:val="right"/>
              <w:rPr>
                <w:rFonts w:ascii="Calibri" w:eastAsia="Times New Roman" w:hAnsi="Calibri" w:cs="Calibri"/>
                <w:color w:val="000000"/>
                <w:lang w:eastAsia="en-GB"/>
              </w:rPr>
            </w:pPr>
            <w:r w:rsidRPr="00B6751D">
              <w:rPr>
                <w:rFonts w:ascii="Calibri" w:eastAsia="Times New Roman" w:hAnsi="Calibri" w:cs="Calibri"/>
                <w:color w:val="000000"/>
                <w:lang w:eastAsia="en-GB"/>
              </w:rPr>
              <w:t>10</w:t>
            </w:r>
          </w:p>
        </w:tc>
        <w:tc>
          <w:tcPr>
            <w:tcW w:w="2437" w:type="dxa"/>
            <w:tcBorders>
              <w:top w:val="single" w:sz="4" w:space="0" w:color="auto"/>
              <w:left w:val="nil"/>
              <w:bottom w:val="single" w:sz="4" w:space="0" w:color="auto"/>
              <w:right w:val="single" w:sz="4" w:space="0" w:color="auto"/>
            </w:tcBorders>
          </w:tcPr>
          <w:p w14:paraId="48B1A235"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c>
          <w:tcPr>
            <w:tcW w:w="2329" w:type="dxa"/>
            <w:tcBorders>
              <w:top w:val="nil"/>
              <w:left w:val="single" w:sz="4" w:space="0" w:color="auto"/>
              <w:bottom w:val="single" w:sz="4" w:space="0" w:color="auto"/>
              <w:right w:val="single" w:sz="4" w:space="0" w:color="auto"/>
            </w:tcBorders>
          </w:tcPr>
          <w:p w14:paraId="61A897AE"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r>
      <w:tr w:rsidR="00B24B98" w:rsidRPr="00B6751D" w14:paraId="11644BF2" w14:textId="77777777" w:rsidTr="00A94054">
        <w:trPr>
          <w:trHeight w:val="290"/>
        </w:trPr>
        <w:tc>
          <w:tcPr>
            <w:tcW w:w="3397" w:type="dxa"/>
            <w:tcBorders>
              <w:top w:val="nil"/>
              <w:left w:val="single" w:sz="4" w:space="0" w:color="auto"/>
              <w:bottom w:val="single" w:sz="4" w:space="0" w:color="auto"/>
              <w:right w:val="single" w:sz="4" w:space="0" w:color="auto"/>
            </w:tcBorders>
            <w:shd w:val="clear" w:color="auto" w:fill="auto"/>
            <w:vAlign w:val="bottom"/>
            <w:hideMark/>
          </w:tcPr>
          <w:p w14:paraId="0ECCDA4B" w14:textId="77777777" w:rsidR="00B24B98" w:rsidRPr="00B6751D" w:rsidRDefault="00B24B98" w:rsidP="00A94054">
            <w:pPr>
              <w:spacing w:after="0" w:line="240" w:lineRule="auto"/>
              <w:rPr>
                <w:rFonts w:ascii="Calibri" w:eastAsia="Times New Roman" w:hAnsi="Calibri" w:cs="Calibri"/>
                <w:color w:val="000000"/>
                <w:lang w:eastAsia="en-GB"/>
              </w:rPr>
            </w:pPr>
            <w:r w:rsidRPr="00B6751D">
              <w:rPr>
                <w:rFonts w:ascii="Calibri" w:eastAsia="Times New Roman" w:hAnsi="Calibri" w:cs="Calibri"/>
                <w:color w:val="000000"/>
                <w:lang w:eastAsia="en-GB"/>
              </w:rPr>
              <w:t>headache</w:t>
            </w:r>
          </w:p>
        </w:tc>
        <w:tc>
          <w:tcPr>
            <w:tcW w:w="1391" w:type="dxa"/>
            <w:tcBorders>
              <w:top w:val="nil"/>
              <w:left w:val="nil"/>
              <w:bottom w:val="single" w:sz="4" w:space="0" w:color="auto"/>
              <w:right w:val="single" w:sz="4" w:space="0" w:color="auto"/>
            </w:tcBorders>
            <w:shd w:val="clear" w:color="auto" w:fill="auto"/>
            <w:noWrap/>
            <w:vAlign w:val="bottom"/>
            <w:hideMark/>
          </w:tcPr>
          <w:p w14:paraId="63DF20C6" w14:textId="77777777" w:rsidR="00B24B98" w:rsidRPr="00B6751D" w:rsidRDefault="00B24B98" w:rsidP="00A94054">
            <w:pPr>
              <w:spacing w:after="0" w:line="240" w:lineRule="auto"/>
              <w:jc w:val="right"/>
              <w:rPr>
                <w:rFonts w:ascii="Calibri" w:eastAsia="Times New Roman" w:hAnsi="Calibri" w:cs="Calibri"/>
                <w:color w:val="000000"/>
                <w:lang w:eastAsia="en-GB"/>
              </w:rPr>
            </w:pPr>
            <w:r w:rsidRPr="00B6751D">
              <w:rPr>
                <w:rFonts w:ascii="Calibri" w:eastAsia="Times New Roman" w:hAnsi="Calibri" w:cs="Calibri"/>
                <w:color w:val="000000"/>
                <w:lang w:eastAsia="en-GB"/>
              </w:rPr>
              <w:t>9</w:t>
            </w:r>
          </w:p>
        </w:tc>
        <w:tc>
          <w:tcPr>
            <w:tcW w:w="2437" w:type="dxa"/>
            <w:tcBorders>
              <w:top w:val="single" w:sz="4" w:space="0" w:color="auto"/>
              <w:left w:val="nil"/>
              <w:bottom w:val="single" w:sz="4" w:space="0" w:color="auto"/>
              <w:right w:val="single" w:sz="4" w:space="0" w:color="auto"/>
            </w:tcBorders>
          </w:tcPr>
          <w:p w14:paraId="01F9283F"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c>
          <w:tcPr>
            <w:tcW w:w="2329" w:type="dxa"/>
            <w:tcBorders>
              <w:top w:val="nil"/>
              <w:left w:val="single" w:sz="4" w:space="0" w:color="auto"/>
              <w:bottom w:val="single" w:sz="4" w:space="0" w:color="auto"/>
              <w:right w:val="single" w:sz="4" w:space="0" w:color="auto"/>
            </w:tcBorders>
          </w:tcPr>
          <w:p w14:paraId="4E89A3F8"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r>
      <w:tr w:rsidR="00B24B98" w:rsidRPr="00B6751D" w14:paraId="75756220" w14:textId="77777777" w:rsidTr="00A94054">
        <w:trPr>
          <w:trHeight w:val="290"/>
        </w:trPr>
        <w:tc>
          <w:tcPr>
            <w:tcW w:w="3397" w:type="dxa"/>
            <w:tcBorders>
              <w:top w:val="nil"/>
              <w:left w:val="single" w:sz="4" w:space="0" w:color="auto"/>
              <w:bottom w:val="single" w:sz="4" w:space="0" w:color="auto"/>
              <w:right w:val="single" w:sz="4" w:space="0" w:color="auto"/>
            </w:tcBorders>
            <w:shd w:val="clear" w:color="auto" w:fill="auto"/>
            <w:noWrap/>
            <w:vAlign w:val="bottom"/>
            <w:hideMark/>
          </w:tcPr>
          <w:p w14:paraId="4FC24E24" w14:textId="77777777" w:rsidR="00B24B98" w:rsidRPr="00B6751D" w:rsidRDefault="00B24B98" w:rsidP="00A94054">
            <w:pPr>
              <w:spacing w:after="0" w:line="240" w:lineRule="auto"/>
              <w:rPr>
                <w:rFonts w:ascii="Calibri" w:eastAsia="Times New Roman" w:hAnsi="Calibri" w:cs="Calibri"/>
                <w:color w:val="000000"/>
                <w:lang w:eastAsia="en-GB"/>
              </w:rPr>
            </w:pPr>
            <w:r w:rsidRPr="00B6751D">
              <w:rPr>
                <w:rFonts w:ascii="Calibri" w:eastAsia="Times New Roman" w:hAnsi="Calibri" w:cs="Calibri"/>
                <w:color w:val="000000"/>
                <w:lang w:eastAsia="en-GB"/>
              </w:rPr>
              <w:t>Acute kidney injury, gastrointestinal bleeding</w:t>
            </w:r>
          </w:p>
        </w:tc>
        <w:tc>
          <w:tcPr>
            <w:tcW w:w="1391" w:type="dxa"/>
            <w:tcBorders>
              <w:top w:val="nil"/>
              <w:left w:val="nil"/>
              <w:bottom w:val="single" w:sz="4" w:space="0" w:color="auto"/>
              <w:right w:val="single" w:sz="4" w:space="0" w:color="auto"/>
            </w:tcBorders>
            <w:shd w:val="clear" w:color="auto" w:fill="auto"/>
            <w:noWrap/>
            <w:vAlign w:val="bottom"/>
            <w:hideMark/>
          </w:tcPr>
          <w:p w14:paraId="6C3CA300" w14:textId="77777777" w:rsidR="00B24B98" w:rsidRPr="00B6751D" w:rsidRDefault="00B24B98" w:rsidP="00A94054">
            <w:pPr>
              <w:spacing w:after="0" w:line="240" w:lineRule="auto"/>
              <w:jc w:val="right"/>
              <w:rPr>
                <w:rFonts w:ascii="Calibri" w:eastAsia="Times New Roman" w:hAnsi="Calibri" w:cs="Calibri"/>
                <w:color w:val="000000"/>
                <w:lang w:eastAsia="en-GB"/>
              </w:rPr>
            </w:pPr>
            <w:r w:rsidRPr="00B6751D">
              <w:rPr>
                <w:rFonts w:ascii="Calibri" w:eastAsia="Times New Roman" w:hAnsi="Calibri" w:cs="Calibri"/>
                <w:color w:val="000000"/>
                <w:lang w:eastAsia="en-GB"/>
              </w:rPr>
              <w:t>8</w:t>
            </w:r>
          </w:p>
        </w:tc>
        <w:tc>
          <w:tcPr>
            <w:tcW w:w="2437" w:type="dxa"/>
            <w:tcBorders>
              <w:top w:val="single" w:sz="4" w:space="0" w:color="auto"/>
              <w:left w:val="nil"/>
              <w:bottom w:val="single" w:sz="4" w:space="0" w:color="auto"/>
              <w:right w:val="single" w:sz="4" w:space="0" w:color="auto"/>
            </w:tcBorders>
          </w:tcPr>
          <w:p w14:paraId="6D4634BA"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c>
          <w:tcPr>
            <w:tcW w:w="2329" w:type="dxa"/>
            <w:tcBorders>
              <w:top w:val="nil"/>
              <w:left w:val="single" w:sz="4" w:space="0" w:color="auto"/>
              <w:bottom w:val="single" w:sz="4" w:space="0" w:color="auto"/>
              <w:right w:val="single" w:sz="4" w:space="0" w:color="auto"/>
            </w:tcBorders>
          </w:tcPr>
          <w:p w14:paraId="3961BBFB"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r>
      <w:tr w:rsidR="00B24B98" w:rsidRPr="00B6751D" w14:paraId="01DED9D6" w14:textId="77777777" w:rsidTr="00A94054">
        <w:trPr>
          <w:trHeight w:val="290"/>
        </w:trPr>
        <w:tc>
          <w:tcPr>
            <w:tcW w:w="3397" w:type="dxa"/>
            <w:tcBorders>
              <w:top w:val="nil"/>
              <w:left w:val="single" w:sz="4" w:space="0" w:color="auto"/>
              <w:bottom w:val="single" w:sz="4" w:space="0" w:color="auto"/>
              <w:right w:val="single" w:sz="4" w:space="0" w:color="auto"/>
            </w:tcBorders>
            <w:shd w:val="clear" w:color="auto" w:fill="auto"/>
            <w:vAlign w:val="bottom"/>
            <w:hideMark/>
          </w:tcPr>
          <w:p w14:paraId="33424C94" w14:textId="77777777" w:rsidR="00B24B98" w:rsidRPr="00B6751D" w:rsidRDefault="00B24B98" w:rsidP="00A94054">
            <w:pPr>
              <w:spacing w:after="0" w:line="240" w:lineRule="auto"/>
              <w:rPr>
                <w:rFonts w:ascii="Calibri" w:eastAsia="Times New Roman" w:hAnsi="Calibri" w:cs="Calibri"/>
                <w:color w:val="000000"/>
                <w:lang w:eastAsia="en-GB"/>
              </w:rPr>
            </w:pPr>
            <w:r w:rsidRPr="00B6751D">
              <w:rPr>
                <w:rFonts w:ascii="Calibri" w:eastAsia="Times New Roman" w:hAnsi="Calibri" w:cs="Calibri"/>
                <w:color w:val="000000"/>
                <w:lang w:eastAsia="en-GB"/>
              </w:rPr>
              <w:t>gout</w:t>
            </w:r>
          </w:p>
        </w:tc>
        <w:tc>
          <w:tcPr>
            <w:tcW w:w="1391" w:type="dxa"/>
            <w:tcBorders>
              <w:top w:val="nil"/>
              <w:left w:val="nil"/>
              <w:bottom w:val="single" w:sz="4" w:space="0" w:color="auto"/>
              <w:right w:val="single" w:sz="4" w:space="0" w:color="auto"/>
            </w:tcBorders>
            <w:shd w:val="clear" w:color="auto" w:fill="auto"/>
            <w:noWrap/>
            <w:vAlign w:val="bottom"/>
            <w:hideMark/>
          </w:tcPr>
          <w:p w14:paraId="1180936C" w14:textId="77777777" w:rsidR="00B24B98" w:rsidRPr="00B6751D" w:rsidRDefault="00B24B98" w:rsidP="00A94054">
            <w:pPr>
              <w:spacing w:after="0" w:line="240" w:lineRule="auto"/>
              <w:jc w:val="right"/>
              <w:rPr>
                <w:rFonts w:ascii="Calibri" w:eastAsia="Times New Roman" w:hAnsi="Calibri" w:cs="Calibri"/>
                <w:color w:val="000000"/>
                <w:lang w:eastAsia="en-GB"/>
              </w:rPr>
            </w:pPr>
            <w:r w:rsidRPr="00B6751D">
              <w:rPr>
                <w:rFonts w:ascii="Calibri" w:eastAsia="Times New Roman" w:hAnsi="Calibri" w:cs="Calibri"/>
                <w:color w:val="000000"/>
                <w:lang w:eastAsia="en-GB"/>
              </w:rPr>
              <w:t>8</w:t>
            </w:r>
          </w:p>
        </w:tc>
        <w:tc>
          <w:tcPr>
            <w:tcW w:w="2437" w:type="dxa"/>
            <w:tcBorders>
              <w:top w:val="single" w:sz="4" w:space="0" w:color="auto"/>
              <w:left w:val="nil"/>
              <w:bottom w:val="single" w:sz="4" w:space="0" w:color="auto"/>
              <w:right w:val="single" w:sz="4" w:space="0" w:color="auto"/>
            </w:tcBorders>
          </w:tcPr>
          <w:p w14:paraId="0CA45EEB"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c>
          <w:tcPr>
            <w:tcW w:w="2329" w:type="dxa"/>
            <w:tcBorders>
              <w:top w:val="nil"/>
              <w:left w:val="single" w:sz="4" w:space="0" w:color="auto"/>
              <w:bottom w:val="single" w:sz="4" w:space="0" w:color="auto"/>
              <w:right w:val="single" w:sz="4" w:space="0" w:color="auto"/>
            </w:tcBorders>
          </w:tcPr>
          <w:p w14:paraId="18DA1831"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r>
      <w:tr w:rsidR="00B24B98" w:rsidRPr="00B6751D" w14:paraId="4FEEA002" w14:textId="77777777" w:rsidTr="00A94054">
        <w:trPr>
          <w:trHeight w:val="290"/>
        </w:trPr>
        <w:tc>
          <w:tcPr>
            <w:tcW w:w="3397" w:type="dxa"/>
            <w:tcBorders>
              <w:top w:val="nil"/>
              <w:left w:val="single" w:sz="4" w:space="0" w:color="auto"/>
              <w:bottom w:val="single" w:sz="4" w:space="0" w:color="auto"/>
              <w:right w:val="single" w:sz="4" w:space="0" w:color="auto"/>
            </w:tcBorders>
            <w:shd w:val="clear" w:color="auto" w:fill="auto"/>
            <w:noWrap/>
            <w:vAlign w:val="bottom"/>
            <w:hideMark/>
          </w:tcPr>
          <w:p w14:paraId="5D578589" w14:textId="77777777" w:rsidR="00B24B98" w:rsidRPr="00B6751D" w:rsidRDefault="00B24B98" w:rsidP="00A94054">
            <w:pPr>
              <w:spacing w:after="0" w:line="240" w:lineRule="auto"/>
              <w:rPr>
                <w:rFonts w:ascii="Calibri" w:eastAsia="Times New Roman" w:hAnsi="Calibri" w:cs="Calibri"/>
                <w:color w:val="000000"/>
                <w:lang w:eastAsia="en-GB"/>
              </w:rPr>
            </w:pPr>
            <w:r w:rsidRPr="00B6751D">
              <w:rPr>
                <w:rFonts w:ascii="Calibri" w:eastAsia="Times New Roman" w:hAnsi="Calibri" w:cs="Calibri"/>
                <w:color w:val="000000"/>
                <w:lang w:eastAsia="en-GB"/>
              </w:rPr>
              <w:t xml:space="preserve">Vomiting, diarrhea, bradycardia </w:t>
            </w:r>
          </w:p>
        </w:tc>
        <w:tc>
          <w:tcPr>
            <w:tcW w:w="1391" w:type="dxa"/>
            <w:tcBorders>
              <w:top w:val="nil"/>
              <w:left w:val="nil"/>
              <w:bottom w:val="single" w:sz="4" w:space="0" w:color="auto"/>
              <w:right w:val="single" w:sz="4" w:space="0" w:color="auto"/>
            </w:tcBorders>
            <w:shd w:val="clear" w:color="auto" w:fill="auto"/>
            <w:noWrap/>
            <w:vAlign w:val="bottom"/>
            <w:hideMark/>
          </w:tcPr>
          <w:p w14:paraId="01AACBB7" w14:textId="77777777" w:rsidR="00B24B98" w:rsidRPr="00B6751D" w:rsidRDefault="00B24B98" w:rsidP="00A94054">
            <w:pPr>
              <w:spacing w:after="0" w:line="240" w:lineRule="auto"/>
              <w:jc w:val="right"/>
              <w:rPr>
                <w:rFonts w:ascii="Calibri" w:eastAsia="Times New Roman" w:hAnsi="Calibri" w:cs="Calibri"/>
                <w:color w:val="000000"/>
                <w:lang w:eastAsia="en-GB"/>
              </w:rPr>
            </w:pPr>
            <w:r w:rsidRPr="00B6751D">
              <w:rPr>
                <w:rFonts w:ascii="Calibri" w:eastAsia="Times New Roman" w:hAnsi="Calibri" w:cs="Calibri"/>
                <w:color w:val="000000"/>
                <w:lang w:eastAsia="en-GB"/>
              </w:rPr>
              <w:t>8</w:t>
            </w:r>
          </w:p>
        </w:tc>
        <w:tc>
          <w:tcPr>
            <w:tcW w:w="2437" w:type="dxa"/>
            <w:tcBorders>
              <w:top w:val="single" w:sz="4" w:space="0" w:color="auto"/>
              <w:left w:val="nil"/>
              <w:bottom w:val="single" w:sz="4" w:space="0" w:color="auto"/>
              <w:right w:val="single" w:sz="4" w:space="0" w:color="auto"/>
            </w:tcBorders>
          </w:tcPr>
          <w:p w14:paraId="1055E807"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c>
          <w:tcPr>
            <w:tcW w:w="2329" w:type="dxa"/>
            <w:tcBorders>
              <w:top w:val="nil"/>
              <w:left w:val="single" w:sz="4" w:space="0" w:color="auto"/>
              <w:bottom w:val="single" w:sz="4" w:space="0" w:color="auto"/>
              <w:right w:val="single" w:sz="4" w:space="0" w:color="auto"/>
            </w:tcBorders>
          </w:tcPr>
          <w:p w14:paraId="4AB2FF08"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r>
      <w:tr w:rsidR="00B24B98" w:rsidRPr="00B6751D" w14:paraId="35540A8D" w14:textId="77777777" w:rsidTr="00A94054">
        <w:trPr>
          <w:trHeight w:val="290"/>
        </w:trPr>
        <w:tc>
          <w:tcPr>
            <w:tcW w:w="3397" w:type="dxa"/>
            <w:tcBorders>
              <w:top w:val="nil"/>
              <w:left w:val="single" w:sz="4" w:space="0" w:color="auto"/>
              <w:bottom w:val="single" w:sz="4" w:space="0" w:color="auto"/>
              <w:right w:val="single" w:sz="4" w:space="0" w:color="auto"/>
            </w:tcBorders>
            <w:shd w:val="clear" w:color="auto" w:fill="auto"/>
            <w:vAlign w:val="bottom"/>
            <w:hideMark/>
          </w:tcPr>
          <w:p w14:paraId="107D5F38" w14:textId="77777777" w:rsidR="00B24B98" w:rsidRPr="00B6751D" w:rsidRDefault="00B24B98" w:rsidP="00A94054">
            <w:pPr>
              <w:spacing w:after="0" w:line="240" w:lineRule="auto"/>
              <w:rPr>
                <w:rFonts w:ascii="Calibri" w:eastAsia="Times New Roman" w:hAnsi="Calibri" w:cs="Calibri"/>
                <w:color w:val="000000"/>
                <w:lang w:eastAsia="en-GB"/>
              </w:rPr>
            </w:pPr>
            <w:r w:rsidRPr="00B6751D">
              <w:rPr>
                <w:rFonts w:ascii="Calibri" w:eastAsia="Times New Roman" w:hAnsi="Calibri" w:cs="Calibri"/>
                <w:color w:val="000000"/>
                <w:lang w:eastAsia="en-GB"/>
              </w:rPr>
              <w:t>Allergy or drug sensitivity</w:t>
            </w:r>
          </w:p>
        </w:tc>
        <w:tc>
          <w:tcPr>
            <w:tcW w:w="1391" w:type="dxa"/>
            <w:tcBorders>
              <w:top w:val="nil"/>
              <w:left w:val="nil"/>
              <w:bottom w:val="single" w:sz="4" w:space="0" w:color="auto"/>
              <w:right w:val="single" w:sz="4" w:space="0" w:color="auto"/>
            </w:tcBorders>
            <w:shd w:val="clear" w:color="auto" w:fill="auto"/>
            <w:noWrap/>
            <w:vAlign w:val="bottom"/>
            <w:hideMark/>
          </w:tcPr>
          <w:p w14:paraId="34BAAFCD" w14:textId="77777777" w:rsidR="00B24B98" w:rsidRPr="00B6751D" w:rsidRDefault="00B24B98" w:rsidP="00A94054">
            <w:pPr>
              <w:spacing w:after="0" w:line="240" w:lineRule="auto"/>
              <w:jc w:val="right"/>
              <w:rPr>
                <w:rFonts w:ascii="Calibri" w:eastAsia="Times New Roman" w:hAnsi="Calibri" w:cs="Calibri"/>
                <w:color w:val="000000"/>
                <w:lang w:eastAsia="en-GB"/>
              </w:rPr>
            </w:pPr>
            <w:r w:rsidRPr="00B6751D">
              <w:rPr>
                <w:rFonts w:ascii="Calibri" w:eastAsia="Times New Roman" w:hAnsi="Calibri" w:cs="Calibri"/>
                <w:color w:val="000000"/>
                <w:lang w:eastAsia="en-GB"/>
              </w:rPr>
              <w:t>7</w:t>
            </w:r>
          </w:p>
        </w:tc>
        <w:tc>
          <w:tcPr>
            <w:tcW w:w="2437" w:type="dxa"/>
            <w:tcBorders>
              <w:top w:val="single" w:sz="4" w:space="0" w:color="auto"/>
              <w:left w:val="nil"/>
              <w:bottom w:val="single" w:sz="4" w:space="0" w:color="auto"/>
              <w:right w:val="single" w:sz="4" w:space="0" w:color="auto"/>
            </w:tcBorders>
          </w:tcPr>
          <w:p w14:paraId="78F717BF"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c>
          <w:tcPr>
            <w:tcW w:w="2329" w:type="dxa"/>
            <w:tcBorders>
              <w:top w:val="nil"/>
              <w:left w:val="single" w:sz="4" w:space="0" w:color="auto"/>
              <w:bottom w:val="single" w:sz="4" w:space="0" w:color="auto"/>
              <w:right w:val="single" w:sz="4" w:space="0" w:color="auto"/>
            </w:tcBorders>
          </w:tcPr>
          <w:p w14:paraId="3A56F725"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r>
      <w:tr w:rsidR="00B24B98" w:rsidRPr="00B6751D" w14:paraId="275156B0" w14:textId="77777777" w:rsidTr="00A94054">
        <w:trPr>
          <w:trHeight w:val="290"/>
        </w:trPr>
        <w:tc>
          <w:tcPr>
            <w:tcW w:w="3397" w:type="dxa"/>
            <w:tcBorders>
              <w:top w:val="nil"/>
              <w:left w:val="single" w:sz="4" w:space="0" w:color="auto"/>
              <w:bottom w:val="single" w:sz="4" w:space="0" w:color="auto"/>
              <w:right w:val="single" w:sz="4" w:space="0" w:color="auto"/>
            </w:tcBorders>
            <w:shd w:val="clear" w:color="auto" w:fill="auto"/>
            <w:noWrap/>
            <w:vAlign w:val="bottom"/>
            <w:hideMark/>
          </w:tcPr>
          <w:p w14:paraId="7425A154" w14:textId="77777777" w:rsidR="00B24B98" w:rsidRPr="00B6751D" w:rsidRDefault="00B24B98" w:rsidP="00A94054">
            <w:pPr>
              <w:spacing w:after="0" w:line="240" w:lineRule="auto"/>
              <w:rPr>
                <w:rFonts w:ascii="Calibri" w:eastAsia="Times New Roman" w:hAnsi="Calibri" w:cs="Calibri"/>
                <w:color w:val="000000"/>
                <w:lang w:eastAsia="en-GB"/>
              </w:rPr>
            </w:pPr>
            <w:r w:rsidRPr="00B6751D">
              <w:rPr>
                <w:rFonts w:ascii="Calibri" w:eastAsia="Times New Roman" w:hAnsi="Calibri" w:cs="Calibri"/>
                <w:color w:val="000000"/>
                <w:lang w:eastAsia="en-GB"/>
              </w:rPr>
              <w:t>Clostridium difficile +ve w/o dirrhoea</w:t>
            </w:r>
          </w:p>
        </w:tc>
        <w:tc>
          <w:tcPr>
            <w:tcW w:w="1391" w:type="dxa"/>
            <w:tcBorders>
              <w:top w:val="nil"/>
              <w:left w:val="nil"/>
              <w:bottom w:val="single" w:sz="4" w:space="0" w:color="auto"/>
              <w:right w:val="single" w:sz="4" w:space="0" w:color="auto"/>
            </w:tcBorders>
            <w:shd w:val="clear" w:color="auto" w:fill="auto"/>
            <w:noWrap/>
            <w:vAlign w:val="bottom"/>
            <w:hideMark/>
          </w:tcPr>
          <w:p w14:paraId="62AB191C" w14:textId="77777777" w:rsidR="00B24B98" w:rsidRPr="00B6751D" w:rsidRDefault="00B24B98" w:rsidP="00A94054">
            <w:pPr>
              <w:spacing w:after="0" w:line="240" w:lineRule="auto"/>
              <w:jc w:val="right"/>
              <w:rPr>
                <w:rFonts w:ascii="Calibri" w:eastAsia="Times New Roman" w:hAnsi="Calibri" w:cs="Calibri"/>
                <w:color w:val="000000"/>
                <w:lang w:eastAsia="en-GB"/>
              </w:rPr>
            </w:pPr>
            <w:r w:rsidRPr="00B6751D">
              <w:rPr>
                <w:rFonts w:ascii="Calibri" w:eastAsia="Times New Roman" w:hAnsi="Calibri" w:cs="Calibri"/>
                <w:color w:val="000000"/>
                <w:lang w:eastAsia="en-GB"/>
              </w:rPr>
              <w:t>7</w:t>
            </w:r>
          </w:p>
        </w:tc>
        <w:tc>
          <w:tcPr>
            <w:tcW w:w="2437" w:type="dxa"/>
            <w:tcBorders>
              <w:top w:val="single" w:sz="4" w:space="0" w:color="auto"/>
              <w:left w:val="nil"/>
              <w:bottom w:val="single" w:sz="4" w:space="0" w:color="auto"/>
              <w:right w:val="single" w:sz="4" w:space="0" w:color="auto"/>
            </w:tcBorders>
          </w:tcPr>
          <w:p w14:paraId="58EF4247"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c>
          <w:tcPr>
            <w:tcW w:w="2329" w:type="dxa"/>
            <w:tcBorders>
              <w:top w:val="nil"/>
              <w:left w:val="single" w:sz="4" w:space="0" w:color="auto"/>
              <w:bottom w:val="single" w:sz="4" w:space="0" w:color="auto"/>
              <w:right w:val="single" w:sz="4" w:space="0" w:color="auto"/>
            </w:tcBorders>
          </w:tcPr>
          <w:p w14:paraId="6DCE8857"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r>
      <w:tr w:rsidR="00B24B98" w:rsidRPr="00B6751D" w14:paraId="230E90E2" w14:textId="77777777" w:rsidTr="00A94054">
        <w:trPr>
          <w:trHeight w:val="290"/>
        </w:trPr>
        <w:tc>
          <w:tcPr>
            <w:tcW w:w="3397" w:type="dxa"/>
            <w:tcBorders>
              <w:top w:val="nil"/>
              <w:left w:val="single" w:sz="4" w:space="0" w:color="auto"/>
              <w:bottom w:val="single" w:sz="4" w:space="0" w:color="auto"/>
              <w:right w:val="single" w:sz="4" w:space="0" w:color="auto"/>
            </w:tcBorders>
            <w:shd w:val="clear" w:color="auto" w:fill="auto"/>
            <w:vAlign w:val="bottom"/>
            <w:hideMark/>
          </w:tcPr>
          <w:p w14:paraId="767752C2" w14:textId="77777777" w:rsidR="00B24B98" w:rsidRPr="00B6751D" w:rsidRDefault="00B24B98" w:rsidP="00A94054">
            <w:pPr>
              <w:spacing w:after="0" w:line="240" w:lineRule="auto"/>
              <w:rPr>
                <w:rFonts w:ascii="Calibri" w:eastAsia="Times New Roman" w:hAnsi="Calibri" w:cs="Calibri"/>
                <w:color w:val="000000"/>
                <w:lang w:eastAsia="en-GB"/>
              </w:rPr>
            </w:pPr>
            <w:r w:rsidRPr="00B6751D">
              <w:rPr>
                <w:rFonts w:ascii="Calibri" w:eastAsia="Times New Roman" w:hAnsi="Calibri" w:cs="Calibri"/>
                <w:color w:val="000000"/>
                <w:lang w:eastAsia="en-GB"/>
              </w:rPr>
              <w:t>Gastrointestinal bleeding</w:t>
            </w:r>
          </w:p>
        </w:tc>
        <w:tc>
          <w:tcPr>
            <w:tcW w:w="1391" w:type="dxa"/>
            <w:tcBorders>
              <w:top w:val="nil"/>
              <w:left w:val="nil"/>
              <w:bottom w:val="single" w:sz="4" w:space="0" w:color="auto"/>
              <w:right w:val="single" w:sz="4" w:space="0" w:color="auto"/>
            </w:tcBorders>
            <w:shd w:val="clear" w:color="auto" w:fill="auto"/>
            <w:noWrap/>
            <w:vAlign w:val="bottom"/>
            <w:hideMark/>
          </w:tcPr>
          <w:p w14:paraId="5AAEDEDA" w14:textId="77777777" w:rsidR="00B24B98" w:rsidRPr="00B6751D" w:rsidRDefault="00B24B98" w:rsidP="00A94054">
            <w:pPr>
              <w:spacing w:after="0" w:line="240" w:lineRule="auto"/>
              <w:jc w:val="right"/>
              <w:rPr>
                <w:rFonts w:ascii="Calibri" w:eastAsia="Times New Roman" w:hAnsi="Calibri" w:cs="Calibri"/>
                <w:color w:val="000000"/>
                <w:lang w:eastAsia="en-GB"/>
              </w:rPr>
            </w:pPr>
            <w:r w:rsidRPr="00B6751D">
              <w:rPr>
                <w:rFonts w:ascii="Calibri" w:eastAsia="Times New Roman" w:hAnsi="Calibri" w:cs="Calibri"/>
                <w:color w:val="000000"/>
                <w:lang w:eastAsia="en-GB"/>
              </w:rPr>
              <w:t>7</w:t>
            </w:r>
          </w:p>
        </w:tc>
        <w:tc>
          <w:tcPr>
            <w:tcW w:w="2437" w:type="dxa"/>
            <w:tcBorders>
              <w:top w:val="single" w:sz="4" w:space="0" w:color="auto"/>
              <w:left w:val="nil"/>
              <w:bottom w:val="single" w:sz="4" w:space="0" w:color="auto"/>
              <w:right w:val="single" w:sz="4" w:space="0" w:color="auto"/>
            </w:tcBorders>
          </w:tcPr>
          <w:p w14:paraId="01A82D23"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c>
          <w:tcPr>
            <w:tcW w:w="2329" w:type="dxa"/>
            <w:tcBorders>
              <w:top w:val="nil"/>
              <w:left w:val="single" w:sz="4" w:space="0" w:color="auto"/>
              <w:bottom w:val="single" w:sz="4" w:space="0" w:color="auto"/>
              <w:right w:val="single" w:sz="4" w:space="0" w:color="auto"/>
            </w:tcBorders>
          </w:tcPr>
          <w:p w14:paraId="2BD84652"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r>
      <w:tr w:rsidR="00B24B98" w:rsidRPr="00B6751D" w14:paraId="0864C56F" w14:textId="77777777" w:rsidTr="00A94054">
        <w:trPr>
          <w:trHeight w:val="290"/>
        </w:trPr>
        <w:tc>
          <w:tcPr>
            <w:tcW w:w="3397" w:type="dxa"/>
            <w:tcBorders>
              <w:top w:val="nil"/>
              <w:left w:val="single" w:sz="4" w:space="0" w:color="auto"/>
              <w:bottom w:val="single" w:sz="4" w:space="0" w:color="auto"/>
              <w:right w:val="single" w:sz="4" w:space="0" w:color="auto"/>
            </w:tcBorders>
            <w:shd w:val="clear" w:color="auto" w:fill="auto"/>
            <w:vAlign w:val="bottom"/>
            <w:hideMark/>
          </w:tcPr>
          <w:p w14:paraId="00D8EBF6" w14:textId="77777777" w:rsidR="00B24B98" w:rsidRPr="00B6751D" w:rsidRDefault="00B24B98" w:rsidP="00A94054">
            <w:pPr>
              <w:spacing w:after="0" w:line="240" w:lineRule="auto"/>
              <w:rPr>
                <w:rFonts w:ascii="Calibri" w:eastAsia="Times New Roman" w:hAnsi="Calibri" w:cs="Calibri"/>
                <w:color w:val="000000"/>
                <w:lang w:eastAsia="en-GB"/>
              </w:rPr>
            </w:pPr>
            <w:r w:rsidRPr="00B6751D">
              <w:rPr>
                <w:rFonts w:ascii="Calibri" w:eastAsia="Times New Roman" w:hAnsi="Calibri" w:cs="Calibri"/>
                <w:color w:val="000000"/>
                <w:lang w:eastAsia="en-GB"/>
              </w:rPr>
              <w:t>tachycardia</w:t>
            </w:r>
          </w:p>
        </w:tc>
        <w:tc>
          <w:tcPr>
            <w:tcW w:w="1391" w:type="dxa"/>
            <w:tcBorders>
              <w:top w:val="nil"/>
              <w:left w:val="nil"/>
              <w:bottom w:val="single" w:sz="4" w:space="0" w:color="auto"/>
              <w:right w:val="single" w:sz="4" w:space="0" w:color="auto"/>
            </w:tcBorders>
            <w:shd w:val="clear" w:color="auto" w:fill="auto"/>
            <w:noWrap/>
            <w:vAlign w:val="bottom"/>
            <w:hideMark/>
          </w:tcPr>
          <w:p w14:paraId="1CE0DA87" w14:textId="77777777" w:rsidR="00B24B98" w:rsidRPr="00B6751D" w:rsidRDefault="00B24B98" w:rsidP="00A94054">
            <w:pPr>
              <w:spacing w:after="0" w:line="240" w:lineRule="auto"/>
              <w:jc w:val="right"/>
              <w:rPr>
                <w:rFonts w:ascii="Calibri" w:eastAsia="Times New Roman" w:hAnsi="Calibri" w:cs="Calibri"/>
                <w:color w:val="000000"/>
                <w:lang w:eastAsia="en-GB"/>
              </w:rPr>
            </w:pPr>
            <w:r w:rsidRPr="00B6751D">
              <w:rPr>
                <w:rFonts w:ascii="Calibri" w:eastAsia="Times New Roman" w:hAnsi="Calibri" w:cs="Calibri"/>
                <w:color w:val="000000"/>
                <w:lang w:eastAsia="en-GB"/>
              </w:rPr>
              <w:t>7</w:t>
            </w:r>
          </w:p>
        </w:tc>
        <w:tc>
          <w:tcPr>
            <w:tcW w:w="2437" w:type="dxa"/>
            <w:tcBorders>
              <w:top w:val="single" w:sz="4" w:space="0" w:color="auto"/>
              <w:left w:val="nil"/>
              <w:bottom w:val="single" w:sz="4" w:space="0" w:color="auto"/>
              <w:right w:val="single" w:sz="4" w:space="0" w:color="auto"/>
            </w:tcBorders>
          </w:tcPr>
          <w:p w14:paraId="792C37EF"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c>
          <w:tcPr>
            <w:tcW w:w="2329" w:type="dxa"/>
            <w:tcBorders>
              <w:top w:val="nil"/>
              <w:left w:val="single" w:sz="4" w:space="0" w:color="auto"/>
              <w:bottom w:val="single" w:sz="4" w:space="0" w:color="auto"/>
              <w:right w:val="single" w:sz="4" w:space="0" w:color="auto"/>
            </w:tcBorders>
          </w:tcPr>
          <w:p w14:paraId="306AB314"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r>
      <w:tr w:rsidR="00B24B98" w:rsidRPr="00B6751D" w14:paraId="3678374F" w14:textId="77777777" w:rsidTr="00A94054">
        <w:trPr>
          <w:trHeight w:val="290"/>
        </w:trPr>
        <w:tc>
          <w:tcPr>
            <w:tcW w:w="3397" w:type="dxa"/>
            <w:tcBorders>
              <w:top w:val="nil"/>
              <w:left w:val="single" w:sz="4" w:space="0" w:color="auto"/>
              <w:bottom w:val="single" w:sz="4" w:space="0" w:color="auto"/>
              <w:right w:val="single" w:sz="4" w:space="0" w:color="auto"/>
            </w:tcBorders>
            <w:shd w:val="clear" w:color="auto" w:fill="auto"/>
            <w:vAlign w:val="bottom"/>
            <w:hideMark/>
          </w:tcPr>
          <w:p w14:paraId="1CF6EB86" w14:textId="77777777" w:rsidR="00B24B98" w:rsidRPr="00B6751D" w:rsidRDefault="00B24B98" w:rsidP="00A94054">
            <w:pPr>
              <w:spacing w:after="0" w:line="240" w:lineRule="auto"/>
              <w:rPr>
                <w:rFonts w:ascii="Calibri" w:eastAsia="Times New Roman" w:hAnsi="Calibri" w:cs="Calibri"/>
                <w:color w:val="000000"/>
                <w:lang w:eastAsia="en-GB"/>
              </w:rPr>
            </w:pPr>
            <w:r w:rsidRPr="00B6751D">
              <w:rPr>
                <w:rFonts w:ascii="Calibri" w:eastAsia="Times New Roman" w:hAnsi="Calibri" w:cs="Calibri"/>
                <w:color w:val="000000"/>
                <w:lang w:eastAsia="en-GB"/>
              </w:rPr>
              <w:t>Digitalis intoxication</w:t>
            </w:r>
          </w:p>
        </w:tc>
        <w:tc>
          <w:tcPr>
            <w:tcW w:w="1391" w:type="dxa"/>
            <w:tcBorders>
              <w:top w:val="nil"/>
              <w:left w:val="nil"/>
              <w:bottom w:val="single" w:sz="4" w:space="0" w:color="auto"/>
              <w:right w:val="single" w:sz="4" w:space="0" w:color="auto"/>
            </w:tcBorders>
            <w:shd w:val="clear" w:color="auto" w:fill="auto"/>
            <w:noWrap/>
            <w:vAlign w:val="bottom"/>
            <w:hideMark/>
          </w:tcPr>
          <w:p w14:paraId="47B62FFF" w14:textId="77777777" w:rsidR="00B24B98" w:rsidRPr="00B6751D" w:rsidRDefault="00B24B98" w:rsidP="00A94054">
            <w:pPr>
              <w:spacing w:after="0" w:line="240" w:lineRule="auto"/>
              <w:jc w:val="right"/>
              <w:rPr>
                <w:rFonts w:ascii="Calibri" w:eastAsia="Times New Roman" w:hAnsi="Calibri" w:cs="Calibri"/>
                <w:color w:val="000000"/>
                <w:lang w:eastAsia="en-GB"/>
              </w:rPr>
            </w:pPr>
            <w:r w:rsidRPr="00B6751D">
              <w:rPr>
                <w:rFonts w:ascii="Calibri" w:eastAsia="Times New Roman" w:hAnsi="Calibri" w:cs="Calibri"/>
                <w:color w:val="000000"/>
                <w:lang w:eastAsia="en-GB"/>
              </w:rPr>
              <w:t>6</w:t>
            </w:r>
          </w:p>
        </w:tc>
        <w:tc>
          <w:tcPr>
            <w:tcW w:w="2437" w:type="dxa"/>
            <w:tcBorders>
              <w:top w:val="single" w:sz="4" w:space="0" w:color="auto"/>
              <w:left w:val="nil"/>
              <w:bottom w:val="single" w:sz="4" w:space="0" w:color="auto"/>
              <w:right w:val="single" w:sz="4" w:space="0" w:color="auto"/>
            </w:tcBorders>
          </w:tcPr>
          <w:p w14:paraId="335C2BF2"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c>
          <w:tcPr>
            <w:tcW w:w="2329" w:type="dxa"/>
            <w:tcBorders>
              <w:top w:val="nil"/>
              <w:left w:val="single" w:sz="4" w:space="0" w:color="auto"/>
              <w:bottom w:val="single" w:sz="4" w:space="0" w:color="auto"/>
              <w:right w:val="single" w:sz="4" w:space="0" w:color="auto"/>
            </w:tcBorders>
          </w:tcPr>
          <w:p w14:paraId="720EA260"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r>
      <w:tr w:rsidR="00B24B98" w:rsidRPr="00B6751D" w14:paraId="759EBF76" w14:textId="77777777" w:rsidTr="00A94054">
        <w:trPr>
          <w:trHeight w:val="290"/>
        </w:trPr>
        <w:tc>
          <w:tcPr>
            <w:tcW w:w="3397" w:type="dxa"/>
            <w:tcBorders>
              <w:top w:val="nil"/>
              <w:left w:val="single" w:sz="4" w:space="0" w:color="auto"/>
              <w:bottom w:val="single" w:sz="4" w:space="0" w:color="auto"/>
              <w:right w:val="single" w:sz="4" w:space="0" w:color="auto"/>
            </w:tcBorders>
            <w:shd w:val="clear" w:color="auto" w:fill="auto"/>
            <w:noWrap/>
            <w:vAlign w:val="bottom"/>
            <w:hideMark/>
          </w:tcPr>
          <w:p w14:paraId="3CEEA40C" w14:textId="77777777" w:rsidR="00B24B98" w:rsidRPr="00B6751D" w:rsidRDefault="00B24B98" w:rsidP="00A94054">
            <w:pPr>
              <w:spacing w:after="0" w:line="240" w:lineRule="auto"/>
              <w:rPr>
                <w:rFonts w:ascii="Calibri" w:eastAsia="Times New Roman" w:hAnsi="Calibri" w:cs="Calibri"/>
                <w:color w:val="000000"/>
                <w:lang w:eastAsia="en-GB"/>
              </w:rPr>
            </w:pPr>
            <w:r w:rsidRPr="00B6751D">
              <w:rPr>
                <w:rFonts w:ascii="Calibri" w:eastAsia="Times New Roman" w:hAnsi="Calibri" w:cs="Calibri"/>
                <w:color w:val="000000"/>
                <w:lang w:eastAsia="en-GB"/>
              </w:rPr>
              <w:t>Falls, sedation, cognitive decline</w:t>
            </w:r>
          </w:p>
        </w:tc>
        <w:tc>
          <w:tcPr>
            <w:tcW w:w="1391" w:type="dxa"/>
            <w:tcBorders>
              <w:top w:val="nil"/>
              <w:left w:val="nil"/>
              <w:bottom w:val="single" w:sz="4" w:space="0" w:color="auto"/>
              <w:right w:val="single" w:sz="4" w:space="0" w:color="auto"/>
            </w:tcBorders>
            <w:shd w:val="clear" w:color="auto" w:fill="auto"/>
            <w:noWrap/>
            <w:vAlign w:val="bottom"/>
            <w:hideMark/>
          </w:tcPr>
          <w:p w14:paraId="2A182BBD" w14:textId="77777777" w:rsidR="00B24B98" w:rsidRPr="00B6751D" w:rsidRDefault="00B24B98" w:rsidP="00A94054">
            <w:pPr>
              <w:spacing w:after="0" w:line="240" w:lineRule="auto"/>
              <w:jc w:val="right"/>
              <w:rPr>
                <w:rFonts w:ascii="Calibri" w:eastAsia="Times New Roman" w:hAnsi="Calibri" w:cs="Calibri"/>
                <w:color w:val="000000"/>
                <w:lang w:eastAsia="en-GB"/>
              </w:rPr>
            </w:pPr>
            <w:r w:rsidRPr="00B6751D">
              <w:rPr>
                <w:rFonts w:ascii="Calibri" w:eastAsia="Times New Roman" w:hAnsi="Calibri" w:cs="Calibri"/>
                <w:color w:val="000000"/>
                <w:lang w:eastAsia="en-GB"/>
              </w:rPr>
              <w:t>6</w:t>
            </w:r>
          </w:p>
        </w:tc>
        <w:tc>
          <w:tcPr>
            <w:tcW w:w="2437" w:type="dxa"/>
            <w:tcBorders>
              <w:top w:val="single" w:sz="4" w:space="0" w:color="auto"/>
              <w:left w:val="nil"/>
              <w:bottom w:val="single" w:sz="4" w:space="0" w:color="auto"/>
              <w:right w:val="single" w:sz="4" w:space="0" w:color="auto"/>
            </w:tcBorders>
          </w:tcPr>
          <w:p w14:paraId="7C52C128"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c>
          <w:tcPr>
            <w:tcW w:w="2329" w:type="dxa"/>
            <w:tcBorders>
              <w:top w:val="nil"/>
              <w:left w:val="single" w:sz="4" w:space="0" w:color="auto"/>
              <w:bottom w:val="single" w:sz="4" w:space="0" w:color="auto"/>
              <w:right w:val="single" w:sz="4" w:space="0" w:color="auto"/>
            </w:tcBorders>
          </w:tcPr>
          <w:p w14:paraId="0DC91106"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r>
      <w:tr w:rsidR="00B24B98" w:rsidRPr="00B6751D" w14:paraId="69ACC7EC" w14:textId="77777777" w:rsidTr="00A94054">
        <w:trPr>
          <w:trHeight w:val="290"/>
        </w:trPr>
        <w:tc>
          <w:tcPr>
            <w:tcW w:w="3397" w:type="dxa"/>
            <w:tcBorders>
              <w:top w:val="nil"/>
              <w:left w:val="single" w:sz="4" w:space="0" w:color="auto"/>
              <w:bottom w:val="single" w:sz="4" w:space="0" w:color="auto"/>
              <w:right w:val="single" w:sz="4" w:space="0" w:color="auto"/>
            </w:tcBorders>
            <w:shd w:val="clear" w:color="auto" w:fill="auto"/>
            <w:noWrap/>
            <w:vAlign w:val="bottom"/>
            <w:hideMark/>
          </w:tcPr>
          <w:p w14:paraId="6623F91E" w14:textId="77777777" w:rsidR="00B24B98" w:rsidRPr="00B6751D" w:rsidRDefault="00B24B98" w:rsidP="00A94054">
            <w:pPr>
              <w:spacing w:after="0" w:line="240" w:lineRule="auto"/>
              <w:rPr>
                <w:rFonts w:ascii="Calibri" w:eastAsia="Times New Roman" w:hAnsi="Calibri" w:cs="Calibri"/>
                <w:color w:val="000000"/>
                <w:lang w:eastAsia="en-GB"/>
              </w:rPr>
            </w:pPr>
            <w:r w:rsidRPr="00B6751D">
              <w:rPr>
                <w:rFonts w:ascii="Calibri" w:eastAsia="Times New Roman" w:hAnsi="Calibri" w:cs="Calibri"/>
                <w:color w:val="000000"/>
                <w:lang w:eastAsia="en-GB"/>
              </w:rPr>
              <w:t>Haemorrhage / gastritis</w:t>
            </w:r>
          </w:p>
        </w:tc>
        <w:tc>
          <w:tcPr>
            <w:tcW w:w="1391" w:type="dxa"/>
            <w:tcBorders>
              <w:top w:val="nil"/>
              <w:left w:val="nil"/>
              <w:bottom w:val="single" w:sz="4" w:space="0" w:color="auto"/>
              <w:right w:val="single" w:sz="4" w:space="0" w:color="auto"/>
            </w:tcBorders>
            <w:shd w:val="clear" w:color="auto" w:fill="auto"/>
            <w:noWrap/>
            <w:vAlign w:val="bottom"/>
            <w:hideMark/>
          </w:tcPr>
          <w:p w14:paraId="0D18D96E" w14:textId="77777777" w:rsidR="00B24B98" w:rsidRPr="00B6751D" w:rsidRDefault="00B24B98" w:rsidP="00A94054">
            <w:pPr>
              <w:spacing w:after="0" w:line="240" w:lineRule="auto"/>
              <w:jc w:val="right"/>
              <w:rPr>
                <w:rFonts w:ascii="Calibri" w:eastAsia="Times New Roman" w:hAnsi="Calibri" w:cs="Calibri"/>
                <w:color w:val="000000"/>
                <w:lang w:eastAsia="en-GB"/>
              </w:rPr>
            </w:pPr>
            <w:r w:rsidRPr="00B6751D">
              <w:rPr>
                <w:rFonts w:ascii="Calibri" w:eastAsia="Times New Roman" w:hAnsi="Calibri" w:cs="Calibri"/>
                <w:color w:val="000000"/>
                <w:lang w:eastAsia="en-GB"/>
              </w:rPr>
              <w:t>6</w:t>
            </w:r>
          </w:p>
        </w:tc>
        <w:tc>
          <w:tcPr>
            <w:tcW w:w="2437" w:type="dxa"/>
            <w:tcBorders>
              <w:top w:val="single" w:sz="4" w:space="0" w:color="auto"/>
              <w:left w:val="nil"/>
              <w:bottom w:val="single" w:sz="4" w:space="0" w:color="auto"/>
              <w:right w:val="single" w:sz="4" w:space="0" w:color="auto"/>
            </w:tcBorders>
          </w:tcPr>
          <w:p w14:paraId="0D5A0929"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c>
          <w:tcPr>
            <w:tcW w:w="2329" w:type="dxa"/>
            <w:tcBorders>
              <w:top w:val="nil"/>
              <w:left w:val="single" w:sz="4" w:space="0" w:color="auto"/>
              <w:bottom w:val="single" w:sz="4" w:space="0" w:color="auto"/>
              <w:right w:val="single" w:sz="4" w:space="0" w:color="auto"/>
            </w:tcBorders>
          </w:tcPr>
          <w:p w14:paraId="521E2636"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r>
      <w:tr w:rsidR="00B24B98" w:rsidRPr="00B6751D" w14:paraId="5A8CA8BF" w14:textId="77777777" w:rsidTr="00A94054">
        <w:trPr>
          <w:trHeight w:val="290"/>
        </w:trPr>
        <w:tc>
          <w:tcPr>
            <w:tcW w:w="3397" w:type="dxa"/>
            <w:tcBorders>
              <w:top w:val="nil"/>
              <w:left w:val="single" w:sz="4" w:space="0" w:color="auto"/>
              <w:bottom w:val="single" w:sz="4" w:space="0" w:color="auto"/>
              <w:right w:val="single" w:sz="4" w:space="0" w:color="auto"/>
            </w:tcBorders>
            <w:shd w:val="clear" w:color="auto" w:fill="auto"/>
            <w:vAlign w:val="bottom"/>
            <w:hideMark/>
          </w:tcPr>
          <w:p w14:paraId="247E8E90" w14:textId="77777777" w:rsidR="00B24B98" w:rsidRPr="00B6751D" w:rsidRDefault="00B24B98" w:rsidP="00A94054">
            <w:pPr>
              <w:spacing w:after="0" w:line="240" w:lineRule="auto"/>
              <w:rPr>
                <w:rFonts w:ascii="Calibri" w:eastAsia="Times New Roman" w:hAnsi="Calibri" w:cs="Calibri"/>
                <w:color w:val="000000"/>
                <w:lang w:eastAsia="en-GB"/>
              </w:rPr>
            </w:pPr>
            <w:r w:rsidRPr="00B6751D">
              <w:rPr>
                <w:rFonts w:ascii="Calibri" w:eastAsia="Times New Roman" w:hAnsi="Calibri" w:cs="Calibri"/>
                <w:color w:val="000000"/>
                <w:lang w:eastAsia="en-GB"/>
              </w:rPr>
              <w:t>Hallucination</w:t>
            </w:r>
          </w:p>
        </w:tc>
        <w:tc>
          <w:tcPr>
            <w:tcW w:w="1391" w:type="dxa"/>
            <w:tcBorders>
              <w:top w:val="nil"/>
              <w:left w:val="nil"/>
              <w:bottom w:val="single" w:sz="4" w:space="0" w:color="auto"/>
              <w:right w:val="single" w:sz="4" w:space="0" w:color="auto"/>
            </w:tcBorders>
            <w:shd w:val="clear" w:color="auto" w:fill="auto"/>
            <w:noWrap/>
            <w:vAlign w:val="bottom"/>
            <w:hideMark/>
          </w:tcPr>
          <w:p w14:paraId="262FFE62" w14:textId="77777777" w:rsidR="00B24B98" w:rsidRPr="00B6751D" w:rsidRDefault="00B24B98" w:rsidP="00A94054">
            <w:pPr>
              <w:spacing w:after="0" w:line="240" w:lineRule="auto"/>
              <w:jc w:val="right"/>
              <w:rPr>
                <w:rFonts w:ascii="Calibri" w:eastAsia="Times New Roman" w:hAnsi="Calibri" w:cs="Calibri"/>
                <w:color w:val="000000"/>
                <w:lang w:eastAsia="en-GB"/>
              </w:rPr>
            </w:pPr>
            <w:r w:rsidRPr="00B6751D">
              <w:rPr>
                <w:rFonts w:ascii="Calibri" w:eastAsia="Times New Roman" w:hAnsi="Calibri" w:cs="Calibri"/>
                <w:color w:val="000000"/>
                <w:lang w:eastAsia="en-GB"/>
              </w:rPr>
              <w:t>6</w:t>
            </w:r>
          </w:p>
        </w:tc>
        <w:tc>
          <w:tcPr>
            <w:tcW w:w="2437" w:type="dxa"/>
            <w:tcBorders>
              <w:top w:val="single" w:sz="4" w:space="0" w:color="auto"/>
              <w:left w:val="nil"/>
              <w:bottom w:val="single" w:sz="4" w:space="0" w:color="auto"/>
              <w:right w:val="single" w:sz="4" w:space="0" w:color="auto"/>
            </w:tcBorders>
          </w:tcPr>
          <w:p w14:paraId="1A3EC7CD"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c>
          <w:tcPr>
            <w:tcW w:w="2329" w:type="dxa"/>
            <w:tcBorders>
              <w:top w:val="nil"/>
              <w:left w:val="single" w:sz="4" w:space="0" w:color="auto"/>
              <w:bottom w:val="single" w:sz="4" w:space="0" w:color="auto"/>
              <w:right w:val="single" w:sz="4" w:space="0" w:color="auto"/>
            </w:tcBorders>
          </w:tcPr>
          <w:p w14:paraId="7583C0E9"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r>
      <w:tr w:rsidR="00B24B98" w:rsidRPr="00B6751D" w14:paraId="52FFE1C2" w14:textId="77777777" w:rsidTr="00A94054">
        <w:trPr>
          <w:trHeight w:val="290"/>
        </w:trPr>
        <w:tc>
          <w:tcPr>
            <w:tcW w:w="3397" w:type="dxa"/>
            <w:tcBorders>
              <w:top w:val="nil"/>
              <w:left w:val="single" w:sz="4" w:space="0" w:color="auto"/>
              <w:bottom w:val="single" w:sz="4" w:space="0" w:color="auto"/>
              <w:right w:val="single" w:sz="4" w:space="0" w:color="auto"/>
            </w:tcBorders>
            <w:shd w:val="clear" w:color="auto" w:fill="auto"/>
            <w:vAlign w:val="bottom"/>
            <w:hideMark/>
          </w:tcPr>
          <w:p w14:paraId="61329C33" w14:textId="77777777" w:rsidR="00B24B98" w:rsidRPr="00B6751D" w:rsidRDefault="00B24B98" w:rsidP="00A94054">
            <w:pPr>
              <w:spacing w:after="0" w:line="240" w:lineRule="auto"/>
              <w:rPr>
                <w:rFonts w:ascii="Calibri" w:eastAsia="Times New Roman" w:hAnsi="Calibri" w:cs="Calibri"/>
                <w:color w:val="000000"/>
                <w:lang w:eastAsia="en-GB"/>
              </w:rPr>
            </w:pPr>
            <w:r w:rsidRPr="00B6751D">
              <w:rPr>
                <w:rFonts w:ascii="Calibri" w:eastAsia="Times New Roman" w:hAnsi="Calibri" w:cs="Calibri"/>
                <w:color w:val="000000"/>
                <w:lang w:eastAsia="en-GB"/>
              </w:rPr>
              <w:t>dizziness</w:t>
            </w:r>
          </w:p>
        </w:tc>
        <w:tc>
          <w:tcPr>
            <w:tcW w:w="1391" w:type="dxa"/>
            <w:tcBorders>
              <w:top w:val="nil"/>
              <w:left w:val="nil"/>
              <w:bottom w:val="single" w:sz="4" w:space="0" w:color="auto"/>
              <w:right w:val="single" w:sz="4" w:space="0" w:color="auto"/>
            </w:tcBorders>
            <w:shd w:val="clear" w:color="auto" w:fill="auto"/>
            <w:noWrap/>
            <w:vAlign w:val="bottom"/>
            <w:hideMark/>
          </w:tcPr>
          <w:p w14:paraId="6D9F312F" w14:textId="77777777" w:rsidR="00B24B98" w:rsidRPr="00B6751D" w:rsidRDefault="00B24B98" w:rsidP="00A94054">
            <w:pPr>
              <w:spacing w:after="0" w:line="240" w:lineRule="auto"/>
              <w:jc w:val="right"/>
              <w:rPr>
                <w:rFonts w:ascii="Calibri" w:eastAsia="Times New Roman" w:hAnsi="Calibri" w:cs="Calibri"/>
                <w:color w:val="000000"/>
                <w:lang w:eastAsia="en-GB"/>
              </w:rPr>
            </w:pPr>
            <w:r w:rsidRPr="00B6751D">
              <w:rPr>
                <w:rFonts w:ascii="Calibri" w:eastAsia="Times New Roman" w:hAnsi="Calibri" w:cs="Calibri"/>
                <w:color w:val="000000"/>
                <w:lang w:eastAsia="en-GB"/>
              </w:rPr>
              <w:t>5</w:t>
            </w:r>
          </w:p>
        </w:tc>
        <w:tc>
          <w:tcPr>
            <w:tcW w:w="2437" w:type="dxa"/>
            <w:tcBorders>
              <w:top w:val="single" w:sz="4" w:space="0" w:color="auto"/>
              <w:left w:val="nil"/>
              <w:bottom w:val="single" w:sz="4" w:space="0" w:color="auto"/>
              <w:right w:val="single" w:sz="4" w:space="0" w:color="auto"/>
            </w:tcBorders>
          </w:tcPr>
          <w:p w14:paraId="0F2EBE0E"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c>
          <w:tcPr>
            <w:tcW w:w="2329" w:type="dxa"/>
            <w:tcBorders>
              <w:top w:val="nil"/>
              <w:left w:val="single" w:sz="4" w:space="0" w:color="auto"/>
              <w:bottom w:val="single" w:sz="4" w:space="0" w:color="auto"/>
              <w:right w:val="single" w:sz="4" w:space="0" w:color="auto"/>
            </w:tcBorders>
          </w:tcPr>
          <w:p w14:paraId="0F3DDACF"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r>
      <w:tr w:rsidR="00B24B98" w:rsidRPr="00B6751D" w14:paraId="6BAC294C" w14:textId="77777777" w:rsidTr="00A94054">
        <w:trPr>
          <w:trHeight w:val="290"/>
        </w:trPr>
        <w:tc>
          <w:tcPr>
            <w:tcW w:w="3397" w:type="dxa"/>
            <w:tcBorders>
              <w:top w:val="nil"/>
              <w:left w:val="single" w:sz="4" w:space="0" w:color="auto"/>
              <w:bottom w:val="single" w:sz="4" w:space="0" w:color="auto"/>
              <w:right w:val="single" w:sz="4" w:space="0" w:color="auto"/>
            </w:tcBorders>
            <w:shd w:val="clear" w:color="auto" w:fill="auto"/>
            <w:noWrap/>
            <w:vAlign w:val="center"/>
            <w:hideMark/>
          </w:tcPr>
          <w:p w14:paraId="3D84AFE9" w14:textId="77777777" w:rsidR="00B24B98" w:rsidRPr="00B6751D" w:rsidRDefault="00B24B98" w:rsidP="00A94054">
            <w:pPr>
              <w:spacing w:after="0" w:line="240" w:lineRule="auto"/>
              <w:rPr>
                <w:rFonts w:ascii="Calibri" w:eastAsia="Times New Roman" w:hAnsi="Calibri" w:cs="Calibri"/>
                <w:color w:val="000000"/>
                <w:lang w:eastAsia="en-GB"/>
              </w:rPr>
            </w:pPr>
            <w:r w:rsidRPr="00B6751D">
              <w:rPr>
                <w:rFonts w:ascii="Calibri" w:eastAsia="Times New Roman" w:hAnsi="Calibri" w:cs="Calibri"/>
                <w:color w:val="000000"/>
                <w:lang w:eastAsia="en-GB"/>
              </w:rPr>
              <w:t>Clostridium difﬁcile diarrhoea</w:t>
            </w:r>
          </w:p>
        </w:tc>
        <w:tc>
          <w:tcPr>
            <w:tcW w:w="1391" w:type="dxa"/>
            <w:tcBorders>
              <w:top w:val="nil"/>
              <w:left w:val="nil"/>
              <w:bottom w:val="single" w:sz="4" w:space="0" w:color="auto"/>
              <w:right w:val="single" w:sz="4" w:space="0" w:color="auto"/>
            </w:tcBorders>
            <w:shd w:val="clear" w:color="auto" w:fill="auto"/>
            <w:noWrap/>
            <w:vAlign w:val="bottom"/>
            <w:hideMark/>
          </w:tcPr>
          <w:p w14:paraId="265D4EB8" w14:textId="77777777" w:rsidR="00B24B98" w:rsidRPr="00B6751D" w:rsidRDefault="00B24B98" w:rsidP="00A94054">
            <w:pPr>
              <w:spacing w:after="0" w:line="240" w:lineRule="auto"/>
              <w:jc w:val="right"/>
              <w:rPr>
                <w:rFonts w:ascii="Calibri" w:eastAsia="Times New Roman" w:hAnsi="Calibri" w:cs="Calibri"/>
                <w:color w:val="000000"/>
                <w:lang w:eastAsia="en-GB"/>
              </w:rPr>
            </w:pPr>
            <w:r w:rsidRPr="00B6751D">
              <w:rPr>
                <w:rFonts w:ascii="Calibri" w:eastAsia="Times New Roman" w:hAnsi="Calibri" w:cs="Calibri"/>
                <w:color w:val="000000"/>
                <w:lang w:eastAsia="en-GB"/>
              </w:rPr>
              <w:t>5</w:t>
            </w:r>
          </w:p>
        </w:tc>
        <w:tc>
          <w:tcPr>
            <w:tcW w:w="2437" w:type="dxa"/>
            <w:tcBorders>
              <w:top w:val="single" w:sz="4" w:space="0" w:color="auto"/>
              <w:left w:val="nil"/>
              <w:bottom w:val="single" w:sz="4" w:space="0" w:color="auto"/>
              <w:right w:val="single" w:sz="4" w:space="0" w:color="auto"/>
            </w:tcBorders>
          </w:tcPr>
          <w:p w14:paraId="64A1B0D9"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c>
          <w:tcPr>
            <w:tcW w:w="2329" w:type="dxa"/>
            <w:tcBorders>
              <w:top w:val="nil"/>
              <w:left w:val="single" w:sz="4" w:space="0" w:color="auto"/>
              <w:bottom w:val="single" w:sz="4" w:space="0" w:color="auto"/>
              <w:right w:val="single" w:sz="4" w:space="0" w:color="auto"/>
            </w:tcBorders>
          </w:tcPr>
          <w:p w14:paraId="2A0A6407"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r>
      <w:tr w:rsidR="00B24B98" w:rsidRPr="00B6751D" w14:paraId="22CF0378" w14:textId="77777777" w:rsidTr="00A94054">
        <w:trPr>
          <w:trHeight w:val="290"/>
        </w:trPr>
        <w:tc>
          <w:tcPr>
            <w:tcW w:w="3397" w:type="dxa"/>
            <w:tcBorders>
              <w:top w:val="nil"/>
              <w:left w:val="single" w:sz="4" w:space="0" w:color="auto"/>
              <w:bottom w:val="single" w:sz="4" w:space="0" w:color="auto"/>
              <w:right w:val="single" w:sz="4" w:space="0" w:color="auto"/>
            </w:tcBorders>
            <w:shd w:val="clear" w:color="auto" w:fill="auto"/>
            <w:noWrap/>
            <w:vAlign w:val="bottom"/>
            <w:hideMark/>
          </w:tcPr>
          <w:p w14:paraId="46B930C2" w14:textId="77777777" w:rsidR="00B24B98" w:rsidRPr="00B6751D" w:rsidRDefault="00B24B98" w:rsidP="00A94054">
            <w:pPr>
              <w:spacing w:after="0" w:line="240" w:lineRule="auto"/>
              <w:rPr>
                <w:rFonts w:ascii="Calibri" w:eastAsia="Times New Roman" w:hAnsi="Calibri" w:cs="Calibri"/>
                <w:color w:val="000000"/>
                <w:lang w:eastAsia="en-GB"/>
              </w:rPr>
            </w:pPr>
            <w:r w:rsidRPr="00B6751D">
              <w:rPr>
                <w:rFonts w:ascii="Calibri" w:eastAsia="Times New Roman" w:hAnsi="Calibri" w:cs="Calibri"/>
                <w:color w:val="000000"/>
                <w:lang w:eastAsia="en-GB"/>
              </w:rPr>
              <w:t>Clostridium difficile diarrhea, vancomycin-resistant enterococci, gentamicin-induced acute kidney injury</w:t>
            </w:r>
          </w:p>
        </w:tc>
        <w:tc>
          <w:tcPr>
            <w:tcW w:w="1391" w:type="dxa"/>
            <w:tcBorders>
              <w:top w:val="nil"/>
              <w:left w:val="nil"/>
              <w:bottom w:val="single" w:sz="4" w:space="0" w:color="auto"/>
              <w:right w:val="single" w:sz="4" w:space="0" w:color="auto"/>
            </w:tcBorders>
            <w:shd w:val="clear" w:color="auto" w:fill="auto"/>
            <w:noWrap/>
            <w:vAlign w:val="bottom"/>
            <w:hideMark/>
          </w:tcPr>
          <w:p w14:paraId="49906EE6" w14:textId="77777777" w:rsidR="00B24B98" w:rsidRPr="00B6751D" w:rsidRDefault="00B24B98" w:rsidP="00A94054">
            <w:pPr>
              <w:spacing w:after="0" w:line="240" w:lineRule="auto"/>
              <w:jc w:val="right"/>
              <w:rPr>
                <w:rFonts w:ascii="Calibri" w:eastAsia="Times New Roman" w:hAnsi="Calibri" w:cs="Calibri"/>
                <w:color w:val="000000"/>
                <w:lang w:eastAsia="en-GB"/>
              </w:rPr>
            </w:pPr>
            <w:r w:rsidRPr="00B6751D">
              <w:rPr>
                <w:rFonts w:ascii="Calibri" w:eastAsia="Times New Roman" w:hAnsi="Calibri" w:cs="Calibri"/>
                <w:color w:val="000000"/>
                <w:lang w:eastAsia="en-GB"/>
              </w:rPr>
              <w:t>4</w:t>
            </w:r>
          </w:p>
        </w:tc>
        <w:tc>
          <w:tcPr>
            <w:tcW w:w="2437" w:type="dxa"/>
            <w:tcBorders>
              <w:top w:val="single" w:sz="4" w:space="0" w:color="auto"/>
              <w:left w:val="nil"/>
              <w:bottom w:val="single" w:sz="4" w:space="0" w:color="auto"/>
              <w:right w:val="single" w:sz="4" w:space="0" w:color="auto"/>
            </w:tcBorders>
          </w:tcPr>
          <w:p w14:paraId="44FB4106"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c>
          <w:tcPr>
            <w:tcW w:w="2329" w:type="dxa"/>
            <w:tcBorders>
              <w:top w:val="nil"/>
              <w:left w:val="single" w:sz="4" w:space="0" w:color="auto"/>
              <w:bottom w:val="single" w:sz="4" w:space="0" w:color="auto"/>
              <w:right w:val="single" w:sz="4" w:space="0" w:color="auto"/>
            </w:tcBorders>
          </w:tcPr>
          <w:p w14:paraId="75FA6A5A"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r>
      <w:tr w:rsidR="00B24B98" w:rsidRPr="00B6751D" w14:paraId="5D707CE1" w14:textId="77777777" w:rsidTr="00A94054">
        <w:trPr>
          <w:trHeight w:val="290"/>
        </w:trPr>
        <w:tc>
          <w:tcPr>
            <w:tcW w:w="3397" w:type="dxa"/>
            <w:tcBorders>
              <w:top w:val="nil"/>
              <w:left w:val="single" w:sz="4" w:space="0" w:color="auto"/>
              <w:bottom w:val="single" w:sz="4" w:space="0" w:color="auto"/>
              <w:right w:val="single" w:sz="4" w:space="0" w:color="auto"/>
            </w:tcBorders>
            <w:shd w:val="clear" w:color="auto" w:fill="auto"/>
            <w:vAlign w:val="bottom"/>
            <w:hideMark/>
          </w:tcPr>
          <w:p w14:paraId="7AC4E756" w14:textId="77777777" w:rsidR="00B24B98" w:rsidRPr="00B6751D" w:rsidRDefault="00B24B98" w:rsidP="00A94054">
            <w:pPr>
              <w:spacing w:after="0" w:line="240" w:lineRule="auto"/>
              <w:rPr>
                <w:rFonts w:ascii="Calibri" w:eastAsia="Times New Roman" w:hAnsi="Calibri" w:cs="Calibri"/>
                <w:color w:val="000000"/>
                <w:lang w:eastAsia="en-GB"/>
              </w:rPr>
            </w:pPr>
            <w:r w:rsidRPr="00B6751D">
              <w:rPr>
                <w:rFonts w:ascii="Calibri" w:eastAsia="Times New Roman" w:hAnsi="Calibri" w:cs="Calibri"/>
                <w:color w:val="000000"/>
                <w:lang w:eastAsia="en-GB"/>
              </w:rPr>
              <w:t>cough</w:t>
            </w:r>
          </w:p>
        </w:tc>
        <w:tc>
          <w:tcPr>
            <w:tcW w:w="1391" w:type="dxa"/>
            <w:tcBorders>
              <w:top w:val="nil"/>
              <w:left w:val="nil"/>
              <w:bottom w:val="single" w:sz="4" w:space="0" w:color="auto"/>
              <w:right w:val="single" w:sz="4" w:space="0" w:color="auto"/>
            </w:tcBorders>
            <w:shd w:val="clear" w:color="auto" w:fill="auto"/>
            <w:noWrap/>
            <w:vAlign w:val="bottom"/>
            <w:hideMark/>
          </w:tcPr>
          <w:p w14:paraId="6EEBB8CA" w14:textId="77777777" w:rsidR="00B24B98" w:rsidRPr="00B6751D" w:rsidRDefault="00B24B98" w:rsidP="00A94054">
            <w:pPr>
              <w:spacing w:after="0" w:line="240" w:lineRule="auto"/>
              <w:jc w:val="right"/>
              <w:rPr>
                <w:rFonts w:ascii="Calibri" w:eastAsia="Times New Roman" w:hAnsi="Calibri" w:cs="Calibri"/>
                <w:color w:val="000000"/>
                <w:lang w:eastAsia="en-GB"/>
              </w:rPr>
            </w:pPr>
            <w:r w:rsidRPr="00B6751D">
              <w:rPr>
                <w:rFonts w:ascii="Calibri" w:eastAsia="Times New Roman" w:hAnsi="Calibri" w:cs="Calibri"/>
                <w:color w:val="000000"/>
                <w:lang w:eastAsia="en-GB"/>
              </w:rPr>
              <w:t>4</w:t>
            </w:r>
          </w:p>
        </w:tc>
        <w:tc>
          <w:tcPr>
            <w:tcW w:w="2437" w:type="dxa"/>
            <w:tcBorders>
              <w:top w:val="single" w:sz="4" w:space="0" w:color="auto"/>
              <w:left w:val="nil"/>
              <w:bottom w:val="single" w:sz="4" w:space="0" w:color="auto"/>
              <w:right w:val="single" w:sz="4" w:space="0" w:color="auto"/>
            </w:tcBorders>
          </w:tcPr>
          <w:p w14:paraId="641D029C"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c>
          <w:tcPr>
            <w:tcW w:w="2329" w:type="dxa"/>
            <w:tcBorders>
              <w:top w:val="nil"/>
              <w:left w:val="single" w:sz="4" w:space="0" w:color="auto"/>
              <w:bottom w:val="single" w:sz="4" w:space="0" w:color="auto"/>
              <w:right w:val="single" w:sz="4" w:space="0" w:color="auto"/>
            </w:tcBorders>
          </w:tcPr>
          <w:p w14:paraId="47FA03CC"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r>
      <w:tr w:rsidR="00B24B98" w:rsidRPr="00B6751D" w14:paraId="4A7E788C" w14:textId="77777777" w:rsidTr="00A94054">
        <w:trPr>
          <w:trHeight w:val="290"/>
        </w:trPr>
        <w:tc>
          <w:tcPr>
            <w:tcW w:w="3397" w:type="dxa"/>
            <w:tcBorders>
              <w:top w:val="nil"/>
              <w:left w:val="single" w:sz="4" w:space="0" w:color="auto"/>
              <w:bottom w:val="single" w:sz="4" w:space="0" w:color="auto"/>
              <w:right w:val="single" w:sz="4" w:space="0" w:color="auto"/>
            </w:tcBorders>
            <w:shd w:val="clear" w:color="auto" w:fill="auto"/>
            <w:vAlign w:val="bottom"/>
            <w:hideMark/>
          </w:tcPr>
          <w:p w14:paraId="3F73A06D" w14:textId="77777777" w:rsidR="00B24B98" w:rsidRPr="00B6751D" w:rsidRDefault="00B24B98" w:rsidP="00A94054">
            <w:pPr>
              <w:spacing w:after="0" w:line="240" w:lineRule="auto"/>
              <w:rPr>
                <w:rFonts w:ascii="Calibri" w:eastAsia="Times New Roman" w:hAnsi="Calibri" w:cs="Calibri"/>
                <w:color w:val="000000"/>
                <w:lang w:eastAsia="en-GB"/>
              </w:rPr>
            </w:pPr>
            <w:r w:rsidRPr="00B6751D">
              <w:rPr>
                <w:rFonts w:ascii="Calibri" w:eastAsia="Times New Roman" w:hAnsi="Calibri" w:cs="Calibri"/>
                <w:color w:val="000000"/>
                <w:lang w:eastAsia="en-GB"/>
              </w:rPr>
              <w:t>urine retention</w:t>
            </w:r>
          </w:p>
        </w:tc>
        <w:tc>
          <w:tcPr>
            <w:tcW w:w="1391" w:type="dxa"/>
            <w:tcBorders>
              <w:top w:val="nil"/>
              <w:left w:val="nil"/>
              <w:bottom w:val="single" w:sz="4" w:space="0" w:color="auto"/>
              <w:right w:val="single" w:sz="4" w:space="0" w:color="auto"/>
            </w:tcBorders>
            <w:shd w:val="clear" w:color="auto" w:fill="auto"/>
            <w:noWrap/>
            <w:vAlign w:val="bottom"/>
            <w:hideMark/>
          </w:tcPr>
          <w:p w14:paraId="51DE4386" w14:textId="77777777" w:rsidR="00B24B98" w:rsidRPr="00B6751D" w:rsidRDefault="00B24B98" w:rsidP="00A94054">
            <w:pPr>
              <w:spacing w:after="0" w:line="240" w:lineRule="auto"/>
              <w:jc w:val="right"/>
              <w:rPr>
                <w:rFonts w:ascii="Calibri" w:eastAsia="Times New Roman" w:hAnsi="Calibri" w:cs="Calibri"/>
                <w:color w:val="000000"/>
                <w:lang w:eastAsia="en-GB"/>
              </w:rPr>
            </w:pPr>
            <w:r w:rsidRPr="00B6751D">
              <w:rPr>
                <w:rFonts w:ascii="Calibri" w:eastAsia="Times New Roman" w:hAnsi="Calibri" w:cs="Calibri"/>
                <w:color w:val="000000"/>
                <w:lang w:eastAsia="en-GB"/>
              </w:rPr>
              <w:t>4</w:t>
            </w:r>
          </w:p>
        </w:tc>
        <w:tc>
          <w:tcPr>
            <w:tcW w:w="2437" w:type="dxa"/>
            <w:tcBorders>
              <w:top w:val="single" w:sz="4" w:space="0" w:color="auto"/>
              <w:left w:val="nil"/>
              <w:bottom w:val="single" w:sz="4" w:space="0" w:color="auto"/>
              <w:right w:val="single" w:sz="4" w:space="0" w:color="auto"/>
            </w:tcBorders>
          </w:tcPr>
          <w:p w14:paraId="56D141EC"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c>
          <w:tcPr>
            <w:tcW w:w="2329" w:type="dxa"/>
            <w:tcBorders>
              <w:top w:val="nil"/>
              <w:left w:val="single" w:sz="4" w:space="0" w:color="auto"/>
              <w:bottom w:val="single" w:sz="4" w:space="0" w:color="auto"/>
              <w:right w:val="single" w:sz="4" w:space="0" w:color="auto"/>
            </w:tcBorders>
          </w:tcPr>
          <w:p w14:paraId="34DAD732"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r>
      <w:tr w:rsidR="00B24B98" w:rsidRPr="00B6751D" w14:paraId="7864E9E5" w14:textId="77777777" w:rsidTr="00A94054">
        <w:trPr>
          <w:trHeight w:val="580"/>
        </w:trPr>
        <w:tc>
          <w:tcPr>
            <w:tcW w:w="3397" w:type="dxa"/>
            <w:tcBorders>
              <w:top w:val="nil"/>
              <w:left w:val="single" w:sz="4" w:space="0" w:color="auto"/>
              <w:bottom w:val="single" w:sz="4" w:space="0" w:color="auto"/>
              <w:right w:val="single" w:sz="4" w:space="0" w:color="auto"/>
            </w:tcBorders>
            <w:shd w:val="clear" w:color="auto" w:fill="auto"/>
            <w:noWrap/>
            <w:vAlign w:val="bottom"/>
            <w:hideMark/>
          </w:tcPr>
          <w:p w14:paraId="70E37576" w14:textId="77777777" w:rsidR="00B24B98" w:rsidRPr="00B6751D" w:rsidRDefault="00B24B98" w:rsidP="00A94054">
            <w:pPr>
              <w:spacing w:after="0" w:line="240" w:lineRule="auto"/>
              <w:rPr>
                <w:rFonts w:ascii="Calibri" w:eastAsia="Times New Roman" w:hAnsi="Calibri" w:cs="Calibri"/>
                <w:color w:val="000000"/>
                <w:lang w:eastAsia="en-GB"/>
              </w:rPr>
            </w:pPr>
            <w:r w:rsidRPr="00B6751D">
              <w:rPr>
                <w:rFonts w:ascii="Calibri" w:eastAsia="Times New Roman" w:hAnsi="Calibri" w:cs="Calibri"/>
                <w:color w:val="000000"/>
                <w:lang w:eastAsia="en-GB"/>
              </w:rPr>
              <w:t xml:space="preserve">hepatic </w:t>
            </w:r>
          </w:p>
        </w:tc>
        <w:tc>
          <w:tcPr>
            <w:tcW w:w="1391" w:type="dxa"/>
            <w:tcBorders>
              <w:top w:val="nil"/>
              <w:left w:val="nil"/>
              <w:bottom w:val="single" w:sz="4" w:space="0" w:color="auto"/>
              <w:right w:val="single" w:sz="4" w:space="0" w:color="auto"/>
            </w:tcBorders>
            <w:shd w:val="clear" w:color="auto" w:fill="auto"/>
            <w:noWrap/>
            <w:vAlign w:val="bottom"/>
            <w:hideMark/>
          </w:tcPr>
          <w:p w14:paraId="611E3191" w14:textId="77777777" w:rsidR="00B24B98" w:rsidRPr="00B6751D" w:rsidRDefault="00B24B98" w:rsidP="00A94054">
            <w:pPr>
              <w:spacing w:after="0" w:line="240" w:lineRule="auto"/>
              <w:jc w:val="right"/>
              <w:rPr>
                <w:rFonts w:ascii="Calibri" w:eastAsia="Times New Roman" w:hAnsi="Calibri" w:cs="Calibri"/>
                <w:color w:val="000000"/>
                <w:lang w:eastAsia="en-GB"/>
              </w:rPr>
            </w:pPr>
            <w:r w:rsidRPr="00B6751D">
              <w:rPr>
                <w:rFonts w:ascii="Calibri" w:eastAsia="Times New Roman" w:hAnsi="Calibri" w:cs="Calibri"/>
                <w:color w:val="000000"/>
                <w:lang w:eastAsia="en-GB"/>
              </w:rPr>
              <w:t>4</w:t>
            </w:r>
          </w:p>
        </w:tc>
        <w:tc>
          <w:tcPr>
            <w:tcW w:w="2437" w:type="dxa"/>
            <w:tcBorders>
              <w:top w:val="single" w:sz="4" w:space="0" w:color="auto"/>
              <w:left w:val="nil"/>
              <w:bottom w:val="single" w:sz="4" w:space="0" w:color="auto"/>
              <w:right w:val="single" w:sz="4" w:space="0" w:color="auto"/>
            </w:tcBorders>
          </w:tcPr>
          <w:p w14:paraId="5E6071B3"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c>
          <w:tcPr>
            <w:tcW w:w="2329" w:type="dxa"/>
            <w:tcBorders>
              <w:top w:val="nil"/>
              <w:left w:val="single" w:sz="4" w:space="0" w:color="auto"/>
              <w:bottom w:val="single" w:sz="4" w:space="0" w:color="auto"/>
              <w:right w:val="single" w:sz="4" w:space="0" w:color="auto"/>
            </w:tcBorders>
          </w:tcPr>
          <w:p w14:paraId="34F6BAB1"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r>
      <w:tr w:rsidR="00B24B98" w:rsidRPr="00B6751D" w14:paraId="1129D0A1" w14:textId="77777777" w:rsidTr="00A94054">
        <w:trPr>
          <w:trHeight w:val="290"/>
        </w:trPr>
        <w:tc>
          <w:tcPr>
            <w:tcW w:w="3397" w:type="dxa"/>
            <w:tcBorders>
              <w:top w:val="nil"/>
              <w:left w:val="single" w:sz="4" w:space="0" w:color="auto"/>
              <w:bottom w:val="single" w:sz="4" w:space="0" w:color="auto"/>
              <w:right w:val="single" w:sz="4" w:space="0" w:color="auto"/>
            </w:tcBorders>
            <w:shd w:val="clear" w:color="auto" w:fill="auto"/>
            <w:noWrap/>
            <w:vAlign w:val="bottom"/>
            <w:hideMark/>
          </w:tcPr>
          <w:p w14:paraId="526DEEFA" w14:textId="77777777" w:rsidR="00B24B98" w:rsidRPr="00B6751D" w:rsidRDefault="00B24B98" w:rsidP="00A94054">
            <w:pPr>
              <w:spacing w:after="0" w:line="240" w:lineRule="auto"/>
              <w:rPr>
                <w:rFonts w:ascii="Calibri" w:eastAsia="Times New Roman" w:hAnsi="Calibri" w:cs="Calibri"/>
                <w:color w:val="000000"/>
                <w:lang w:eastAsia="en-GB"/>
              </w:rPr>
            </w:pPr>
            <w:r w:rsidRPr="00B6751D">
              <w:rPr>
                <w:rFonts w:ascii="Calibri" w:eastAsia="Times New Roman" w:hAnsi="Calibri" w:cs="Calibri"/>
                <w:color w:val="000000"/>
                <w:lang w:eastAsia="en-GB"/>
              </w:rPr>
              <w:t>C. Diff Colitis</w:t>
            </w:r>
          </w:p>
        </w:tc>
        <w:tc>
          <w:tcPr>
            <w:tcW w:w="1391" w:type="dxa"/>
            <w:tcBorders>
              <w:top w:val="nil"/>
              <w:left w:val="nil"/>
              <w:bottom w:val="single" w:sz="4" w:space="0" w:color="auto"/>
              <w:right w:val="single" w:sz="4" w:space="0" w:color="auto"/>
            </w:tcBorders>
            <w:shd w:val="clear" w:color="auto" w:fill="auto"/>
            <w:noWrap/>
            <w:vAlign w:val="bottom"/>
            <w:hideMark/>
          </w:tcPr>
          <w:p w14:paraId="5E75BF2A" w14:textId="77777777" w:rsidR="00B24B98" w:rsidRPr="00B6751D" w:rsidRDefault="00B24B98" w:rsidP="00A94054">
            <w:pPr>
              <w:spacing w:after="0" w:line="240" w:lineRule="auto"/>
              <w:jc w:val="right"/>
              <w:rPr>
                <w:rFonts w:ascii="Calibri" w:eastAsia="Times New Roman" w:hAnsi="Calibri" w:cs="Calibri"/>
                <w:color w:val="000000"/>
                <w:lang w:eastAsia="en-GB"/>
              </w:rPr>
            </w:pPr>
            <w:r w:rsidRPr="00B6751D">
              <w:rPr>
                <w:rFonts w:ascii="Calibri" w:eastAsia="Times New Roman" w:hAnsi="Calibri" w:cs="Calibri"/>
                <w:color w:val="000000"/>
                <w:lang w:eastAsia="en-GB"/>
              </w:rPr>
              <w:t>3</w:t>
            </w:r>
          </w:p>
        </w:tc>
        <w:tc>
          <w:tcPr>
            <w:tcW w:w="2437" w:type="dxa"/>
            <w:tcBorders>
              <w:top w:val="single" w:sz="4" w:space="0" w:color="auto"/>
              <w:left w:val="nil"/>
              <w:bottom w:val="single" w:sz="4" w:space="0" w:color="auto"/>
              <w:right w:val="single" w:sz="4" w:space="0" w:color="auto"/>
            </w:tcBorders>
          </w:tcPr>
          <w:p w14:paraId="66339FFF"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c>
          <w:tcPr>
            <w:tcW w:w="2329" w:type="dxa"/>
            <w:tcBorders>
              <w:top w:val="nil"/>
              <w:left w:val="single" w:sz="4" w:space="0" w:color="auto"/>
              <w:bottom w:val="single" w:sz="4" w:space="0" w:color="auto"/>
              <w:right w:val="single" w:sz="4" w:space="0" w:color="auto"/>
            </w:tcBorders>
          </w:tcPr>
          <w:p w14:paraId="658DEF7F"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r>
      <w:tr w:rsidR="00B24B98" w:rsidRPr="00B6751D" w14:paraId="393568CC" w14:textId="77777777" w:rsidTr="00A94054">
        <w:trPr>
          <w:trHeight w:val="290"/>
        </w:trPr>
        <w:tc>
          <w:tcPr>
            <w:tcW w:w="3397" w:type="dxa"/>
            <w:tcBorders>
              <w:top w:val="nil"/>
              <w:left w:val="single" w:sz="4" w:space="0" w:color="auto"/>
              <w:bottom w:val="single" w:sz="4" w:space="0" w:color="auto"/>
              <w:right w:val="single" w:sz="4" w:space="0" w:color="auto"/>
            </w:tcBorders>
            <w:shd w:val="clear" w:color="auto" w:fill="auto"/>
            <w:noWrap/>
            <w:vAlign w:val="bottom"/>
            <w:hideMark/>
          </w:tcPr>
          <w:p w14:paraId="0C355CC6" w14:textId="77777777" w:rsidR="00B24B98" w:rsidRPr="00B6751D" w:rsidRDefault="00B24B98" w:rsidP="00A94054">
            <w:pPr>
              <w:spacing w:after="0" w:line="240" w:lineRule="auto"/>
              <w:rPr>
                <w:rFonts w:ascii="Calibri" w:eastAsia="Times New Roman" w:hAnsi="Calibri" w:cs="Calibri"/>
                <w:color w:val="000000"/>
                <w:lang w:eastAsia="en-GB"/>
              </w:rPr>
            </w:pPr>
            <w:r w:rsidRPr="00B6751D">
              <w:rPr>
                <w:rFonts w:ascii="Calibri" w:eastAsia="Times New Roman" w:hAnsi="Calibri" w:cs="Calibri"/>
                <w:color w:val="000000"/>
                <w:lang w:eastAsia="en-GB"/>
              </w:rPr>
              <w:t xml:space="preserve">Falls / parkinsonism </w:t>
            </w:r>
          </w:p>
        </w:tc>
        <w:tc>
          <w:tcPr>
            <w:tcW w:w="1391" w:type="dxa"/>
            <w:tcBorders>
              <w:top w:val="nil"/>
              <w:left w:val="nil"/>
              <w:bottom w:val="single" w:sz="4" w:space="0" w:color="auto"/>
              <w:right w:val="single" w:sz="4" w:space="0" w:color="auto"/>
            </w:tcBorders>
            <w:shd w:val="clear" w:color="auto" w:fill="auto"/>
            <w:noWrap/>
            <w:vAlign w:val="bottom"/>
            <w:hideMark/>
          </w:tcPr>
          <w:p w14:paraId="7634D8D1" w14:textId="77777777" w:rsidR="00B24B98" w:rsidRPr="00B6751D" w:rsidRDefault="00B24B98" w:rsidP="00A94054">
            <w:pPr>
              <w:spacing w:after="0" w:line="240" w:lineRule="auto"/>
              <w:jc w:val="right"/>
              <w:rPr>
                <w:rFonts w:ascii="Calibri" w:eastAsia="Times New Roman" w:hAnsi="Calibri" w:cs="Calibri"/>
                <w:color w:val="000000"/>
                <w:lang w:eastAsia="en-GB"/>
              </w:rPr>
            </w:pPr>
            <w:r w:rsidRPr="00B6751D">
              <w:rPr>
                <w:rFonts w:ascii="Calibri" w:eastAsia="Times New Roman" w:hAnsi="Calibri" w:cs="Calibri"/>
                <w:color w:val="000000"/>
                <w:lang w:eastAsia="en-GB"/>
              </w:rPr>
              <w:t>3</w:t>
            </w:r>
          </w:p>
        </w:tc>
        <w:tc>
          <w:tcPr>
            <w:tcW w:w="2437" w:type="dxa"/>
            <w:tcBorders>
              <w:top w:val="single" w:sz="4" w:space="0" w:color="auto"/>
              <w:left w:val="nil"/>
              <w:bottom w:val="single" w:sz="4" w:space="0" w:color="auto"/>
              <w:right w:val="single" w:sz="4" w:space="0" w:color="auto"/>
            </w:tcBorders>
          </w:tcPr>
          <w:p w14:paraId="646EAF4D"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c>
          <w:tcPr>
            <w:tcW w:w="2329" w:type="dxa"/>
            <w:tcBorders>
              <w:top w:val="nil"/>
              <w:left w:val="single" w:sz="4" w:space="0" w:color="auto"/>
              <w:bottom w:val="single" w:sz="4" w:space="0" w:color="auto"/>
              <w:right w:val="single" w:sz="4" w:space="0" w:color="auto"/>
            </w:tcBorders>
          </w:tcPr>
          <w:p w14:paraId="0548140A"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r>
      <w:tr w:rsidR="00B24B98" w:rsidRPr="00B6751D" w14:paraId="240FDECC" w14:textId="77777777" w:rsidTr="00A94054">
        <w:trPr>
          <w:trHeight w:val="290"/>
        </w:trPr>
        <w:tc>
          <w:tcPr>
            <w:tcW w:w="3397" w:type="dxa"/>
            <w:tcBorders>
              <w:top w:val="nil"/>
              <w:left w:val="single" w:sz="4" w:space="0" w:color="auto"/>
              <w:bottom w:val="single" w:sz="4" w:space="0" w:color="auto"/>
              <w:right w:val="single" w:sz="4" w:space="0" w:color="auto"/>
            </w:tcBorders>
            <w:shd w:val="clear" w:color="auto" w:fill="auto"/>
            <w:vAlign w:val="bottom"/>
            <w:hideMark/>
          </w:tcPr>
          <w:p w14:paraId="5102378B" w14:textId="77777777" w:rsidR="00B24B98" w:rsidRPr="00B6751D" w:rsidRDefault="00B24B98" w:rsidP="00A94054">
            <w:pPr>
              <w:spacing w:after="0" w:line="240" w:lineRule="auto"/>
              <w:rPr>
                <w:rFonts w:ascii="Calibri" w:eastAsia="Times New Roman" w:hAnsi="Calibri" w:cs="Calibri"/>
                <w:color w:val="000000"/>
                <w:lang w:eastAsia="en-GB"/>
              </w:rPr>
            </w:pPr>
            <w:r w:rsidRPr="00B6751D">
              <w:rPr>
                <w:rFonts w:ascii="Calibri" w:eastAsia="Times New Roman" w:hAnsi="Calibri" w:cs="Calibri"/>
                <w:color w:val="000000"/>
                <w:lang w:eastAsia="en-GB"/>
              </w:rPr>
              <w:t>Hyperthermia</w:t>
            </w:r>
          </w:p>
        </w:tc>
        <w:tc>
          <w:tcPr>
            <w:tcW w:w="1391" w:type="dxa"/>
            <w:tcBorders>
              <w:top w:val="nil"/>
              <w:left w:val="nil"/>
              <w:bottom w:val="single" w:sz="4" w:space="0" w:color="auto"/>
              <w:right w:val="single" w:sz="4" w:space="0" w:color="auto"/>
            </w:tcBorders>
            <w:shd w:val="clear" w:color="auto" w:fill="auto"/>
            <w:noWrap/>
            <w:vAlign w:val="bottom"/>
            <w:hideMark/>
          </w:tcPr>
          <w:p w14:paraId="5D19BCBD" w14:textId="77777777" w:rsidR="00B24B98" w:rsidRPr="00B6751D" w:rsidRDefault="00B24B98" w:rsidP="00A94054">
            <w:pPr>
              <w:spacing w:after="0" w:line="240" w:lineRule="auto"/>
              <w:jc w:val="right"/>
              <w:rPr>
                <w:rFonts w:ascii="Calibri" w:eastAsia="Times New Roman" w:hAnsi="Calibri" w:cs="Calibri"/>
                <w:color w:val="000000"/>
                <w:lang w:eastAsia="en-GB"/>
              </w:rPr>
            </w:pPr>
            <w:r w:rsidRPr="00B6751D">
              <w:rPr>
                <w:rFonts w:ascii="Calibri" w:eastAsia="Times New Roman" w:hAnsi="Calibri" w:cs="Calibri"/>
                <w:color w:val="000000"/>
                <w:lang w:eastAsia="en-GB"/>
              </w:rPr>
              <w:t>3</w:t>
            </w:r>
          </w:p>
        </w:tc>
        <w:tc>
          <w:tcPr>
            <w:tcW w:w="2437" w:type="dxa"/>
            <w:tcBorders>
              <w:top w:val="single" w:sz="4" w:space="0" w:color="auto"/>
              <w:left w:val="nil"/>
              <w:bottom w:val="single" w:sz="4" w:space="0" w:color="auto"/>
              <w:right w:val="single" w:sz="4" w:space="0" w:color="auto"/>
            </w:tcBorders>
          </w:tcPr>
          <w:p w14:paraId="3F6A986B"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c>
          <w:tcPr>
            <w:tcW w:w="2329" w:type="dxa"/>
            <w:tcBorders>
              <w:top w:val="nil"/>
              <w:left w:val="single" w:sz="4" w:space="0" w:color="auto"/>
              <w:bottom w:val="single" w:sz="4" w:space="0" w:color="auto"/>
              <w:right w:val="single" w:sz="4" w:space="0" w:color="auto"/>
            </w:tcBorders>
          </w:tcPr>
          <w:p w14:paraId="77662113"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r>
      <w:tr w:rsidR="00B24B98" w:rsidRPr="00B6751D" w14:paraId="17922885" w14:textId="77777777" w:rsidTr="00A94054">
        <w:trPr>
          <w:trHeight w:val="290"/>
        </w:trPr>
        <w:tc>
          <w:tcPr>
            <w:tcW w:w="3397" w:type="dxa"/>
            <w:tcBorders>
              <w:top w:val="nil"/>
              <w:left w:val="single" w:sz="4" w:space="0" w:color="auto"/>
              <w:bottom w:val="single" w:sz="4" w:space="0" w:color="auto"/>
              <w:right w:val="single" w:sz="4" w:space="0" w:color="auto"/>
            </w:tcBorders>
            <w:shd w:val="clear" w:color="auto" w:fill="auto"/>
            <w:noWrap/>
            <w:vAlign w:val="bottom"/>
            <w:hideMark/>
          </w:tcPr>
          <w:p w14:paraId="0FE30C8F" w14:textId="77777777" w:rsidR="00B24B98" w:rsidRPr="00B6751D" w:rsidRDefault="00B24B98" w:rsidP="00A94054">
            <w:pPr>
              <w:spacing w:after="0" w:line="240" w:lineRule="auto"/>
              <w:rPr>
                <w:rFonts w:ascii="Calibri" w:eastAsia="Times New Roman" w:hAnsi="Calibri" w:cs="Calibri"/>
                <w:color w:val="000000"/>
                <w:lang w:eastAsia="en-GB"/>
              </w:rPr>
            </w:pPr>
            <w:r w:rsidRPr="00B6751D">
              <w:rPr>
                <w:rFonts w:ascii="Calibri" w:eastAsia="Times New Roman" w:hAnsi="Calibri" w:cs="Calibri"/>
                <w:color w:val="000000"/>
                <w:lang w:eastAsia="en-GB"/>
              </w:rPr>
              <w:t>Missing</w:t>
            </w:r>
          </w:p>
        </w:tc>
        <w:tc>
          <w:tcPr>
            <w:tcW w:w="1391" w:type="dxa"/>
            <w:tcBorders>
              <w:top w:val="nil"/>
              <w:left w:val="nil"/>
              <w:bottom w:val="single" w:sz="4" w:space="0" w:color="auto"/>
              <w:right w:val="single" w:sz="4" w:space="0" w:color="auto"/>
            </w:tcBorders>
            <w:shd w:val="clear" w:color="auto" w:fill="auto"/>
            <w:noWrap/>
            <w:vAlign w:val="bottom"/>
            <w:hideMark/>
          </w:tcPr>
          <w:p w14:paraId="14657243" w14:textId="77777777" w:rsidR="00B24B98" w:rsidRPr="00B6751D" w:rsidRDefault="00B24B98" w:rsidP="00A94054">
            <w:pPr>
              <w:spacing w:after="0" w:line="240" w:lineRule="auto"/>
              <w:jc w:val="right"/>
              <w:rPr>
                <w:rFonts w:ascii="Calibri" w:eastAsia="Times New Roman" w:hAnsi="Calibri" w:cs="Calibri"/>
                <w:color w:val="000000"/>
                <w:lang w:eastAsia="en-GB"/>
              </w:rPr>
            </w:pPr>
            <w:r w:rsidRPr="00B6751D">
              <w:rPr>
                <w:rFonts w:ascii="Calibri" w:eastAsia="Times New Roman" w:hAnsi="Calibri" w:cs="Calibri"/>
                <w:color w:val="000000"/>
                <w:lang w:eastAsia="en-GB"/>
              </w:rPr>
              <w:t>3</w:t>
            </w:r>
          </w:p>
        </w:tc>
        <w:tc>
          <w:tcPr>
            <w:tcW w:w="2437" w:type="dxa"/>
            <w:tcBorders>
              <w:top w:val="single" w:sz="4" w:space="0" w:color="auto"/>
              <w:left w:val="nil"/>
              <w:bottom w:val="single" w:sz="4" w:space="0" w:color="auto"/>
              <w:right w:val="single" w:sz="4" w:space="0" w:color="auto"/>
            </w:tcBorders>
          </w:tcPr>
          <w:p w14:paraId="12DD438B"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c>
          <w:tcPr>
            <w:tcW w:w="2329" w:type="dxa"/>
            <w:tcBorders>
              <w:top w:val="nil"/>
              <w:left w:val="single" w:sz="4" w:space="0" w:color="auto"/>
              <w:bottom w:val="single" w:sz="4" w:space="0" w:color="auto"/>
              <w:right w:val="single" w:sz="4" w:space="0" w:color="auto"/>
            </w:tcBorders>
          </w:tcPr>
          <w:p w14:paraId="4D74DEBF"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r>
      <w:tr w:rsidR="00B24B98" w:rsidRPr="00B6751D" w14:paraId="0385DE1B" w14:textId="77777777" w:rsidTr="00A94054">
        <w:trPr>
          <w:trHeight w:val="290"/>
        </w:trPr>
        <w:tc>
          <w:tcPr>
            <w:tcW w:w="3397" w:type="dxa"/>
            <w:tcBorders>
              <w:top w:val="nil"/>
              <w:left w:val="single" w:sz="4" w:space="0" w:color="auto"/>
              <w:bottom w:val="single" w:sz="4" w:space="0" w:color="auto"/>
              <w:right w:val="single" w:sz="4" w:space="0" w:color="auto"/>
            </w:tcBorders>
            <w:shd w:val="clear" w:color="auto" w:fill="auto"/>
            <w:vAlign w:val="bottom"/>
            <w:hideMark/>
          </w:tcPr>
          <w:p w14:paraId="5D2935B4" w14:textId="77777777" w:rsidR="00B24B98" w:rsidRPr="00B6751D" w:rsidRDefault="00B24B98" w:rsidP="00A94054">
            <w:pPr>
              <w:spacing w:after="0" w:line="240" w:lineRule="auto"/>
              <w:rPr>
                <w:rFonts w:ascii="Calibri" w:eastAsia="Times New Roman" w:hAnsi="Calibri" w:cs="Calibri"/>
                <w:color w:val="000000"/>
                <w:lang w:eastAsia="en-GB"/>
              </w:rPr>
            </w:pPr>
            <w:r w:rsidRPr="00B6751D">
              <w:rPr>
                <w:rFonts w:ascii="Calibri" w:eastAsia="Times New Roman" w:hAnsi="Calibri" w:cs="Calibri"/>
                <w:color w:val="000000"/>
                <w:lang w:eastAsia="en-GB"/>
              </w:rPr>
              <w:lastRenderedPageBreak/>
              <w:t>nephritis</w:t>
            </w:r>
          </w:p>
        </w:tc>
        <w:tc>
          <w:tcPr>
            <w:tcW w:w="1391" w:type="dxa"/>
            <w:tcBorders>
              <w:top w:val="nil"/>
              <w:left w:val="nil"/>
              <w:bottom w:val="single" w:sz="4" w:space="0" w:color="auto"/>
              <w:right w:val="single" w:sz="4" w:space="0" w:color="auto"/>
            </w:tcBorders>
            <w:shd w:val="clear" w:color="auto" w:fill="auto"/>
            <w:noWrap/>
            <w:vAlign w:val="bottom"/>
            <w:hideMark/>
          </w:tcPr>
          <w:p w14:paraId="10FE2DDC" w14:textId="77777777" w:rsidR="00B24B98" w:rsidRPr="00B6751D" w:rsidRDefault="00B24B98" w:rsidP="00A94054">
            <w:pPr>
              <w:spacing w:after="0" w:line="240" w:lineRule="auto"/>
              <w:jc w:val="right"/>
              <w:rPr>
                <w:rFonts w:ascii="Calibri" w:eastAsia="Times New Roman" w:hAnsi="Calibri" w:cs="Calibri"/>
                <w:color w:val="000000"/>
                <w:lang w:eastAsia="en-GB"/>
              </w:rPr>
            </w:pPr>
            <w:r w:rsidRPr="00B6751D">
              <w:rPr>
                <w:rFonts w:ascii="Calibri" w:eastAsia="Times New Roman" w:hAnsi="Calibri" w:cs="Calibri"/>
                <w:color w:val="000000"/>
                <w:lang w:eastAsia="en-GB"/>
              </w:rPr>
              <w:t>3</w:t>
            </w:r>
          </w:p>
        </w:tc>
        <w:tc>
          <w:tcPr>
            <w:tcW w:w="2437" w:type="dxa"/>
            <w:tcBorders>
              <w:top w:val="single" w:sz="4" w:space="0" w:color="auto"/>
              <w:left w:val="nil"/>
              <w:bottom w:val="single" w:sz="4" w:space="0" w:color="auto"/>
              <w:right w:val="single" w:sz="4" w:space="0" w:color="auto"/>
            </w:tcBorders>
          </w:tcPr>
          <w:p w14:paraId="023200E1"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c>
          <w:tcPr>
            <w:tcW w:w="2329" w:type="dxa"/>
            <w:tcBorders>
              <w:top w:val="nil"/>
              <w:left w:val="single" w:sz="4" w:space="0" w:color="auto"/>
              <w:bottom w:val="single" w:sz="4" w:space="0" w:color="auto"/>
              <w:right w:val="single" w:sz="4" w:space="0" w:color="auto"/>
            </w:tcBorders>
          </w:tcPr>
          <w:p w14:paraId="535874CE"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r>
      <w:tr w:rsidR="00B24B98" w:rsidRPr="00B6751D" w14:paraId="2B678ABF" w14:textId="77777777" w:rsidTr="00A94054">
        <w:trPr>
          <w:trHeight w:val="580"/>
        </w:trPr>
        <w:tc>
          <w:tcPr>
            <w:tcW w:w="3397" w:type="dxa"/>
            <w:tcBorders>
              <w:top w:val="nil"/>
              <w:left w:val="single" w:sz="4" w:space="0" w:color="auto"/>
              <w:bottom w:val="single" w:sz="4" w:space="0" w:color="auto"/>
              <w:right w:val="single" w:sz="4" w:space="0" w:color="auto"/>
            </w:tcBorders>
            <w:shd w:val="clear" w:color="auto" w:fill="auto"/>
            <w:vAlign w:val="bottom"/>
            <w:hideMark/>
          </w:tcPr>
          <w:p w14:paraId="41A65F11" w14:textId="77777777" w:rsidR="00B24B98" w:rsidRPr="00B6751D" w:rsidRDefault="00B24B98" w:rsidP="00A94054">
            <w:pPr>
              <w:spacing w:after="0" w:line="240" w:lineRule="auto"/>
              <w:rPr>
                <w:rFonts w:ascii="Calibri" w:eastAsia="Times New Roman" w:hAnsi="Calibri" w:cs="Calibri"/>
                <w:color w:val="000000"/>
                <w:lang w:eastAsia="en-GB"/>
              </w:rPr>
            </w:pPr>
            <w:r w:rsidRPr="00B6751D">
              <w:rPr>
                <w:rFonts w:ascii="Calibri" w:eastAsia="Times New Roman" w:hAnsi="Calibri" w:cs="Calibri"/>
                <w:color w:val="000000"/>
                <w:lang w:eastAsia="en-GB"/>
              </w:rPr>
              <w:t>oedema</w:t>
            </w:r>
          </w:p>
        </w:tc>
        <w:tc>
          <w:tcPr>
            <w:tcW w:w="1391" w:type="dxa"/>
            <w:tcBorders>
              <w:top w:val="nil"/>
              <w:left w:val="nil"/>
              <w:bottom w:val="single" w:sz="4" w:space="0" w:color="auto"/>
              <w:right w:val="single" w:sz="4" w:space="0" w:color="auto"/>
            </w:tcBorders>
            <w:shd w:val="clear" w:color="auto" w:fill="auto"/>
            <w:noWrap/>
            <w:vAlign w:val="bottom"/>
            <w:hideMark/>
          </w:tcPr>
          <w:p w14:paraId="2699DDED" w14:textId="77777777" w:rsidR="00B24B98" w:rsidRPr="00B6751D" w:rsidRDefault="00B24B98" w:rsidP="00A94054">
            <w:pPr>
              <w:spacing w:after="0" w:line="240" w:lineRule="auto"/>
              <w:jc w:val="right"/>
              <w:rPr>
                <w:rFonts w:ascii="Calibri" w:eastAsia="Times New Roman" w:hAnsi="Calibri" w:cs="Calibri"/>
                <w:color w:val="000000"/>
                <w:lang w:eastAsia="en-GB"/>
              </w:rPr>
            </w:pPr>
            <w:r w:rsidRPr="00B6751D">
              <w:rPr>
                <w:rFonts w:ascii="Calibri" w:eastAsia="Times New Roman" w:hAnsi="Calibri" w:cs="Calibri"/>
                <w:color w:val="000000"/>
                <w:lang w:eastAsia="en-GB"/>
              </w:rPr>
              <w:t>3</w:t>
            </w:r>
          </w:p>
        </w:tc>
        <w:tc>
          <w:tcPr>
            <w:tcW w:w="2437" w:type="dxa"/>
            <w:tcBorders>
              <w:top w:val="single" w:sz="4" w:space="0" w:color="auto"/>
              <w:left w:val="nil"/>
              <w:bottom w:val="single" w:sz="4" w:space="0" w:color="auto"/>
              <w:right w:val="single" w:sz="4" w:space="0" w:color="auto"/>
            </w:tcBorders>
          </w:tcPr>
          <w:p w14:paraId="77E3A343"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c>
          <w:tcPr>
            <w:tcW w:w="2329" w:type="dxa"/>
            <w:tcBorders>
              <w:top w:val="nil"/>
              <w:left w:val="single" w:sz="4" w:space="0" w:color="auto"/>
              <w:bottom w:val="single" w:sz="4" w:space="0" w:color="auto"/>
              <w:right w:val="single" w:sz="4" w:space="0" w:color="auto"/>
            </w:tcBorders>
          </w:tcPr>
          <w:p w14:paraId="72FB3D32"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r>
      <w:tr w:rsidR="00B24B98" w:rsidRPr="00B6751D" w14:paraId="4927F023" w14:textId="77777777" w:rsidTr="00A94054">
        <w:trPr>
          <w:trHeight w:val="290"/>
        </w:trPr>
        <w:tc>
          <w:tcPr>
            <w:tcW w:w="3397" w:type="dxa"/>
            <w:tcBorders>
              <w:top w:val="nil"/>
              <w:left w:val="single" w:sz="4" w:space="0" w:color="auto"/>
              <w:bottom w:val="single" w:sz="4" w:space="0" w:color="auto"/>
              <w:right w:val="single" w:sz="4" w:space="0" w:color="auto"/>
            </w:tcBorders>
            <w:shd w:val="clear" w:color="auto" w:fill="auto"/>
            <w:vAlign w:val="bottom"/>
            <w:hideMark/>
          </w:tcPr>
          <w:p w14:paraId="3E42844C" w14:textId="77777777" w:rsidR="00B24B98" w:rsidRPr="00B6751D" w:rsidRDefault="00B24B98" w:rsidP="00A94054">
            <w:pPr>
              <w:spacing w:after="0" w:line="240" w:lineRule="auto"/>
              <w:rPr>
                <w:rFonts w:ascii="Calibri" w:eastAsia="Times New Roman" w:hAnsi="Calibri" w:cs="Calibri"/>
                <w:color w:val="000000"/>
                <w:lang w:eastAsia="en-GB"/>
              </w:rPr>
            </w:pPr>
            <w:r w:rsidRPr="00B6751D">
              <w:rPr>
                <w:rFonts w:ascii="Calibri" w:eastAsia="Times New Roman" w:hAnsi="Calibri" w:cs="Calibri"/>
                <w:color w:val="000000"/>
                <w:lang w:eastAsia="en-GB"/>
              </w:rPr>
              <w:t>osteoporosis</w:t>
            </w:r>
          </w:p>
        </w:tc>
        <w:tc>
          <w:tcPr>
            <w:tcW w:w="1391" w:type="dxa"/>
            <w:tcBorders>
              <w:top w:val="nil"/>
              <w:left w:val="nil"/>
              <w:bottom w:val="single" w:sz="4" w:space="0" w:color="auto"/>
              <w:right w:val="single" w:sz="4" w:space="0" w:color="auto"/>
            </w:tcBorders>
            <w:shd w:val="clear" w:color="auto" w:fill="auto"/>
            <w:noWrap/>
            <w:vAlign w:val="bottom"/>
            <w:hideMark/>
          </w:tcPr>
          <w:p w14:paraId="18DA3952" w14:textId="77777777" w:rsidR="00B24B98" w:rsidRPr="00B6751D" w:rsidRDefault="00B24B98" w:rsidP="00A94054">
            <w:pPr>
              <w:spacing w:after="0" w:line="240" w:lineRule="auto"/>
              <w:jc w:val="right"/>
              <w:rPr>
                <w:rFonts w:ascii="Calibri" w:eastAsia="Times New Roman" w:hAnsi="Calibri" w:cs="Calibri"/>
                <w:color w:val="000000"/>
                <w:lang w:eastAsia="en-GB"/>
              </w:rPr>
            </w:pPr>
            <w:r w:rsidRPr="00B6751D">
              <w:rPr>
                <w:rFonts w:ascii="Calibri" w:eastAsia="Times New Roman" w:hAnsi="Calibri" w:cs="Calibri"/>
                <w:color w:val="000000"/>
                <w:lang w:eastAsia="en-GB"/>
              </w:rPr>
              <w:t>3</w:t>
            </w:r>
          </w:p>
        </w:tc>
        <w:tc>
          <w:tcPr>
            <w:tcW w:w="2437" w:type="dxa"/>
            <w:tcBorders>
              <w:top w:val="single" w:sz="4" w:space="0" w:color="auto"/>
              <w:left w:val="nil"/>
              <w:bottom w:val="single" w:sz="4" w:space="0" w:color="auto"/>
              <w:right w:val="single" w:sz="4" w:space="0" w:color="auto"/>
            </w:tcBorders>
          </w:tcPr>
          <w:p w14:paraId="06D5ACE0"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c>
          <w:tcPr>
            <w:tcW w:w="2329" w:type="dxa"/>
            <w:tcBorders>
              <w:top w:val="nil"/>
              <w:left w:val="single" w:sz="4" w:space="0" w:color="auto"/>
              <w:bottom w:val="single" w:sz="4" w:space="0" w:color="auto"/>
              <w:right w:val="single" w:sz="4" w:space="0" w:color="auto"/>
            </w:tcBorders>
          </w:tcPr>
          <w:p w14:paraId="4E55B5B0"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r>
      <w:tr w:rsidR="00B24B98" w:rsidRPr="00B6751D" w14:paraId="45122685" w14:textId="77777777" w:rsidTr="00A94054">
        <w:trPr>
          <w:trHeight w:val="290"/>
        </w:trPr>
        <w:tc>
          <w:tcPr>
            <w:tcW w:w="3397" w:type="dxa"/>
            <w:tcBorders>
              <w:top w:val="nil"/>
              <w:left w:val="single" w:sz="4" w:space="0" w:color="auto"/>
              <w:bottom w:val="single" w:sz="4" w:space="0" w:color="auto"/>
              <w:right w:val="single" w:sz="4" w:space="0" w:color="auto"/>
            </w:tcBorders>
            <w:shd w:val="clear" w:color="auto" w:fill="auto"/>
            <w:vAlign w:val="bottom"/>
            <w:hideMark/>
          </w:tcPr>
          <w:p w14:paraId="1C344855" w14:textId="77777777" w:rsidR="00B24B98" w:rsidRPr="00B6751D" w:rsidRDefault="00B24B98" w:rsidP="00A94054">
            <w:pPr>
              <w:spacing w:after="0" w:line="240" w:lineRule="auto"/>
              <w:rPr>
                <w:rFonts w:ascii="Calibri" w:eastAsia="Times New Roman" w:hAnsi="Calibri" w:cs="Calibri"/>
                <w:color w:val="000000"/>
                <w:lang w:eastAsia="en-GB"/>
              </w:rPr>
            </w:pPr>
            <w:r w:rsidRPr="00B6751D">
              <w:rPr>
                <w:rFonts w:ascii="Calibri" w:eastAsia="Times New Roman" w:hAnsi="Calibri" w:cs="Calibri"/>
                <w:color w:val="000000"/>
                <w:lang w:eastAsia="en-GB"/>
              </w:rPr>
              <w:t>phlebitis</w:t>
            </w:r>
          </w:p>
        </w:tc>
        <w:tc>
          <w:tcPr>
            <w:tcW w:w="1391" w:type="dxa"/>
            <w:tcBorders>
              <w:top w:val="nil"/>
              <w:left w:val="nil"/>
              <w:bottom w:val="single" w:sz="4" w:space="0" w:color="auto"/>
              <w:right w:val="single" w:sz="4" w:space="0" w:color="auto"/>
            </w:tcBorders>
            <w:shd w:val="clear" w:color="auto" w:fill="auto"/>
            <w:noWrap/>
            <w:vAlign w:val="bottom"/>
            <w:hideMark/>
          </w:tcPr>
          <w:p w14:paraId="1CC7A1A6" w14:textId="77777777" w:rsidR="00B24B98" w:rsidRPr="00B6751D" w:rsidRDefault="00B24B98" w:rsidP="00A94054">
            <w:pPr>
              <w:spacing w:after="0" w:line="240" w:lineRule="auto"/>
              <w:jc w:val="right"/>
              <w:rPr>
                <w:rFonts w:ascii="Calibri" w:eastAsia="Times New Roman" w:hAnsi="Calibri" w:cs="Calibri"/>
                <w:color w:val="000000"/>
                <w:lang w:eastAsia="en-GB"/>
              </w:rPr>
            </w:pPr>
            <w:r w:rsidRPr="00B6751D">
              <w:rPr>
                <w:rFonts w:ascii="Calibri" w:eastAsia="Times New Roman" w:hAnsi="Calibri" w:cs="Calibri"/>
                <w:color w:val="000000"/>
                <w:lang w:eastAsia="en-GB"/>
              </w:rPr>
              <w:t>3</w:t>
            </w:r>
          </w:p>
        </w:tc>
        <w:tc>
          <w:tcPr>
            <w:tcW w:w="2437" w:type="dxa"/>
            <w:tcBorders>
              <w:top w:val="single" w:sz="4" w:space="0" w:color="auto"/>
              <w:left w:val="nil"/>
              <w:bottom w:val="single" w:sz="4" w:space="0" w:color="auto"/>
              <w:right w:val="single" w:sz="4" w:space="0" w:color="auto"/>
            </w:tcBorders>
          </w:tcPr>
          <w:p w14:paraId="31911CB2"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c>
          <w:tcPr>
            <w:tcW w:w="2329" w:type="dxa"/>
            <w:tcBorders>
              <w:top w:val="nil"/>
              <w:left w:val="single" w:sz="4" w:space="0" w:color="auto"/>
              <w:bottom w:val="single" w:sz="4" w:space="0" w:color="auto"/>
              <w:right w:val="single" w:sz="4" w:space="0" w:color="auto"/>
            </w:tcBorders>
          </w:tcPr>
          <w:p w14:paraId="2706A5C4"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r>
      <w:tr w:rsidR="00B24B98" w:rsidRPr="00B6751D" w14:paraId="39C0AC96" w14:textId="77777777" w:rsidTr="00A94054">
        <w:trPr>
          <w:trHeight w:val="290"/>
        </w:trPr>
        <w:tc>
          <w:tcPr>
            <w:tcW w:w="3397" w:type="dxa"/>
            <w:tcBorders>
              <w:top w:val="nil"/>
              <w:left w:val="single" w:sz="4" w:space="0" w:color="auto"/>
              <w:bottom w:val="single" w:sz="4" w:space="0" w:color="auto"/>
              <w:right w:val="single" w:sz="4" w:space="0" w:color="auto"/>
            </w:tcBorders>
            <w:shd w:val="clear" w:color="auto" w:fill="auto"/>
            <w:noWrap/>
            <w:vAlign w:val="bottom"/>
            <w:hideMark/>
          </w:tcPr>
          <w:p w14:paraId="645C9FBF" w14:textId="77777777" w:rsidR="00B24B98" w:rsidRPr="00B6751D" w:rsidRDefault="00B24B98" w:rsidP="00A94054">
            <w:pPr>
              <w:spacing w:after="0" w:line="240" w:lineRule="auto"/>
              <w:rPr>
                <w:rFonts w:ascii="Calibri" w:eastAsia="Times New Roman" w:hAnsi="Calibri" w:cs="Calibri"/>
                <w:color w:val="000000"/>
                <w:lang w:eastAsia="en-GB"/>
              </w:rPr>
            </w:pPr>
            <w:r w:rsidRPr="00B6751D">
              <w:rPr>
                <w:rFonts w:ascii="Calibri" w:eastAsia="Times New Roman" w:hAnsi="Calibri" w:cs="Calibri"/>
                <w:color w:val="000000"/>
                <w:lang w:eastAsia="en-GB"/>
              </w:rPr>
              <w:t>respiratory system</w:t>
            </w:r>
          </w:p>
        </w:tc>
        <w:tc>
          <w:tcPr>
            <w:tcW w:w="1391" w:type="dxa"/>
            <w:tcBorders>
              <w:top w:val="nil"/>
              <w:left w:val="nil"/>
              <w:bottom w:val="single" w:sz="4" w:space="0" w:color="auto"/>
              <w:right w:val="single" w:sz="4" w:space="0" w:color="auto"/>
            </w:tcBorders>
            <w:shd w:val="clear" w:color="auto" w:fill="auto"/>
            <w:noWrap/>
            <w:vAlign w:val="bottom"/>
            <w:hideMark/>
          </w:tcPr>
          <w:p w14:paraId="50693DA6" w14:textId="77777777" w:rsidR="00B24B98" w:rsidRPr="00B6751D" w:rsidRDefault="00B24B98" w:rsidP="00A94054">
            <w:pPr>
              <w:spacing w:after="0" w:line="240" w:lineRule="auto"/>
              <w:jc w:val="right"/>
              <w:rPr>
                <w:rFonts w:ascii="Calibri" w:eastAsia="Times New Roman" w:hAnsi="Calibri" w:cs="Calibri"/>
                <w:color w:val="000000"/>
                <w:lang w:eastAsia="en-GB"/>
              </w:rPr>
            </w:pPr>
            <w:r w:rsidRPr="00B6751D">
              <w:rPr>
                <w:rFonts w:ascii="Calibri" w:eastAsia="Times New Roman" w:hAnsi="Calibri" w:cs="Calibri"/>
                <w:color w:val="000000"/>
                <w:lang w:eastAsia="en-GB"/>
              </w:rPr>
              <w:t>3</w:t>
            </w:r>
          </w:p>
        </w:tc>
        <w:tc>
          <w:tcPr>
            <w:tcW w:w="2437" w:type="dxa"/>
            <w:tcBorders>
              <w:top w:val="single" w:sz="4" w:space="0" w:color="auto"/>
              <w:left w:val="nil"/>
              <w:bottom w:val="single" w:sz="4" w:space="0" w:color="auto"/>
              <w:right w:val="single" w:sz="4" w:space="0" w:color="auto"/>
            </w:tcBorders>
          </w:tcPr>
          <w:p w14:paraId="706EEC48"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c>
          <w:tcPr>
            <w:tcW w:w="2329" w:type="dxa"/>
            <w:tcBorders>
              <w:top w:val="nil"/>
              <w:left w:val="single" w:sz="4" w:space="0" w:color="auto"/>
              <w:bottom w:val="single" w:sz="4" w:space="0" w:color="auto"/>
              <w:right w:val="single" w:sz="4" w:space="0" w:color="auto"/>
            </w:tcBorders>
          </w:tcPr>
          <w:p w14:paraId="6A6B8455"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r>
      <w:tr w:rsidR="00B24B98" w:rsidRPr="00B6751D" w14:paraId="1019A310" w14:textId="77777777" w:rsidTr="00A94054">
        <w:trPr>
          <w:trHeight w:val="290"/>
        </w:trPr>
        <w:tc>
          <w:tcPr>
            <w:tcW w:w="3397" w:type="dxa"/>
            <w:tcBorders>
              <w:top w:val="nil"/>
              <w:left w:val="single" w:sz="4" w:space="0" w:color="auto"/>
              <w:bottom w:val="single" w:sz="4" w:space="0" w:color="auto"/>
              <w:right w:val="single" w:sz="4" w:space="0" w:color="auto"/>
            </w:tcBorders>
            <w:shd w:val="clear" w:color="auto" w:fill="auto"/>
            <w:vAlign w:val="bottom"/>
            <w:hideMark/>
          </w:tcPr>
          <w:p w14:paraId="2FA9CC10" w14:textId="77777777" w:rsidR="00B24B98" w:rsidRPr="00B6751D" w:rsidRDefault="00B24B98" w:rsidP="00A94054">
            <w:pPr>
              <w:spacing w:after="0" w:line="240" w:lineRule="auto"/>
              <w:rPr>
                <w:rFonts w:ascii="Calibri" w:eastAsia="Times New Roman" w:hAnsi="Calibri" w:cs="Calibri"/>
                <w:color w:val="000000"/>
                <w:lang w:eastAsia="en-GB"/>
              </w:rPr>
            </w:pPr>
            <w:r w:rsidRPr="00B6751D">
              <w:rPr>
                <w:rFonts w:ascii="Calibri" w:eastAsia="Times New Roman" w:hAnsi="Calibri" w:cs="Calibri"/>
                <w:color w:val="000000"/>
                <w:lang w:eastAsia="en-GB"/>
              </w:rPr>
              <w:t>dehydration</w:t>
            </w:r>
          </w:p>
        </w:tc>
        <w:tc>
          <w:tcPr>
            <w:tcW w:w="1391" w:type="dxa"/>
            <w:tcBorders>
              <w:top w:val="nil"/>
              <w:left w:val="nil"/>
              <w:bottom w:val="single" w:sz="4" w:space="0" w:color="auto"/>
              <w:right w:val="single" w:sz="4" w:space="0" w:color="auto"/>
            </w:tcBorders>
            <w:shd w:val="clear" w:color="auto" w:fill="auto"/>
            <w:noWrap/>
            <w:vAlign w:val="bottom"/>
            <w:hideMark/>
          </w:tcPr>
          <w:p w14:paraId="200645ED" w14:textId="77777777" w:rsidR="00B24B98" w:rsidRPr="00B6751D" w:rsidRDefault="00B24B98" w:rsidP="00A94054">
            <w:pPr>
              <w:spacing w:after="0" w:line="240" w:lineRule="auto"/>
              <w:jc w:val="right"/>
              <w:rPr>
                <w:rFonts w:ascii="Calibri" w:eastAsia="Times New Roman" w:hAnsi="Calibri" w:cs="Calibri"/>
                <w:color w:val="000000"/>
                <w:lang w:eastAsia="en-GB"/>
              </w:rPr>
            </w:pPr>
            <w:r w:rsidRPr="00B6751D">
              <w:rPr>
                <w:rFonts w:ascii="Calibri" w:eastAsia="Times New Roman" w:hAnsi="Calibri" w:cs="Calibri"/>
                <w:color w:val="000000"/>
                <w:lang w:eastAsia="en-GB"/>
              </w:rPr>
              <w:t>2</w:t>
            </w:r>
          </w:p>
        </w:tc>
        <w:tc>
          <w:tcPr>
            <w:tcW w:w="2437" w:type="dxa"/>
            <w:tcBorders>
              <w:top w:val="single" w:sz="4" w:space="0" w:color="auto"/>
              <w:left w:val="nil"/>
              <w:bottom w:val="single" w:sz="4" w:space="0" w:color="auto"/>
              <w:right w:val="single" w:sz="4" w:space="0" w:color="auto"/>
            </w:tcBorders>
          </w:tcPr>
          <w:p w14:paraId="2BB54CD9"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c>
          <w:tcPr>
            <w:tcW w:w="2329" w:type="dxa"/>
            <w:tcBorders>
              <w:top w:val="nil"/>
              <w:left w:val="single" w:sz="4" w:space="0" w:color="auto"/>
              <w:bottom w:val="single" w:sz="4" w:space="0" w:color="auto"/>
              <w:right w:val="single" w:sz="4" w:space="0" w:color="auto"/>
            </w:tcBorders>
          </w:tcPr>
          <w:p w14:paraId="6551D9B3"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r>
      <w:tr w:rsidR="00B24B98" w:rsidRPr="00B6751D" w14:paraId="6C31FF14" w14:textId="77777777" w:rsidTr="00A94054">
        <w:trPr>
          <w:trHeight w:val="290"/>
        </w:trPr>
        <w:tc>
          <w:tcPr>
            <w:tcW w:w="3397" w:type="dxa"/>
            <w:tcBorders>
              <w:top w:val="nil"/>
              <w:left w:val="single" w:sz="4" w:space="0" w:color="auto"/>
              <w:bottom w:val="single" w:sz="4" w:space="0" w:color="auto"/>
              <w:right w:val="single" w:sz="4" w:space="0" w:color="auto"/>
            </w:tcBorders>
            <w:shd w:val="clear" w:color="auto" w:fill="auto"/>
            <w:vAlign w:val="bottom"/>
            <w:hideMark/>
          </w:tcPr>
          <w:p w14:paraId="42915A07" w14:textId="77777777" w:rsidR="00B24B98" w:rsidRPr="00B6751D" w:rsidRDefault="00B24B98" w:rsidP="00A94054">
            <w:pPr>
              <w:spacing w:after="0" w:line="240" w:lineRule="auto"/>
              <w:rPr>
                <w:rFonts w:ascii="Calibri" w:eastAsia="Times New Roman" w:hAnsi="Calibri" w:cs="Calibri"/>
                <w:color w:val="000000"/>
                <w:lang w:eastAsia="en-GB"/>
              </w:rPr>
            </w:pPr>
            <w:r w:rsidRPr="00B6751D">
              <w:rPr>
                <w:rFonts w:ascii="Calibri" w:eastAsia="Times New Roman" w:hAnsi="Calibri" w:cs="Calibri"/>
                <w:color w:val="000000"/>
                <w:lang w:eastAsia="en-GB"/>
              </w:rPr>
              <w:t>dyspepsia</w:t>
            </w:r>
          </w:p>
        </w:tc>
        <w:tc>
          <w:tcPr>
            <w:tcW w:w="1391" w:type="dxa"/>
            <w:tcBorders>
              <w:top w:val="nil"/>
              <w:left w:val="nil"/>
              <w:bottom w:val="single" w:sz="4" w:space="0" w:color="auto"/>
              <w:right w:val="single" w:sz="4" w:space="0" w:color="auto"/>
            </w:tcBorders>
            <w:shd w:val="clear" w:color="auto" w:fill="auto"/>
            <w:noWrap/>
            <w:vAlign w:val="bottom"/>
            <w:hideMark/>
          </w:tcPr>
          <w:p w14:paraId="5D37A7BE" w14:textId="77777777" w:rsidR="00B24B98" w:rsidRPr="00B6751D" w:rsidRDefault="00B24B98" w:rsidP="00A94054">
            <w:pPr>
              <w:spacing w:after="0" w:line="240" w:lineRule="auto"/>
              <w:jc w:val="right"/>
              <w:rPr>
                <w:rFonts w:ascii="Calibri" w:eastAsia="Times New Roman" w:hAnsi="Calibri" w:cs="Calibri"/>
                <w:color w:val="000000"/>
                <w:lang w:eastAsia="en-GB"/>
              </w:rPr>
            </w:pPr>
            <w:r w:rsidRPr="00B6751D">
              <w:rPr>
                <w:rFonts w:ascii="Calibri" w:eastAsia="Times New Roman" w:hAnsi="Calibri" w:cs="Calibri"/>
                <w:color w:val="000000"/>
                <w:lang w:eastAsia="en-GB"/>
              </w:rPr>
              <w:t>2</w:t>
            </w:r>
          </w:p>
        </w:tc>
        <w:tc>
          <w:tcPr>
            <w:tcW w:w="2437" w:type="dxa"/>
            <w:tcBorders>
              <w:top w:val="single" w:sz="4" w:space="0" w:color="auto"/>
              <w:left w:val="nil"/>
              <w:bottom w:val="single" w:sz="4" w:space="0" w:color="auto"/>
              <w:right w:val="single" w:sz="4" w:space="0" w:color="auto"/>
            </w:tcBorders>
          </w:tcPr>
          <w:p w14:paraId="3B2AFEC3"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c>
          <w:tcPr>
            <w:tcW w:w="2329" w:type="dxa"/>
            <w:tcBorders>
              <w:top w:val="nil"/>
              <w:left w:val="single" w:sz="4" w:space="0" w:color="auto"/>
              <w:bottom w:val="single" w:sz="4" w:space="0" w:color="auto"/>
              <w:right w:val="single" w:sz="4" w:space="0" w:color="auto"/>
            </w:tcBorders>
          </w:tcPr>
          <w:p w14:paraId="7B7C5767"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r>
      <w:tr w:rsidR="00B24B98" w:rsidRPr="00B6751D" w14:paraId="5AF7762F" w14:textId="77777777" w:rsidTr="00A94054">
        <w:trPr>
          <w:trHeight w:val="290"/>
        </w:trPr>
        <w:tc>
          <w:tcPr>
            <w:tcW w:w="3397" w:type="dxa"/>
            <w:tcBorders>
              <w:top w:val="nil"/>
              <w:left w:val="single" w:sz="4" w:space="0" w:color="auto"/>
              <w:bottom w:val="single" w:sz="4" w:space="0" w:color="auto"/>
              <w:right w:val="single" w:sz="4" w:space="0" w:color="auto"/>
            </w:tcBorders>
            <w:shd w:val="clear" w:color="auto" w:fill="auto"/>
            <w:vAlign w:val="bottom"/>
            <w:hideMark/>
          </w:tcPr>
          <w:p w14:paraId="55139B6C" w14:textId="77777777" w:rsidR="00B24B98" w:rsidRPr="00B6751D" w:rsidRDefault="00B24B98" w:rsidP="00A94054">
            <w:pPr>
              <w:spacing w:after="0" w:line="240" w:lineRule="auto"/>
              <w:rPr>
                <w:rFonts w:ascii="Calibri" w:eastAsia="Times New Roman" w:hAnsi="Calibri" w:cs="Calibri"/>
                <w:color w:val="000000"/>
                <w:lang w:eastAsia="en-GB"/>
              </w:rPr>
            </w:pPr>
            <w:r w:rsidRPr="00B6751D">
              <w:rPr>
                <w:rFonts w:ascii="Calibri" w:eastAsia="Times New Roman" w:hAnsi="Calibri" w:cs="Calibri"/>
                <w:color w:val="000000"/>
                <w:lang w:eastAsia="en-GB"/>
              </w:rPr>
              <w:t>elevated vanc level</w:t>
            </w:r>
          </w:p>
        </w:tc>
        <w:tc>
          <w:tcPr>
            <w:tcW w:w="1391" w:type="dxa"/>
            <w:tcBorders>
              <w:top w:val="nil"/>
              <w:left w:val="nil"/>
              <w:bottom w:val="single" w:sz="4" w:space="0" w:color="auto"/>
              <w:right w:val="single" w:sz="4" w:space="0" w:color="auto"/>
            </w:tcBorders>
            <w:shd w:val="clear" w:color="auto" w:fill="auto"/>
            <w:noWrap/>
            <w:vAlign w:val="bottom"/>
            <w:hideMark/>
          </w:tcPr>
          <w:p w14:paraId="6C3E737F" w14:textId="77777777" w:rsidR="00B24B98" w:rsidRPr="00B6751D" w:rsidRDefault="00B24B98" w:rsidP="00A94054">
            <w:pPr>
              <w:spacing w:after="0" w:line="240" w:lineRule="auto"/>
              <w:jc w:val="right"/>
              <w:rPr>
                <w:rFonts w:ascii="Calibri" w:eastAsia="Times New Roman" w:hAnsi="Calibri" w:cs="Calibri"/>
                <w:color w:val="000000"/>
                <w:lang w:eastAsia="en-GB"/>
              </w:rPr>
            </w:pPr>
            <w:r w:rsidRPr="00B6751D">
              <w:rPr>
                <w:rFonts w:ascii="Calibri" w:eastAsia="Times New Roman" w:hAnsi="Calibri" w:cs="Calibri"/>
                <w:color w:val="000000"/>
                <w:lang w:eastAsia="en-GB"/>
              </w:rPr>
              <w:t>2</w:t>
            </w:r>
          </w:p>
        </w:tc>
        <w:tc>
          <w:tcPr>
            <w:tcW w:w="2437" w:type="dxa"/>
            <w:tcBorders>
              <w:top w:val="single" w:sz="4" w:space="0" w:color="auto"/>
              <w:left w:val="nil"/>
              <w:bottom w:val="single" w:sz="4" w:space="0" w:color="auto"/>
              <w:right w:val="single" w:sz="4" w:space="0" w:color="auto"/>
            </w:tcBorders>
          </w:tcPr>
          <w:p w14:paraId="32E1B33E"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c>
          <w:tcPr>
            <w:tcW w:w="2329" w:type="dxa"/>
            <w:tcBorders>
              <w:top w:val="nil"/>
              <w:left w:val="single" w:sz="4" w:space="0" w:color="auto"/>
              <w:bottom w:val="single" w:sz="4" w:space="0" w:color="auto"/>
              <w:right w:val="single" w:sz="4" w:space="0" w:color="auto"/>
            </w:tcBorders>
          </w:tcPr>
          <w:p w14:paraId="17A61EC7"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r>
      <w:tr w:rsidR="00B24B98" w:rsidRPr="00B6751D" w14:paraId="5BFBBA61" w14:textId="77777777" w:rsidTr="00A94054">
        <w:trPr>
          <w:trHeight w:val="290"/>
        </w:trPr>
        <w:tc>
          <w:tcPr>
            <w:tcW w:w="3397" w:type="dxa"/>
            <w:tcBorders>
              <w:top w:val="nil"/>
              <w:left w:val="single" w:sz="4" w:space="0" w:color="auto"/>
              <w:bottom w:val="single" w:sz="4" w:space="0" w:color="auto"/>
              <w:right w:val="single" w:sz="4" w:space="0" w:color="auto"/>
            </w:tcBorders>
            <w:shd w:val="clear" w:color="auto" w:fill="auto"/>
            <w:vAlign w:val="bottom"/>
            <w:hideMark/>
          </w:tcPr>
          <w:p w14:paraId="627DC443" w14:textId="77777777" w:rsidR="00B24B98" w:rsidRPr="00B6751D" w:rsidRDefault="00B24B98" w:rsidP="00A94054">
            <w:pPr>
              <w:spacing w:after="0" w:line="240" w:lineRule="auto"/>
              <w:rPr>
                <w:rFonts w:ascii="Calibri" w:eastAsia="Times New Roman" w:hAnsi="Calibri" w:cs="Calibri"/>
                <w:color w:val="000000"/>
                <w:lang w:eastAsia="en-GB"/>
              </w:rPr>
            </w:pPr>
            <w:r w:rsidRPr="00B6751D">
              <w:rPr>
                <w:rFonts w:ascii="Calibri" w:eastAsia="Times New Roman" w:hAnsi="Calibri" w:cs="Calibri"/>
                <w:color w:val="000000"/>
                <w:lang w:eastAsia="en-GB"/>
              </w:rPr>
              <w:t>fracture</w:t>
            </w:r>
          </w:p>
        </w:tc>
        <w:tc>
          <w:tcPr>
            <w:tcW w:w="1391" w:type="dxa"/>
            <w:tcBorders>
              <w:top w:val="nil"/>
              <w:left w:val="nil"/>
              <w:bottom w:val="single" w:sz="4" w:space="0" w:color="auto"/>
              <w:right w:val="single" w:sz="4" w:space="0" w:color="auto"/>
            </w:tcBorders>
            <w:shd w:val="clear" w:color="auto" w:fill="auto"/>
            <w:noWrap/>
            <w:vAlign w:val="bottom"/>
            <w:hideMark/>
          </w:tcPr>
          <w:p w14:paraId="0DDF1A5B" w14:textId="77777777" w:rsidR="00B24B98" w:rsidRPr="00B6751D" w:rsidRDefault="00B24B98" w:rsidP="00A94054">
            <w:pPr>
              <w:spacing w:after="0" w:line="240" w:lineRule="auto"/>
              <w:jc w:val="right"/>
              <w:rPr>
                <w:rFonts w:ascii="Calibri" w:eastAsia="Times New Roman" w:hAnsi="Calibri" w:cs="Calibri"/>
                <w:color w:val="000000"/>
                <w:lang w:eastAsia="en-GB"/>
              </w:rPr>
            </w:pPr>
            <w:r w:rsidRPr="00B6751D">
              <w:rPr>
                <w:rFonts w:ascii="Calibri" w:eastAsia="Times New Roman" w:hAnsi="Calibri" w:cs="Calibri"/>
                <w:color w:val="000000"/>
                <w:lang w:eastAsia="en-GB"/>
              </w:rPr>
              <w:t>2</w:t>
            </w:r>
          </w:p>
        </w:tc>
        <w:tc>
          <w:tcPr>
            <w:tcW w:w="2437" w:type="dxa"/>
            <w:tcBorders>
              <w:top w:val="single" w:sz="4" w:space="0" w:color="auto"/>
              <w:left w:val="nil"/>
              <w:bottom w:val="single" w:sz="4" w:space="0" w:color="auto"/>
              <w:right w:val="single" w:sz="4" w:space="0" w:color="auto"/>
            </w:tcBorders>
          </w:tcPr>
          <w:p w14:paraId="4302CAA2"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c>
          <w:tcPr>
            <w:tcW w:w="2329" w:type="dxa"/>
            <w:tcBorders>
              <w:top w:val="nil"/>
              <w:left w:val="single" w:sz="4" w:space="0" w:color="auto"/>
              <w:bottom w:val="single" w:sz="4" w:space="0" w:color="auto"/>
              <w:right w:val="single" w:sz="4" w:space="0" w:color="auto"/>
            </w:tcBorders>
          </w:tcPr>
          <w:p w14:paraId="5D247DD2"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r>
      <w:tr w:rsidR="00B24B98" w:rsidRPr="00B6751D" w14:paraId="2043D191" w14:textId="77777777" w:rsidTr="00A94054">
        <w:trPr>
          <w:trHeight w:val="290"/>
        </w:trPr>
        <w:tc>
          <w:tcPr>
            <w:tcW w:w="3397" w:type="dxa"/>
            <w:tcBorders>
              <w:top w:val="nil"/>
              <w:left w:val="single" w:sz="4" w:space="0" w:color="auto"/>
              <w:bottom w:val="single" w:sz="4" w:space="0" w:color="auto"/>
              <w:right w:val="single" w:sz="4" w:space="0" w:color="auto"/>
            </w:tcBorders>
            <w:shd w:val="clear" w:color="auto" w:fill="auto"/>
            <w:vAlign w:val="bottom"/>
            <w:hideMark/>
          </w:tcPr>
          <w:p w14:paraId="6329F3F4" w14:textId="77777777" w:rsidR="00B24B98" w:rsidRPr="00B6751D" w:rsidRDefault="00B24B98" w:rsidP="00A94054">
            <w:pPr>
              <w:spacing w:after="0" w:line="240" w:lineRule="auto"/>
              <w:rPr>
                <w:rFonts w:ascii="Calibri" w:eastAsia="Times New Roman" w:hAnsi="Calibri" w:cs="Calibri"/>
                <w:color w:val="000000"/>
                <w:lang w:eastAsia="en-GB"/>
              </w:rPr>
            </w:pPr>
            <w:r w:rsidRPr="00B6751D">
              <w:rPr>
                <w:rFonts w:ascii="Calibri" w:eastAsia="Times New Roman" w:hAnsi="Calibri" w:cs="Calibri"/>
                <w:color w:val="000000"/>
                <w:lang w:eastAsia="en-GB"/>
              </w:rPr>
              <w:t>glaucoma</w:t>
            </w:r>
          </w:p>
        </w:tc>
        <w:tc>
          <w:tcPr>
            <w:tcW w:w="1391" w:type="dxa"/>
            <w:tcBorders>
              <w:top w:val="nil"/>
              <w:left w:val="nil"/>
              <w:bottom w:val="single" w:sz="4" w:space="0" w:color="auto"/>
              <w:right w:val="single" w:sz="4" w:space="0" w:color="auto"/>
            </w:tcBorders>
            <w:shd w:val="clear" w:color="auto" w:fill="auto"/>
            <w:noWrap/>
            <w:vAlign w:val="bottom"/>
            <w:hideMark/>
          </w:tcPr>
          <w:p w14:paraId="5B80B3E0" w14:textId="77777777" w:rsidR="00B24B98" w:rsidRPr="00B6751D" w:rsidRDefault="00B24B98" w:rsidP="00A94054">
            <w:pPr>
              <w:spacing w:after="0" w:line="240" w:lineRule="auto"/>
              <w:jc w:val="right"/>
              <w:rPr>
                <w:rFonts w:ascii="Calibri" w:eastAsia="Times New Roman" w:hAnsi="Calibri" w:cs="Calibri"/>
                <w:color w:val="000000"/>
                <w:lang w:eastAsia="en-GB"/>
              </w:rPr>
            </w:pPr>
            <w:r w:rsidRPr="00B6751D">
              <w:rPr>
                <w:rFonts w:ascii="Calibri" w:eastAsia="Times New Roman" w:hAnsi="Calibri" w:cs="Calibri"/>
                <w:color w:val="000000"/>
                <w:lang w:eastAsia="en-GB"/>
              </w:rPr>
              <w:t>2</w:t>
            </w:r>
          </w:p>
        </w:tc>
        <w:tc>
          <w:tcPr>
            <w:tcW w:w="2437" w:type="dxa"/>
            <w:tcBorders>
              <w:top w:val="single" w:sz="4" w:space="0" w:color="auto"/>
              <w:left w:val="nil"/>
              <w:bottom w:val="single" w:sz="4" w:space="0" w:color="auto"/>
              <w:right w:val="single" w:sz="4" w:space="0" w:color="auto"/>
            </w:tcBorders>
          </w:tcPr>
          <w:p w14:paraId="73818937"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c>
          <w:tcPr>
            <w:tcW w:w="2329" w:type="dxa"/>
            <w:tcBorders>
              <w:top w:val="nil"/>
              <w:left w:val="single" w:sz="4" w:space="0" w:color="auto"/>
              <w:bottom w:val="single" w:sz="4" w:space="0" w:color="auto"/>
              <w:right w:val="single" w:sz="4" w:space="0" w:color="auto"/>
            </w:tcBorders>
          </w:tcPr>
          <w:p w14:paraId="4B79F1F3"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r>
      <w:tr w:rsidR="00B24B98" w:rsidRPr="00B6751D" w14:paraId="7C85E6F4" w14:textId="77777777" w:rsidTr="00A94054">
        <w:trPr>
          <w:trHeight w:val="290"/>
        </w:trPr>
        <w:tc>
          <w:tcPr>
            <w:tcW w:w="3397" w:type="dxa"/>
            <w:tcBorders>
              <w:top w:val="nil"/>
              <w:left w:val="single" w:sz="4" w:space="0" w:color="auto"/>
              <w:bottom w:val="single" w:sz="4" w:space="0" w:color="auto"/>
              <w:right w:val="single" w:sz="4" w:space="0" w:color="auto"/>
            </w:tcBorders>
            <w:shd w:val="clear" w:color="auto" w:fill="auto"/>
            <w:vAlign w:val="bottom"/>
            <w:hideMark/>
          </w:tcPr>
          <w:p w14:paraId="64CB7CCB" w14:textId="77777777" w:rsidR="00B24B98" w:rsidRPr="00B6751D" w:rsidRDefault="00B24B98" w:rsidP="00A94054">
            <w:pPr>
              <w:spacing w:after="0" w:line="240" w:lineRule="auto"/>
              <w:rPr>
                <w:rFonts w:ascii="Calibri" w:eastAsia="Times New Roman" w:hAnsi="Calibri" w:cs="Calibri"/>
                <w:color w:val="000000"/>
                <w:lang w:eastAsia="en-GB"/>
              </w:rPr>
            </w:pPr>
            <w:r w:rsidRPr="00B6751D">
              <w:rPr>
                <w:rFonts w:ascii="Calibri" w:eastAsia="Times New Roman" w:hAnsi="Calibri" w:cs="Calibri"/>
                <w:color w:val="000000"/>
                <w:lang w:eastAsia="en-GB"/>
              </w:rPr>
              <w:t>hyperazotaemia</w:t>
            </w:r>
          </w:p>
        </w:tc>
        <w:tc>
          <w:tcPr>
            <w:tcW w:w="1391" w:type="dxa"/>
            <w:tcBorders>
              <w:top w:val="nil"/>
              <w:left w:val="nil"/>
              <w:bottom w:val="single" w:sz="4" w:space="0" w:color="auto"/>
              <w:right w:val="single" w:sz="4" w:space="0" w:color="auto"/>
            </w:tcBorders>
            <w:shd w:val="clear" w:color="auto" w:fill="auto"/>
            <w:noWrap/>
            <w:vAlign w:val="bottom"/>
            <w:hideMark/>
          </w:tcPr>
          <w:p w14:paraId="6D7F5EC5" w14:textId="77777777" w:rsidR="00B24B98" w:rsidRPr="00B6751D" w:rsidRDefault="00B24B98" w:rsidP="00A94054">
            <w:pPr>
              <w:spacing w:after="0" w:line="240" w:lineRule="auto"/>
              <w:jc w:val="right"/>
              <w:rPr>
                <w:rFonts w:ascii="Calibri" w:eastAsia="Times New Roman" w:hAnsi="Calibri" w:cs="Calibri"/>
                <w:color w:val="000000"/>
                <w:lang w:eastAsia="en-GB"/>
              </w:rPr>
            </w:pPr>
            <w:r w:rsidRPr="00B6751D">
              <w:rPr>
                <w:rFonts w:ascii="Calibri" w:eastAsia="Times New Roman" w:hAnsi="Calibri" w:cs="Calibri"/>
                <w:color w:val="000000"/>
                <w:lang w:eastAsia="en-GB"/>
              </w:rPr>
              <w:t>2</w:t>
            </w:r>
          </w:p>
        </w:tc>
        <w:tc>
          <w:tcPr>
            <w:tcW w:w="2437" w:type="dxa"/>
            <w:tcBorders>
              <w:top w:val="single" w:sz="4" w:space="0" w:color="auto"/>
              <w:left w:val="nil"/>
              <w:bottom w:val="single" w:sz="4" w:space="0" w:color="auto"/>
              <w:right w:val="single" w:sz="4" w:space="0" w:color="auto"/>
            </w:tcBorders>
          </w:tcPr>
          <w:p w14:paraId="4A63A267"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c>
          <w:tcPr>
            <w:tcW w:w="2329" w:type="dxa"/>
            <w:tcBorders>
              <w:top w:val="nil"/>
              <w:left w:val="single" w:sz="4" w:space="0" w:color="auto"/>
              <w:bottom w:val="single" w:sz="4" w:space="0" w:color="auto"/>
              <w:right w:val="single" w:sz="4" w:space="0" w:color="auto"/>
            </w:tcBorders>
          </w:tcPr>
          <w:p w14:paraId="6B5A268D"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r>
      <w:tr w:rsidR="00B24B98" w:rsidRPr="00B6751D" w14:paraId="05AF1F6E" w14:textId="77777777" w:rsidTr="00A94054">
        <w:trPr>
          <w:trHeight w:val="580"/>
        </w:trPr>
        <w:tc>
          <w:tcPr>
            <w:tcW w:w="3397" w:type="dxa"/>
            <w:tcBorders>
              <w:top w:val="nil"/>
              <w:left w:val="single" w:sz="4" w:space="0" w:color="auto"/>
              <w:bottom w:val="single" w:sz="4" w:space="0" w:color="auto"/>
              <w:right w:val="single" w:sz="4" w:space="0" w:color="auto"/>
            </w:tcBorders>
            <w:shd w:val="clear" w:color="auto" w:fill="auto"/>
            <w:vAlign w:val="bottom"/>
            <w:hideMark/>
          </w:tcPr>
          <w:p w14:paraId="37FA2909" w14:textId="77777777" w:rsidR="00B24B98" w:rsidRPr="00B6751D" w:rsidRDefault="00B24B98" w:rsidP="00A94054">
            <w:pPr>
              <w:spacing w:after="0" w:line="240" w:lineRule="auto"/>
              <w:rPr>
                <w:rFonts w:ascii="Calibri" w:eastAsia="Times New Roman" w:hAnsi="Calibri" w:cs="Calibri"/>
                <w:color w:val="000000"/>
                <w:lang w:eastAsia="en-GB"/>
              </w:rPr>
            </w:pPr>
            <w:r w:rsidRPr="00B6751D">
              <w:rPr>
                <w:rFonts w:ascii="Calibri" w:eastAsia="Times New Roman" w:hAnsi="Calibri" w:cs="Calibri"/>
                <w:color w:val="000000"/>
                <w:lang w:eastAsia="en-GB"/>
              </w:rPr>
              <w:t>Hypercalcaemia</w:t>
            </w:r>
          </w:p>
        </w:tc>
        <w:tc>
          <w:tcPr>
            <w:tcW w:w="1391" w:type="dxa"/>
            <w:tcBorders>
              <w:top w:val="nil"/>
              <w:left w:val="nil"/>
              <w:bottom w:val="single" w:sz="4" w:space="0" w:color="auto"/>
              <w:right w:val="single" w:sz="4" w:space="0" w:color="auto"/>
            </w:tcBorders>
            <w:shd w:val="clear" w:color="auto" w:fill="auto"/>
            <w:noWrap/>
            <w:vAlign w:val="bottom"/>
            <w:hideMark/>
          </w:tcPr>
          <w:p w14:paraId="130504A1" w14:textId="77777777" w:rsidR="00B24B98" w:rsidRPr="00B6751D" w:rsidRDefault="00B24B98" w:rsidP="00A94054">
            <w:pPr>
              <w:spacing w:after="0" w:line="240" w:lineRule="auto"/>
              <w:jc w:val="right"/>
              <w:rPr>
                <w:rFonts w:ascii="Calibri" w:eastAsia="Times New Roman" w:hAnsi="Calibri" w:cs="Calibri"/>
                <w:color w:val="000000"/>
                <w:lang w:eastAsia="en-GB"/>
              </w:rPr>
            </w:pPr>
            <w:r w:rsidRPr="00B6751D">
              <w:rPr>
                <w:rFonts w:ascii="Calibri" w:eastAsia="Times New Roman" w:hAnsi="Calibri" w:cs="Calibri"/>
                <w:color w:val="000000"/>
                <w:lang w:eastAsia="en-GB"/>
              </w:rPr>
              <w:t>2</w:t>
            </w:r>
          </w:p>
        </w:tc>
        <w:tc>
          <w:tcPr>
            <w:tcW w:w="2437" w:type="dxa"/>
            <w:tcBorders>
              <w:top w:val="single" w:sz="4" w:space="0" w:color="auto"/>
              <w:left w:val="nil"/>
              <w:bottom w:val="single" w:sz="4" w:space="0" w:color="auto"/>
              <w:right w:val="single" w:sz="4" w:space="0" w:color="auto"/>
            </w:tcBorders>
          </w:tcPr>
          <w:p w14:paraId="428F5D78"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c>
          <w:tcPr>
            <w:tcW w:w="2329" w:type="dxa"/>
            <w:tcBorders>
              <w:top w:val="nil"/>
              <w:left w:val="single" w:sz="4" w:space="0" w:color="auto"/>
              <w:bottom w:val="single" w:sz="4" w:space="0" w:color="auto"/>
              <w:right w:val="single" w:sz="4" w:space="0" w:color="auto"/>
            </w:tcBorders>
          </w:tcPr>
          <w:p w14:paraId="11019B4A"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r>
      <w:tr w:rsidR="00B24B98" w:rsidRPr="00B6751D" w14:paraId="37F92A9A" w14:textId="77777777" w:rsidTr="00A94054">
        <w:trPr>
          <w:trHeight w:val="290"/>
        </w:trPr>
        <w:tc>
          <w:tcPr>
            <w:tcW w:w="3397" w:type="dxa"/>
            <w:tcBorders>
              <w:top w:val="nil"/>
              <w:left w:val="single" w:sz="4" w:space="0" w:color="auto"/>
              <w:bottom w:val="single" w:sz="4" w:space="0" w:color="auto"/>
              <w:right w:val="single" w:sz="4" w:space="0" w:color="auto"/>
            </w:tcBorders>
            <w:shd w:val="clear" w:color="auto" w:fill="auto"/>
            <w:vAlign w:val="bottom"/>
            <w:hideMark/>
          </w:tcPr>
          <w:p w14:paraId="2A55859F" w14:textId="77777777" w:rsidR="00B24B98" w:rsidRPr="00B6751D" w:rsidRDefault="00B24B98" w:rsidP="00A94054">
            <w:pPr>
              <w:spacing w:after="0" w:line="240" w:lineRule="auto"/>
              <w:rPr>
                <w:rFonts w:ascii="Calibri" w:eastAsia="Times New Roman" w:hAnsi="Calibri" w:cs="Calibri"/>
                <w:color w:val="000000"/>
                <w:lang w:eastAsia="en-GB"/>
              </w:rPr>
            </w:pPr>
            <w:r w:rsidRPr="00B6751D">
              <w:rPr>
                <w:rFonts w:ascii="Calibri" w:eastAsia="Times New Roman" w:hAnsi="Calibri" w:cs="Calibri"/>
                <w:color w:val="000000"/>
                <w:lang w:eastAsia="en-GB"/>
              </w:rPr>
              <w:t>Hyperhidrosis</w:t>
            </w:r>
          </w:p>
        </w:tc>
        <w:tc>
          <w:tcPr>
            <w:tcW w:w="1391" w:type="dxa"/>
            <w:tcBorders>
              <w:top w:val="nil"/>
              <w:left w:val="nil"/>
              <w:bottom w:val="single" w:sz="4" w:space="0" w:color="auto"/>
              <w:right w:val="single" w:sz="4" w:space="0" w:color="auto"/>
            </w:tcBorders>
            <w:shd w:val="clear" w:color="auto" w:fill="auto"/>
            <w:noWrap/>
            <w:vAlign w:val="bottom"/>
            <w:hideMark/>
          </w:tcPr>
          <w:p w14:paraId="2DF3E341" w14:textId="77777777" w:rsidR="00B24B98" w:rsidRPr="00B6751D" w:rsidRDefault="00B24B98" w:rsidP="00A94054">
            <w:pPr>
              <w:spacing w:after="0" w:line="240" w:lineRule="auto"/>
              <w:jc w:val="right"/>
              <w:rPr>
                <w:rFonts w:ascii="Calibri" w:eastAsia="Times New Roman" w:hAnsi="Calibri" w:cs="Calibri"/>
                <w:color w:val="000000"/>
                <w:lang w:eastAsia="en-GB"/>
              </w:rPr>
            </w:pPr>
            <w:r w:rsidRPr="00B6751D">
              <w:rPr>
                <w:rFonts w:ascii="Calibri" w:eastAsia="Times New Roman" w:hAnsi="Calibri" w:cs="Calibri"/>
                <w:color w:val="000000"/>
                <w:lang w:eastAsia="en-GB"/>
              </w:rPr>
              <w:t>2</w:t>
            </w:r>
          </w:p>
        </w:tc>
        <w:tc>
          <w:tcPr>
            <w:tcW w:w="2437" w:type="dxa"/>
            <w:tcBorders>
              <w:top w:val="single" w:sz="4" w:space="0" w:color="auto"/>
              <w:left w:val="nil"/>
              <w:bottom w:val="single" w:sz="4" w:space="0" w:color="auto"/>
              <w:right w:val="single" w:sz="4" w:space="0" w:color="auto"/>
            </w:tcBorders>
          </w:tcPr>
          <w:p w14:paraId="0061FAD3"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c>
          <w:tcPr>
            <w:tcW w:w="2329" w:type="dxa"/>
            <w:tcBorders>
              <w:top w:val="nil"/>
              <w:left w:val="single" w:sz="4" w:space="0" w:color="auto"/>
              <w:bottom w:val="single" w:sz="4" w:space="0" w:color="auto"/>
              <w:right w:val="single" w:sz="4" w:space="0" w:color="auto"/>
            </w:tcBorders>
          </w:tcPr>
          <w:p w14:paraId="49E02BB2"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r>
      <w:tr w:rsidR="00B24B98" w:rsidRPr="00B6751D" w14:paraId="074E1FCF" w14:textId="77777777" w:rsidTr="00A94054">
        <w:trPr>
          <w:trHeight w:val="580"/>
        </w:trPr>
        <w:tc>
          <w:tcPr>
            <w:tcW w:w="3397" w:type="dxa"/>
            <w:tcBorders>
              <w:top w:val="nil"/>
              <w:left w:val="single" w:sz="4" w:space="0" w:color="auto"/>
              <w:bottom w:val="single" w:sz="4" w:space="0" w:color="auto"/>
              <w:right w:val="single" w:sz="4" w:space="0" w:color="auto"/>
            </w:tcBorders>
            <w:shd w:val="clear" w:color="auto" w:fill="auto"/>
            <w:vAlign w:val="bottom"/>
            <w:hideMark/>
          </w:tcPr>
          <w:p w14:paraId="6CE41D20" w14:textId="77777777" w:rsidR="00B24B98" w:rsidRPr="00B6751D" w:rsidRDefault="00B24B98" w:rsidP="00A94054">
            <w:pPr>
              <w:spacing w:after="0" w:line="240" w:lineRule="auto"/>
              <w:rPr>
                <w:rFonts w:ascii="Calibri" w:eastAsia="Times New Roman" w:hAnsi="Calibri" w:cs="Calibri"/>
                <w:color w:val="000000"/>
                <w:lang w:eastAsia="en-GB"/>
              </w:rPr>
            </w:pPr>
            <w:r w:rsidRPr="00B6751D">
              <w:rPr>
                <w:rFonts w:ascii="Calibri" w:eastAsia="Times New Roman" w:hAnsi="Calibri" w:cs="Calibri"/>
                <w:color w:val="000000"/>
                <w:lang w:eastAsia="en-GB"/>
              </w:rPr>
              <w:t>Hypernatraemia</w:t>
            </w:r>
          </w:p>
        </w:tc>
        <w:tc>
          <w:tcPr>
            <w:tcW w:w="1391" w:type="dxa"/>
            <w:tcBorders>
              <w:top w:val="nil"/>
              <w:left w:val="nil"/>
              <w:bottom w:val="single" w:sz="4" w:space="0" w:color="auto"/>
              <w:right w:val="single" w:sz="4" w:space="0" w:color="auto"/>
            </w:tcBorders>
            <w:shd w:val="clear" w:color="auto" w:fill="auto"/>
            <w:noWrap/>
            <w:vAlign w:val="bottom"/>
            <w:hideMark/>
          </w:tcPr>
          <w:p w14:paraId="063E43E6" w14:textId="77777777" w:rsidR="00B24B98" w:rsidRPr="00B6751D" w:rsidRDefault="00B24B98" w:rsidP="00A94054">
            <w:pPr>
              <w:spacing w:after="0" w:line="240" w:lineRule="auto"/>
              <w:jc w:val="right"/>
              <w:rPr>
                <w:rFonts w:ascii="Calibri" w:eastAsia="Times New Roman" w:hAnsi="Calibri" w:cs="Calibri"/>
                <w:color w:val="000000"/>
                <w:lang w:eastAsia="en-GB"/>
              </w:rPr>
            </w:pPr>
            <w:r w:rsidRPr="00B6751D">
              <w:rPr>
                <w:rFonts w:ascii="Calibri" w:eastAsia="Times New Roman" w:hAnsi="Calibri" w:cs="Calibri"/>
                <w:color w:val="000000"/>
                <w:lang w:eastAsia="en-GB"/>
              </w:rPr>
              <w:t>2</w:t>
            </w:r>
          </w:p>
        </w:tc>
        <w:tc>
          <w:tcPr>
            <w:tcW w:w="2437" w:type="dxa"/>
            <w:tcBorders>
              <w:top w:val="single" w:sz="4" w:space="0" w:color="auto"/>
              <w:left w:val="nil"/>
              <w:bottom w:val="single" w:sz="4" w:space="0" w:color="auto"/>
              <w:right w:val="single" w:sz="4" w:space="0" w:color="auto"/>
            </w:tcBorders>
          </w:tcPr>
          <w:p w14:paraId="1DBF77FE"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c>
          <w:tcPr>
            <w:tcW w:w="2329" w:type="dxa"/>
            <w:tcBorders>
              <w:top w:val="nil"/>
              <w:left w:val="single" w:sz="4" w:space="0" w:color="auto"/>
              <w:bottom w:val="single" w:sz="4" w:space="0" w:color="auto"/>
              <w:right w:val="single" w:sz="4" w:space="0" w:color="auto"/>
            </w:tcBorders>
          </w:tcPr>
          <w:p w14:paraId="556B0FE8"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r>
      <w:tr w:rsidR="00B24B98" w:rsidRPr="00B6751D" w14:paraId="6591CC5D" w14:textId="77777777" w:rsidTr="00A94054">
        <w:trPr>
          <w:trHeight w:val="290"/>
        </w:trPr>
        <w:tc>
          <w:tcPr>
            <w:tcW w:w="3397" w:type="dxa"/>
            <w:tcBorders>
              <w:top w:val="nil"/>
              <w:left w:val="single" w:sz="4" w:space="0" w:color="auto"/>
              <w:bottom w:val="single" w:sz="4" w:space="0" w:color="auto"/>
              <w:right w:val="single" w:sz="4" w:space="0" w:color="auto"/>
            </w:tcBorders>
            <w:shd w:val="clear" w:color="auto" w:fill="auto"/>
            <w:vAlign w:val="bottom"/>
            <w:hideMark/>
          </w:tcPr>
          <w:p w14:paraId="5B270A96" w14:textId="77777777" w:rsidR="00B24B98" w:rsidRPr="00B6751D" w:rsidRDefault="00B24B98" w:rsidP="00A94054">
            <w:pPr>
              <w:spacing w:after="0" w:line="240" w:lineRule="auto"/>
              <w:rPr>
                <w:rFonts w:ascii="Calibri" w:eastAsia="Times New Roman" w:hAnsi="Calibri" w:cs="Calibri"/>
                <w:color w:val="000000"/>
                <w:lang w:eastAsia="en-GB"/>
              </w:rPr>
            </w:pPr>
            <w:r w:rsidRPr="00B6751D">
              <w:rPr>
                <w:rFonts w:ascii="Calibri" w:eastAsia="Times New Roman" w:hAnsi="Calibri" w:cs="Calibri"/>
                <w:color w:val="000000"/>
                <w:lang w:eastAsia="en-GB"/>
              </w:rPr>
              <w:t>left ventricular failure / overload</w:t>
            </w:r>
          </w:p>
        </w:tc>
        <w:tc>
          <w:tcPr>
            <w:tcW w:w="1391" w:type="dxa"/>
            <w:tcBorders>
              <w:top w:val="nil"/>
              <w:left w:val="nil"/>
              <w:bottom w:val="single" w:sz="4" w:space="0" w:color="auto"/>
              <w:right w:val="single" w:sz="4" w:space="0" w:color="auto"/>
            </w:tcBorders>
            <w:shd w:val="clear" w:color="auto" w:fill="auto"/>
            <w:noWrap/>
            <w:vAlign w:val="bottom"/>
            <w:hideMark/>
          </w:tcPr>
          <w:p w14:paraId="03CDF3CA" w14:textId="77777777" w:rsidR="00B24B98" w:rsidRPr="00B6751D" w:rsidRDefault="00B24B98" w:rsidP="00A94054">
            <w:pPr>
              <w:spacing w:after="0" w:line="240" w:lineRule="auto"/>
              <w:jc w:val="right"/>
              <w:rPr>
                <w:rFonts w:ascii="Calibri" w:eastAsia="Times New Roman" w:hAnsi="Calibri" w:cs="Calibri"/>
                <w:color w:val="000000"/>
                <w:lang w:eastAsia="en-GB"/>
              </w:rPr>
            </w:pPr>
            <w:r w:rsidRPr="00B6751D">
              <w:rPr>
                <w:rFonts w:ascii="Calibri" w:eastAsia="Times New Roman" w:hAnsi="Calibri" w:cs="Calibri"/>
                <w:color w:val="000000"/>
                <w:lang w:eastAsia="en-GB"/>
              </w:rPr>
              <w:t>2</w:t>
            </w:r>
          </w:p>
        </w:tc>
        <w:tc>
          <w:tcPr>
            <w:tcW w:w="2437" w:type="dxa"/>
            <w:tcBorders>
              <w:top w:val="single" w:sz="4" w:space="0" w:color="auto"/>
              <w:left w:val="nil"/>
              <w:bottom w:val="single" w:sz="4" w:space="0" w:color="auto"/>
              <w:right w:val="single" w:sz="4" w:space="0" w:color="auto"/>
            </w:tcBorders>
          </w:tcPr>
          <w:p w14:paraId="0F0E30F3"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c>
          <w:tcPr>
            <w:tcW w:w="2329" w:type="dxa"/>
            <w:tcBorders>
              <w:top w:val="nil"/>
              <w:left w:val="single" w:sz="4" w:space="0" w:color="auto"/>
              <w:bottom w:val="single" w:sz="4" w:space="0" w:color="auto"/>
              <w:right w:val="single" w:sz="4" w:space="0" w:color="auto"/>
            </w:tcBorders>
          </w:tcPr>
          <w:p w14:paraId="2E78A655"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r>
      <w:tr w:rsidR="00B24B98" w:rsidRPr="00B6751D" w14:paraId="4CA0E2C1" w14:textId="77777777" w:rsidTr="00A94054">
        <w:trPr>
          <w:trHeight w:val="290"/>
        </w:trPr>
        <w:tc>
          <w:tcPr>
            <w:tcW w:w="3397" w:type="dxa"/>
            <w:tcBorders>
              <w:top w:val="nil"/>
              <w:left w:val="single" w:sz="4" w:space="0" w:color="auto"/>
              <w:bottom w:val="single" w:sz="4" w:space="0" w:color="auto"/>
              <w:right w:val="single" w:sz="4" w:space="0" w:color="auto"/>
            </w:tcBorders>
            <w:shd w:val="clear" w:color="auto" w:fill="auto"/>
            <w:noWrap/>
            <w:vAlign w:val="bottom"/>
            <w:hideMark/>
          </w:tcPr>
          <w:p w14:paraId="255A028C" w14:textId="77777777" w:rsidR="00B24B98" w:rsidRPr="00B6751D" w:rsidRDefault="00B24B98" w:rsidP="00A94054">
            <w:pPr>
              <w:spacing w:after="0" w:line="240" w:lineRule="auto"/>
              <w:rPr>
                <w:rFonts w:ascii="Calibri" w:eastAsia="Times New Roman" w:hAnsi="Calibri" w:cs="Calibri"/>
                <w:color w:val="000000"/>
                <w:lang w:eastAsia="en-GB"/>
              </w:rPr>
            </w:pPr>
            <w:r w:rsidRPr="00B6751D">
              <w:rPr>
                <w:rFonts w:ascii="Calibri" w:eastAsia="Times New Roman" w:hAnsi="Calibri" w:cs="Calibri"/>
                <w:color w:val="000000"/>
                <w:lang w:eastAsia="en-GB"/>
              </w:rPr>
              <w:t>neutropenia</w:t>
            </w:r>
          </w:p>
        </w:tc>
        <w:tc>
          <w:tcPr>
            <w:tcW w:w="1391" w:type="dxa"/>
            <w:tcBorders>
              <w:top w:val="nil"/>
              <w:left w:val="nil"/>
              <w:bottom w:val="single" w:sz="4" w:space="0" w:color="auto"/>
              <w:right w:val="single" w:sz="4" w:space="0" w:color="auto"/>
            </w:tcBorders>
            <w:shd w:val="clear" w:color="auto" w:fill="auto"/>
            <w:noWrap/>
            <w:vAlign w:val="bottom"/>
            <w:hideMark/>
          </w:tcPr>
          <w:p w14:paraId="09208AE1" w14:textId="77777777" w:rsidR="00B24B98" w:rsidRPr="00B6751D" w:rsidRDefault="00B24B98" w:rsidP="00A94054">
            <w:pPr>
              <w:spacing w:after="0" w:line="240" w:lineRule="auto"/>
              <w:jc w:val="right"/>
              <w:rPr>
                <w:rFonts w:ascii="Calibri" w:eastAsia="Times New Roman" w:hAnsi="Calibri" w:cs="Calibri"/>
                <w:color w:val="000000"/>
                <w:lang w:eastAsia="en-GB"/>
              </w:rPr>
            </w:pPr>
            <w:r w:rsidRPr="00B6751D">
              <w:rPr>
                <w:rFonts w:ascii="Calibri" w:eastAsia="Times New Roman" w:hAnsi="Calibri" w:cs="Calibri"/>
                <w:color w:val="000000"/>
                <w:lang w:eastAsia="en-GB"/>
              </w:rPr>
              <w:t>2</w:t>
            </w:r>
          </w:p>
        </w:tc>
        <w:tc>
          <w:tcPr>
            <w:tcW w:w="2437" w:type="dxa"/>
            <w:tcBorders>
              <w:top w:val="single" w:sz="4" w:space="0" w:color="auto"/>
              <w:left w:val="nil"/>
              <w:bottom w:val="single" w:sz="4" w:space="0" w:color="auto"/>
              <w:right w:val="single" w:sz="4" w:space="0" w:color="auto"/>
            </w:tcBorders>
          </w:tcPr>
          <w:p w14:paraId="407CA14C"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c>
          <w:tcPr>
            <w:tcW w:w="2329" w:type="dxa"/>
            <w:tcBorders>
              <w:top w:val="nil"/>
              <w:left w:val="single" w:sz="4" w:space="0" w:color="auto"/>
              <w:bottom w:val="single" w:sz="4" w:space="0" w:color="auto"/>
              <w:right w:val="single" w:sz="4" w:space="0" w:color="auto"/>
            </w:tcBorders>
          </w:tcPr>
          <w:p w14:paraId="0844A5FF"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r>
      <w:tr w:rsidR="00B24B98" w:rsidRPr="00B6751D" w14:paraId="12A4C350" w14:textId="77777777" w:rsidTr="00A94054">
        <w:trPr>
          <w:trHeight w:val="290"/>
        </w:trPr>
        <w:tc>
          <w:tcPr>
            <w:tcW w:w="3397" w:type="dxa"/>
            <w:tcBorders>
              <w:top w:val="nil"/>
              <w:left w:val="single" w:sz="4" w:space="0" w:color="auto"/>
              <w:bottom w:val="single" w:sz="4" w:space="0" w:color="auto"/>
              <w:right w:val="single" w:sz="4" w:space="0" w:color="auto"/>
            </w:tcBorders>
            <w:shd w:val="clear" w:color="auto" w:fill="auto"/>
            <w:vAlign w:val="bottom"/>
            <w:hideMark/>
          </w:tcPr>
          <w:p w14:paraId="5327EC04" w14:textId="77777777" w:rsidR="00B24B98" w:rsidRPr="00B6751D" w:rsidRDefault="00B24B98" w:rsidP="00A94054">
            <w:pPr>
              <w:spacing w:after="0" w:line="240" w:lineRule="auto"/>
              <w:rPr>
                <w:rFonts w:ascii="Calibri" w:eastAsia="Times New Roman" w:hAnsi="Calibri" w:cs="Calibri"/>
                <w:color w:val="000000"/>
                <w:lang w:eastAsia="en-GB"/>
              </w:rPr>
            </w:pPr>
            <w:r w:rsidRPr="00B6751D">
              <w:rPr>
                <w:rFonts w:ascii="Calibri" w:eastAsia="Times New Roman" w:hAnsi="Calibri" w:cs="Calibri"/>
                <w:color w:val="000000"/>
                <w:lang w:eastAsia="en-GB"/>
              </w:rPr>
              <w:t>prurigo</w:t>
            </w:r>
          </w:p>
        </w:tc>
        <w:tc>
          <w:tcPr>
            <w:tcW w:w="1391" w:type="dxa"/>
            <w:tcBorders>
              <w:top w:val="nil"/>
              <w:left w:val="nil"/>
              <w:bottom w:val="single" w:sz="4" w:space="0" w:color="auto"/>
              <w:right w:val="single" w:sz="4" w:space="0" w:color="auto"/>
            </w:tcBorders>
            <w:shd w:val="clear" w:color="auto" w:fill="auto"/>
            <w:noWrap/>
            <w:vAlign w:val="bottom"/>
            <w:hideMark/>
          </w:tcPr>
          <w:p w14:paraId="3D96307E" w14:textId="77777777" w:rsidR="00B24B98" w:rsidRPr="00B6751D" w:rsidRDefault="00B24B98" w:rsidP="00A94054">
            <w:pPr>
              <w:spacing w:after="0" w:line="240" w:lineRule="auto"/>
              <w:jc w:val="right"/>
              <w:rPr>
                <w:rFonts w:ascii="Calibri" w:eastAsia="Times New Roman" w:hAnsi="Calibri" w:cs="Calibri"/>
                <w:color w:val="000000"/>
                <w:lang w:eastAsia="en-GB"/>
              </w:rPr>
            </w:pPr>
            <w:r w:rsidRPr="00B6751D">
              <w:rPr>
                <w:rFonts w:ascii="Calibri" w:eastAsia="Times New Roman" w:hAnsi="Calibri" w:cs="Calibri"/>
                <w:color w:val="000000"/>
                <w:lang w:eastAsia="en-GB"/>
              </w:rPr>
              <w:t>2</w:t>
            </w:r>
          </w:p>
        </w:tc>
        <w:tc>
          <w:tcPr>
            <w:tcW w:w="2437" w:type="dxa"/>
            <w:tcBorders>
              <w:top w:val="single" w:sz="4" w:space="0" w:color="auto"/>
              <w:left w:val="nil"/>
              <w:bottom w:val="single" w:sz="4" w:space="0" w:color="auto"/>
              <w:right w:val="single" w:sz="4" w:space="0" w:color="auto"/>
            </w:tcBorders>
          </w:tcPr>
          <w:p w14:paraId="45CF1FD9"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c>
          <w:tcPr>
            <w:tcW w:w="2329" w:type="dxa"/>
            <w:tcBorders>
              <w:top w:val="nil"/>
              <w:left w:val="single" w:sz="4" w:space="0" w:color="auto"/>
              <w:bottom w:val="single" w:sz="4" w:space="0" w:color="auto"/>
              <w:right w:val="single" w:sz="4" w:space="0" w:color="auto"/>
            </w:tcBorders>
          </w:tcPr>
          <w:p w14:paraId="3605AC03"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r>
      <w:tr w:rsidR="00B24B98" w:rsidRPr="00B6751D" w14:paraId="6D47275B" w14:textId="77777777" w:rsidTr="00A94054">
        <w:trPr>
          <w:trHeight w:val="290"/>
        </w:trPr>
        <w:tc>
          <w:tcPr>
            <w:tcW w:w="3397" w:type="dxa"/>
            <w:tcBorders>
              <w:top w:val="nil"/>
              <w:left w:val="single" w:sz="4" w:space="0" w:color="auto"/>
              <w:bottom w:val="single" w:sz="4" w:space="0" w:color="auto"/>
              <w:right w:val="single" w:sz="4" w:space="0" w:color="auto"/>
            </w:tcBorders>
            <w:shd w:val="clear" w:color="auto" w:fill="auto"/>
            <w:vAlign w:val="bottom"/>
            <w:hideMark/>
          </w:tcPr>
          <w:p w14:paraId="55E58DD5" w14:textId="77777777" w:rsidR="00B24B98" w:rsidRPr="00B6751D" w:rsidRDefault="00B24B98" w:rsidP="00A94054">
            <w:pPr>
              <w:spacing w:after="0" w:line="240" w:lineRule="auto"/>
              <w:rPr>
                <w:rFonts w:ascii="Calibri" w:eastAsia="Times New Roman" w:hAnsi="Calibri" w:cs="Calibri"/>
                <w:color w:val="000000"/>
                <w:lang w:eastAsia="en-GB"/>
              </w:rPr>
            </w:pPr>
            <w:r w:rsidRPr="00B6751D">
              <w:rPr>
                <w:rFonts w:ascii="Calibri" w:eastAsia="Times New Roman" w:hAnsi="Calibri" w:cs="Calibri"/>
                <w:color w:val="000000"/>
                <w:lang w:eastAsia="en-GB"/>
              </w:rPr>
              <w:t>steroid diabetes</w:t>
            </w:r>
          </w:p>
        </w:tc>
        <w:tc>
          <w:tcPr>
            <w:tcW w:w="1391" w:type="dxa"/>
            <w:tcBorders>
              <w:top w:val="nil"/>
              <w:left w:val="nil"/>
              <w:bottom w:val="single" w:sz="4" w:space="0" w:color="auto"/>
              <w:right w:val="single" w:sz="4" w:space="0" w:color="auto"/>
            </w:tcBorders>
            <w:shd w:val="clear" w:color="auto" w:fill="auto"/>
            <w:noWrap/>
            <w:vAlign w:val="bottom"/>
            <w:hideMark/>
          </w:tcPr>
          <w:p w14:paraId="627EFFF1" w14:textId="77777777" w:rsidR="00B24B98" w:rsidRPr="00B6751D" w:rsidRDefault="00B24B98" w:rsidP="00A94054">
            <w:pPr>
              <w:spacing w:after="0" w:line="240" w:lineRule="auto"/>
              <w:jc w:val="right"/>
              <w:rPr>
                <w:rFonts w:ascii="Calibri" w:eastAsia="Times New Roman" w:hAnsi="Calibri" w:cs="Calibri"/>
                <w:color w:val="000000"/>
                <w:lang w:eastAsia="en-GB"/>
              </w:rPr>
            </w:pPr>
            <w:r w:rsidRPr="00B6751D">
              <w:rPr>
                <w:rFonts w:ascii="Calibri" w:eastAsia="Times New Roman" w:hAnsi="Calibri" w:cs="Calibri"/>
                <w:color w:val="000000"/>
                <w:lang w:eastAsia="en-GB"/>
              </w:rPr>
              <w:t>2</w:t>
            </w:r>
          </w:p>
        </w:tc>
        <w:tc>
          <w:tcPr>
            <w:tcW w:w="2437" w:type="dxa"/>
            <w:tcBorders>
              <w:top w:val="single" w:sz="4" w:space="0" w:color="auto"/>
              <w:left w:val="nil"/>
              <w:bottom w:val="single" w:sz="4" w:space="0" w:color="auto"/>
              <w:right w:val="single" w:sz="4" w:space="0" w:color="auto"/>
            </w:tcBorders>
          </w:tcPr>
          <w:p w14:paraId="3D2D990B"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c>
          <w:tcPr>
            <w:tcW w:w="2329" w:type="dxa"/>
            <w:tcBorders>
              <w:top w:val="nil"/>
              <w:left w:val="single" w:sz="4" w:space="0" w:color="auto"/>
              <w:bottom w:val="single" w:sz="4" w:space="0" w:color="auto"/>
              <w:right w:val="single" w:sz="4" w:space="0" w:color="auto"/>
            </w:tcBorders>
          </w:tcPr>
          <w:p w14:paraId="19550255"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r>
      <w:tr w:rsidR="00B24B98" w:rsidRPr="00B6751D" w14:paraId="66D12B66" w14:textId="77777777" w:rsidTr="00A94054">
        <w:trPr>
          <w:trHeight w:val="290"/>
        </w:trPr>
        <w:tc>
          <w:tcPr>
            <w:tcW w:w="3397" w:type="dxa"/>
            <w:tcBorders>
              <w:top w:val="nil"/>
              <w:left w:val="single" w:sz="4" w:space="0" w:color="auto"/>
              <w:bottom w:val="single" w:sz="4" w:space="0" w:color="auto"/>
              <w:right w:val="single" w:sz="4" w:space="0" w:color="auto"/>
            </w:tcBorders>
            <w:shd w:val="clear" w:color="auto" w:fill="auto"/>
            <w:vAlign w:val="bottom"/>
            <w:hideMark/>
          </w:tcPr>
          <w:p w14:paraId="5DBDBBE7" w14:textId="77777777" w:rsidR="00B24B98" w:rsidRPr="00B6751D" w:rsidRDefault="00B24B98" w:rsidP="00A94054">
            <w:pPr>
              <w:spacing w:after="0" w:line="240" w:lineRule="auto"/>
              <w:rPr>
                <w:rFonts w:ascii="Calibri" w:eastAsia="Times New Roman" w:hAnsi="Calibri" w:cs="Calibri"/>
                <w:color w:val="000000"/>
                <w:lang w:eastAsia="en-GB"/>
              </w:rPr>
            </w:pPr>
            <w:r w:rsidRPr="00B6751D">
              <w:rPr>
                <w:rFonts w:ascii="Calibri" w:eastAsia="Times New Roman" w:hAnsi="Calibri" w:cs="Calibri"/>
                <w:color w:val="000000"/>
                <w:lang w:eastAsia="en-GB"/>
              </w:rPr>
              <w:t>tremor</w:t>
            </w:r>
          </w:p>
        </w:tc>
        <w:tc>
          <w:tcPr>
            <w:tcW w:w="1391" w:type="dxa"/>
            <w:tcBorders>
              <w:top w:val="nil"/>
              <w:left w:val="nil"/>
              <w:bottom w:val="single" w:sz="4" w:space="0" w:color="auto"/>
              <w:right w:val="single" w:sz="4" w:space="0" w:color="auto"/>
            </w:tcBorders>
            <w:shd w:val="clear" w:color="auto" w:fill="auto"/>
            <w:noWrap/>
            <w:vAlign w:val="bottom"/>
            <w:hideMark/>
          </w:tcPr>
          <w:p w14:paraId="52DE71D8" w14:textId="77777777" w:rsidR="00B24B98" w:rsidRPr="00B6751D" w:rsidRDefault="00B24B98" w:rsidP="00A94054">
            <w:pPr>
              <w:spacing w:after="0" w:line="240" w:lineRule="auto"/>
              <w:jc w:val="right"/>
              <w:rPr>
                <w:rFonts w:ascii="Calibri" w:eastAsia="Times New Roman" w:hAnsi="Calibri" w:cs="Calibri"/>
                <w:color w:val="000000"/>
                <w:lang w:eastAsia="en-GB"/>
              </w:rPr>
            </w:pPr>
            <w:r w:rsidRPr="00B6751D">
              <w:rPr>
                <w:rFonts w:ascii="Calibri" w:eastAsia="Times New Roman" w:hAnsi="Calibri" w:cs="Calibri"/>
                <w:color w:val="000000"/>
                <w:lang w:eastAsia="en-GB"/>
              </w:rPr>
              <w:t>2</w:t>
            </w:r>
          </w:p>
        </w:tc>
        <w:tc>
          <w:tcPr>
            <w:tcW w:w="2437" w:type="dxa"/>
            <w:tcBorders>
              <w:top w:val="single" w:sz="4" w:space="0" w:color="auto"/>
              <w:left w:val="nil"/>
              <w:bottom w:val="single" w:sz="4" w:space="0" w:color="auto"/>
              <w:right w:val="single" w:sz="4" w:space="0" w:color="auto"/>
            </w:tcBorders>
          </w:tcPr>
          <w:p w14:paraId="3AC25F02"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c>
          <w:tcPr>
            <w:tcW w:w="2329" w:type="dxa"/>
            <w:tcBorders>
              <w:top w:val="nil"/>
              <w:left w:val="single" w:sz="4" w:space="0" w:color="auto"/>
              <w:bottom w:val="single" w:sz="4" w:space="0" w:color="auto"/>
              <w:right w:val="single" w:sz="4" w:space="0" w:color="auto"/>
            </w:tcBorders>
          </w:tcPr>
          <w:p w14:paraId="4DC3AD03"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r>
      <w:tr w:rsidR="00B24B98" w:rsidRPr="00B6751D" w14:paraId="017BBABA" w14:textId="77777777" w:rsidTr="00A94054">
        <w:trPr>
          <w:trHeight w:val="290"/>
        </w:trPr>
        <w:tc>
          <w:tcPr>
            <w:tcW w:w="3397" w:type="dxa"/>
            <w:tcBorders>
              <w:top w:val="nil"/>
              <w:left w:val="single" w:sz="4" w:space="0" w:color="auto"/>
              <w:bottom w:val="single" w:sz="4" w:space="0" w:color="auto"/>
              <w:right w:val="single" w:sz="4" w:space="0" w:color="auto"/>
            </w:tcBorders>
            <w:shd w:val="clear" w:color="auto" w:fill="auto"/>
            <w:noWrap/>
            <w:vAlign w:val="bottom"/>
            <w:hideMark/>
          </w:tcPr>
          <w:p w14:paraId="017AC3B2" w14:textId="77777777" w:rsidR="00B24B98" w:rsidRPr="00B6751D" w:rsidRDefault="00B24B98" w:rsidP="00A94054">
            <w:pPr>
              <w:spacing w:after="0" w:line="240" w:lineRule="auto"/>
              <w:rPr>
                <w:rFonts w:ascii="Calibri" w:eastAsia="Times New Roman" w:hAnsi="Calibri" w:cs="Calibri"/>
                <w:color w:val="000000"/>
                <w:lang w:eastAsia="en-GB"/>
              </w:rPr>
            </w:pPr>
            <w:r w:rsidRPr="00B6751D">
              <w:rPr>
                <w:rFonts w:ascii="Calibri" w:eastAsia="Times New Roman" w:hAnsi="Calibri" w:cs="Calibri"/>
                <w:color w:val="000000"/>
                <w:lang w:eastAsia="en-GB"/>
              </w:rPr>
              <w:t>vomiting and diarrhea-</w:t>
            </w:r>
          </w:p>
        </w:tc>
        <w:tc>
          <w:tcPr>
            <w:tcW w:w="1391" w:type="dxa"/>
            <w:tcBorders>
              <w:top w:val="nil"/>
              <w:left w:val="nil"/>
              <w:bottom w:val="single" w:sz="4" w:space="0" w:color="auto"/>
              <w:right w:val="single" w:sz="4" w:space="0" w:color="auto"/>
            </w:tcBorders>
            <w:shd w:val="clear" w:color="auto" w:fill="auto"/>
            <w:noWrap/>
            <w:vAlign w:val="bottom"/>
            <w:hideMark/>
          </w:tcPr>
          <w:p w14:paraId="5DB23CC2" w14:textId="77777777" w:rsidR="00B24B98" w:rsidRPr="00B6751D" w:rsidRDefault="00B24B98" w:rsidP="00A94054">
            <w:pPr>
              <w:spacing w:after="0" w:line="240" w:lineRule="auto"/>
              <w:jc w:val="right"/>
              <w:rPr>
                <w:rFonts w:ascii="Calibri" w:eastAsia="Times New Roman" w:hAnsi="Calibri" w:cs="Calibri"/>
                <w:color w:val="000000"/>
                <w:lang w:eastAsia="en-GB"/>
              </w:rPr>
            </w:pPr>
            <w:r w:rsidRPr="00B6751D">
              <w:rPr>
                <w:rFonts w:ascii="Calibri" w:eastAsia="Times New Roman" w:hAnsi="Calibri" w:cs="Calibri"/>
                <w:color w:val="000000"/>
                <w:lang w:eastAsia="en-GB"/>
              </w:rPr>
              <w:t>2</w:t>
            </w:r>
          </w:p>
        </w:tc>
        <w:tc>
          <w:tcPr>
            <w:tcW w:w="2437" w:type="dxa"/>
            <w:tcBorders>
              <w:top w:val="single" w:sz="4" w:space="0" w:color="auto"/>
              <w:left w:val="nil"/>
              <w:bottom w:val="single" w:sz="4" w:space="0" w:color="auto"/>
              <w:right w:val="single" w:sz="4" w:space="0" w:color="auto"/>
            </w:tcBorders>
          </w:tcPr>
          <w:p w14:paraId="19D1C80E"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c>
          <w:tcPr>
            <w:tcW w:w="2329" w:type="dxa"/>
            <w:tcBorders>
              <w:top w:val="nil"/>
              <w:left w:val="single" w:sz="4" w:space="0" w:color="auto"/>
              <w:bottom w:val="single" w:sz="4" w:space="0" w:color="auto"/>
              <w:right w:val="single" w:sz="4" w:space="0" w:color="auto"/>
            </w:tcBorders>
          </w:tcPr>
          <w:p w14:paraId="1FF47D68"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r>
      <w:tr w:rsidR="00B24B98" w:rsidRPr="00B6751D" w14:paraId="0F8F7278" w14:textId="77777777" w:rsidTr="00A94054">
        <w:trPr>
          <w:trHeight w:val="290"/>
        </w:trPr>
        <w:tc>
          <w:tcPr>
            <w:tcW w:w="3397" w:type="dxa"/>
            <w:tcBorders>
              <w:top w:val="nil"/>
              <w:left w:val="single" w:sz="4" w:space="0" w:color="auto"/>
              <w:bottom w:val="single" w:sz="4" w:space="0" w:color="auto"/>
              <w:right w:val="single" w:sz="4" w:space="0" w:color="auto"/>
            </w:tcBorders>
            <w:shd w:val="clear" w:color="auto" w:fill="auto"/>
            <w:noWrap/>
            <w:vAlign w:val="bottom"/>
            <w:hideMark/>
          </w:tcPr>
          <w:p w14:paraId="02B7310A" w14:textId="77777777" w:rsidR="00B24B98" w:rsidRPr="00B6751D" w:rsidRDefault="00B24B98" w:rsidP="00A94054">
            <w:pPr>
              <w:spacing w:after="0" w:line="240" w:lineRule="auto"/>
              <w:rPr>
                <w:rFonts w:ascii="Calibri" w:eastAsia="Times New Roman" w:hAnsi="Calibri" w:cs="Calibri"/>
                <w:color w:val="000000"/>
                <w:lang w:eastAsia="en-GB"/>
              </w:rPr>
            </w:pPr>
            <w:r w:rsidRPr="00B6751D">
              <w:rPr>
                <w:rFonts w:ascii="Calibri" w:eastAsia="Times New Roman" w:hAnsi="Calibri" w:cs="Calibri"/>
                <w:color w:val="000000"/>
                <w:lang w:eastAsia="en-GB"/>
              </w:rPr>
              <w:t>oral ulcers</w:t>
            </w:r>
          </w:p>
        </w:tc>
        <w:tc>
          <w:tcPr>
            <w:tcW w:w="1391" w:type="dxa"/>
            <w:tcBorders>
              <w:top w:val="nil"/>
              <w:left w:val="nil"/>
              <w:bottom w:val="single" w:sz="4" w:space="0" w:color="auto"/>
              <w:right w:val="single" w:sz="4" w:space="0" w:color="auto"/>
            </w:tcBorders>
            <w:shd w:val="clear" w:color="auto" w:fill="auto"/>
            <w:noWrap/>
            <w:vAlign w:val="bottom"/>
            <w:hideMark/>
          </w:tcPr>
          <w:p w14:paraId="48E0FA57" w14:textId="77777777" w:rsidR="00B24B98" w:rsidRPr="00B6751D" w:rsidRDefault="00B24B98" w:rsidP="00A94054">
            <w:pPr>
              <w:spacing w:after="0" w:line="240" w:lineRule="auto"/>
              <w:jc w:val="right"/>
              <w:rPr>
                <w:rFonts w:ascii="Calibri" w:eastAsia="Times New Roman" w:hAnsi="Calibri" w:cs="Calibri"/>
                <w:color w:val="000000"/>
                <w:lang w:eastAsia="en-GB"/>
              </w:rPr>
            </w:pPr>
            <w:r w:rsidRPr="00B6751D">
              <w:rPr>
                <w:rFonts w:ascii="Calibri" w:eastAsia="Times New Roman" w:hAnsi="Calibri" w:cs="Calibri"/>
                <w:color w:val="000000"/>
                <w:lang w:eastAsia="en-GB"/>
              </w:rPr>
              <w:t>2</w:t>
            </w:r>
          </w:p>
        </w:tc>
        <w:tc>
          <w:tcPr>
            <w:tcW w:w="2437" w:type="dxa"/>
            <w:tcBorders>
              <w:top w:val="single" w:sz="4" w:space="0" w:color="auto"/>
              <w:left w:val="nil"/>
              <w:bottom w:val="single" w:sz="4" w:space="0" w:color="auto"/>
              <w:right w:val="single" w:sz="4" w:space="0" w:color="auto"/>
            </w:tcBorders>
          </w:tcPr>
          <w:p w14:paraId="79F0B94C"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c>
          <w:tcPr>
            <w:tcW w:w="2329" w:type="dxa"/>
            <w:tcBorders>
              <w:top w:val="nil"/>
              <w:left w:val="single" w:sz="4" w:space="0" w:color="auto"/>
              <w:bottom w:val="single" w:sz="4" w:space="0" w:color="auto"/>
              <w:right w:val="single" w:sz="4" w:space="0" w:color="auto"/>
            </w:tcBorders>
          </w:tcPr>
          <w:p w14:paraId="23019A76"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r>
      <w:tr w:rsidR="00B24B98" w:rsidRPr="00B6751D" w14:paraId="6362BAF0" w14:textId="77777777" w:rsidTr="00A94054">
        <w:trPr>
          <w:trHeight w:val="290"/>
        </w:trPr>
        <w:tc>
          <w:tcPr>
            <w:tcW w:w="3397" w:type="dxa"/>
            <w:tcBorders>
              <w:top w:val="nil"/>
              <w:left w:val="single" w:sz="4" w:space="0" w:color="auto"/>
              <w:bottom w:val="single" w:sz="4" w:space="0" w:color="auto"/>
              <w:right w:val="single" w:sz="4" w:space="0" w:color="auto"/>
            </w:tcBorders>
            <w:shd w:val="clear" w:color="auto" w:fill="auto"/>
            <w:vAlign w:val="bottom"/>
            <w:hideMark/>
          </w:tcPr>
          <w:p w14:paraId="0D2711A8" w14:textId="77777777" w:rsidR="00B24B98" w:rsidRPr="00B6751D" w:rsidRDefault="00B24B98" w:rsidP="00A94054">
            <w:pPr>
              <w:spacing w:after="0" w:line="240" w:lineRule="auto"/>
              <w:rPr>
                <w:rFonts w:ascii="Calibri" w:eastAsia="Times New Roman" w:hAnsi="Calibri" w:cs="Calibri"/>
                <w:color w:val="000000"/>
                <w:lang w:eastAsia="en-GB"/>
              </w:rPr>
            </w:pPr>
            <w:r w:rsidRPr="00B6751D">
              <w:rPr>
                <w:rFonts w:ascii="Calibri" w:eastAsia="Times New Roman" w:hAnsi="Calibri" w:cs="Calibri"/>
                <w:color w:val="000000"/>
                <w:lang w:eastAsia="en-GB"/>
              </w:rPr>
              <w:t>asthenia</w:t>
            </w:r>
          </w:p>
        </w:tc>
        <w:tc>
          <w:tcPr>
            <w:tcW w:w="1391" w:type="dxa"/>
            <w:tcBorders>
              <w:top w:val="nil"/>
              <w:left w:val="nil"/>
              <w:bottom w:val="single" w:sz="4" w:space="0" w:color="auto"/>
              <w:right w:val="single" w:sz="4" w:space="0" w:color="auto"/>
            </w:tcBorders>
            <w:shd w:val="clear" w:color="auto" w:fill="auto"/>
            <w:noWrap/>
            <w:vAlign w:val="bottom"/>
            <w:hideMark/>
          </w:tcPr>
          <w:p w14:paraId="2EDD0604" w14:textId="77777777" w:rsidR="00B24B98" w:rsidRPr="00B6751D" w:rsidRDefault="00B24B98" w:rsidP="00A94054">
            <w:pPr>
              <w:spacing w:after="0" w:line="240" w:lineRule="auto"/>
              <w:jc w:val="right"/>
              <w:rPr>
                <w:rFonts w:ascii="Calibri" w:eastAsia="Times New Roman" w:hAnsi="Calibri" w:cs="Calibri"/>
                <w:color w:val="000000"/>
                <w:lang w:eastAsia="en-GB"/>
              </w:rPr>
            </w:pPr>
            <w:r w:rsidRPr="00B6751D">
              <w:rPr>
                <w:rFonts w:ascii="Calibri" w:eastAsia="Times New Roman" w:hAnsi="Calibri" w:cs="Calibri"/>
                <w:color w:val="000000"/>
                <w:lang w:eastAsia="en-GB"/>
              </w:rPr>
              <w:t>1</w:t>
            </w:r>
          </w:p>
        </w:tc>
        <w:tc>
          <w:tcPr>
            <w:tcW w:w="2437" w:type="dxa"/>
            <w:tcBorders>
              <w:top w:val="single" w:sz="4" w:space="0" w:color="auto"/>
              <w:left w:val="nil"/>
              <w:bottom w:val="single" w:sz="4" w:space="0" w:color="auto"/>
              <w:right w:val="single" w:sz="4" w:space="0" w:color="auto"/>
            </w:tcBorders>
          </w:tcPr>
          <w:p w14:paraId="703C92D4"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c>
          <w:tcPr>
            <w:tcW w:w="2329" w:type="dxa"/>
            <w:tcBorders>
              <w:top w:val="nil"/>
              <w:left w:val="single" w:sz="4" w:space="0" w:color="auto"/>
              <w:bottom w:val="single" w:sz="4" w:space="0" w:color="auto"/>
              <w:right w:val="single" w:sz="4" w:space="0" w:color="auto"/>
            </w:tcBorders>
          </w:tcPr>
          <w:p w14:paraId="5ED9C4E0"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r>
      <w:tr w:rsidR="00B24B98" w:rsidRPr="00B6751D" w14:paraId="1ECA320D" w14:textId="77777777" w:rsidTr="00A94054">
        <w:trPr>
          <w:trHeight w:val="290"/>
        </w:trPr>
        <w:tc>
          <w:tcPr>
            <w:tcW w:w="3397" w:type="dxa"/>
            <w:tcBorders>
              <w:top w:val="nil"/>
              <w:left w:val="single" w:sz="4" w:space="0" w:color="auto"/>
              <w:bottom w:val="single" w:sz="4" w:space="0" w:color="auto"/>
              <w:right w:val="single" w:sz="4" w:space="0" w:color="auto"/>
            </w:tcBorders>
            <w:shd w:val="clear" w:color="auto" w:fill="auto"/>
            <w:vAlign w:val="bottom"/>
            <w:hideMark/>
          </w:tcPr>
          <w:p w14:paraId="5DAA62CD" w14:textId="77777777" w:rsidR="00B24B98" w:rsidRPr="00B6751D" w:rsidRDefault="00B24B98" w:rsidP="00A94054">
            <w:pPr>
              <w:spacing w:after="0" w:line="240" w:lineRule="auto"/>
              <w:rPr>
                <w:rFonts w:ascii="Calibri" w:eastAsia="Times New Roman" w:hAnsi="Calibri" w:cs="Calibri"/>
                <w:color w:val="000000"/>
                <w:lang w:eastAsia="en-GB"/>
              </w:rPr>
            </w:pPr>
            <w:r w:rsidRPr="00B6751D">
              <w:rPr>
                <w:rFonts w:ascii="Calibri" w:eastAsia="Times New Roman" w:hAnsi="Calibri" w:cs="Calibri"/>
                <w:color w:val="000000"/>
                <w:lang w:eastAsia="en-GB"/>
              </w:rPr>
              <w:t>ataxia</w:t>
            </w:r>
          </w:p>
        </w:tc>
        <w:tc>
          <w:tcPr>
            <w:tcW w:w="1391" w:type="dxa"/>
            <w:tcBorders>
              <w:top w:val="nil"/>
              <w:left w:val="nil"/>
              <w:bottom w:val="single" w:sz="4" w:space="0" w:color="auto"/>
              <w:right w:val="single" w:sz="4" w:space="0" w:color="auto"/>
            </w:tcBorders>
            <w:shd w:val="clear" w:color="auto" w:fill="auto"/>
            <w:noWrap/>
            <w:vAlign w:val="bottom"/>
            <w:hideMark/>
          </w:tcPr>
          <w:p w14:paraId="6C9D359A" w14:textId="77777777" w:rsidR="00B24B98" w:rsidRPr="00B6751D" w:rsidRDefault="00B24B98" w:rsidP="00A94054">
            <w:pPr>
              <w:spacing w:after="0" w:line="240" w:lineRule="auto"/>
              <w:jc w:val="right"/>
              <w:rPr>
                <w:rFonts w:ascii="Calibri" w:eastAsia="Times New Roman" w:hAnsi="Calibri" w:cs="Calibri"/>
                <w:color w:val="000000"/>
                <w:lang w:eastAsia="en-GB"/>
              </w:rPr>
            </w:pPr>
            <w:r w:rsidRPr="00B6751D">
              <w:rPr>
                <w:rFonts w:ascii="Calibri" w:eastAsia="Times New Roman" w:hAnsi="Calibri" w:cs="Calibri"/>
                <w:color w:val="000000"/>
                <w:lang w:eastAsia="en-GB"/>
              </w:rPr>
              <w:t>1</w:t>
            </w:r>
          </w:p>
        </w:tc>
        <w:tc>
          <w:tcPr>
            <w:tcW w:w="2437" w:type="dxa"/>
            <w:tcBorders>
              <w:top w:val="single" w:sz="4" w:space="0" w:color="auto"/>
              <w:left w:val="nil"/>
              <w:bottom w:val="single" w:sz="4" w:space="0" w:color="auto"/>
              <w:right w:val="single" w:sz="4" w:space="0" w:color="auto"/>
            </w:tcBorders>
          </w:tcPr>
          <w:p w14:paraId="661E3AB2"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c>
          <w:tcPr>
            <w:tcW w:w="2329" w:type="dxa"/>
            <w:tcBorders>
              <w:top w:val="nil"/>
              <w:left w:val="single" w:sz="4" w:space="0" w:color="auto"/>
              <w:bottom w:val="single" w:sz="4" w:space="0" w:color="auto"/>
              <w:right w:val="single" w:sz="4" w:space="0" w:color="auto"/>
            </w:tcBorders>
          </w:tcPr>
          <w:p w14:paraId="30BEB248"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r>
      <w:tr w:rsidR="00B24B98" w:rsidRPr="00B6751D" w14:paraId="353FF221" w14:textId="77777777" w:rsidTr="00A94054">
        <w:trPr>
          <w:trHeight w:val="290"/>
        </w:trPr>
        <w:tc>
          <w:tcPr>
            <w:tcW w:w="3397" w:type="dxa"/>
            <w:tcBorders>
              <w:top w:val="nil"/>
              <w:left w:val="single" w:sz="4" w:space="0" w:color="auto"/>
              <w:bottom w:val="single" w:sz="4" w:space="0" w:color="auto"/>
              <w:right w:val="single" w:sz="4" w:space="0" w:color="auto"/>
            </w:tcBorders>
            <w:shd w:val="clear" w:color="auto" w:fill="auto"/>
            <w:vAlign w:val="bottom"/>
            <w:hideMark/>
          </w:tcPr>
          <w:p w14:paraId="4DEED18C" w14:textId="77777777" w:rsidR="00B24B98" w:rsidRPr="00B6751D" w:rsidRDefault="00B24B98" w:rsidP="00A94054">
            <w:pPr>
              <w:spacing w:after="0" w:line="240" w:lineRule="auto"/>
              <w:rPr>
                <w:rFonts w:ascii="Calibri" w:eastAsia="Times New Roman" w:hAnsi="Calibri" w:cs="Calibri"/>
                <w:color w:val="000000"/>
                <w:lang w:eastAsia="en-GB"/>
              </w:rPr>
            </w:pPr>
            <w:r w:rsidRPr="00B6751D">
              <w:rPr>
                <w:rFonts w:ascii="Calibri" w:eastAsia="Times New Roman" w:hAnsi="Calibri" w:cs="Calibri"/>
                <w:color w:val="000000"/>
                <w:lang w:eastAsia="en-GB"/>
              </w:rPr>
              <w:t>bronchospasm</w:t>
            </w:r>
          </w:p>
        </w:tc>
        <w:tc>
          <w:tcPr>
            <w:tcW w:w="1391" w:type="dxa"/>
            <w:tcBorders>
              <w:top w:val="nil"/>
              <w:left w:val="nil"/>
              <w:bottom w:val="single" w:sz="4" w:space="0" w:color="auto"/>
              <w:right w:val="single" w:sz="4" w:space="0" w:color="auto"/>
            </w:tcBorders>
            <w:shd w:val="clear" w:color="auto" w:fill="auto"/>
            <w:noWrap/>
            <w:vAlign w:val="bottom"/>
            <w:hideMark/>
          </w:tcPr>
          <w:p w14:paraId="5DE9C3DF" w14:textId="77777777" w:rsidR="00B24B98" w:rsidRPr="00B6751D" w:rsidRDefault="00B24B98" w:rsidP="00A94054">
            <w:pPr>
              <w:spacing w:after="0" w:line="240" w:lineRule="auto"/>
              <w:jc w:val="right"/>
              <w:rPr>
                <w:rFonts w:ascii="Calibri" w:eastAsia="Times New Roman" w:hAnsi="Calibri" w:cs="Calibri"/>
                <w:color w:val="000000"/>
                <w:lang w:eastAsia="en-GB"/>
              </w:rPr>
            </w:pPr>
            <w:r w:rsidRPr="00B6751D">
              <w:rPr>
                <w:rFonts w:ascii="Calibri" w:eastAsia="Times New Roman" w:hAnsi="Calibri" w:cs="Calibri"/>
                <w:color w:val="000000"/>
                <w:lang w:eastAsia="en-GB"/>
              </w:rPr>
              <w:t>1</w:t>
            </w:r>
          </w:p>
        </w:tc>
        <w:tc>
          <w:tcPr>
            <w:tcW w:w="2437" w:type="dxa"/>
            <w:tcBorders>
              <w:top w:val="single" w:sz="4" w:space="0" w:color="auto"/>
              <w:left w:val="nil"/>
              <w:bottom w:val="single" w:sz="4" w:space="0" w:color="auto"/>
              <w:right w:val="single" w:sz="4" w:space="0" w:color="auto"/>
            </w:tcBorders>
          </w:tcPr>
          <w:p w14:paraId="6C0C1DF2"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c>
          <w:tcPr>
            <w:tcW w:w="2329" w:type="dxa"/>
            <w:tcBorders>
              <w:top w:val="nil"/>
              <w:left w:val="single" w:sz="4" w:space="0" w:color="auto"/>
              <w:bottom w:val="single" w:sz="4" w:space="0" w:color="auto"/>
              <w:right w:val="single" w:sz="4" w:space="0" w:color="auto"/>
            </w:tcBorders>
          </w:tcPr>
          <w:p w14:paraId="27E5C83F"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r>
      <w:tr w:rsidR="00B24B98" w:rsidRPr="00B6751D" w14:paraId="7F5095D6" w14:textId="77777777" w:rsidTr="00A94054">
        <w:trPr>
          <w:trHeight w:val="290"/>
        </w:trPr>
        <w:tc>
          <w:tcPr>
            <w:tcW w:w="3397" w:type="dxa"/>
            <w:tcBorders>
              <w:top w:val="nil"/>
              <w:left w:val="single" w:sz="4" w:space="0" w:color="auto"/>
              <w:bottom w:val="single" w:sz="4" w:space="0" w:color="auto"/>
              <w:right w:val="single" w:sz="4" w:space="0" w:color="auto"/>
            </w:tcBorders>
            <w:shd w:val="clear" w:color="auto" w:fill="auto"/>
            <w:vAlign w:val="bottom"/>
            <w:hideMark/>
          </w:tcPr>
          <w:p w14:paraId="71389C46" w14:textId="77777777" w:rsidR="00B24B98" w:rsidRPr="00B6751D" w:rsidRDefault="00B24B98" w:rsidP="00A94054">
            <w:pPr>
              <w:spacing w:after="0" w:line="240" w:lineRule="auto"/>
              <w:rPr>
                <w:rFonts w:ascii="Calibri" w:eastAsia="Times New Roman" w:hAnsi="Calibri" w:cs="Calibri"/>
                <w:color w:val="000000"/>
                <w:lang w:eastAsia="en-GB"/>
              </w:rPr>
            </w:pPr>
            <w:r w:rsidRPr="00B6751D">
              <w:rPr>
                <w:rFonts w:ascii="Calibri" w:eastAsia="Times New Roman" w:hAnsi="Calibri" w:cs="Calibri"/>
                <w:color w:val="000000"/>
                <w:lang w:eastAsia="en-GB"/>
              </w:rPr>
              <w:t>cataract</w:t>
            </w:r>
          </w:p>
        </w:tc>
        <w:tc>
          <w:tcPr>
            <w:tcW w:w="1391" w:type="dxa"/>
            <w:tcBorders>
              <w:top w:val="nil"/>
              <w:left w:val="nil"/>
              <w:bottom w:val="single" w:sz="4" w:space="0" w:color="auto"/>
              <w:right w:val="single" w:sz="4" w:space="0" w:color="auto"/>
            </w:tcBorders>
            <w:shd w:val="clear" w:color="auto" w:fill="auto"/>
            <w:noWrap/>
            <w:vAlign w:val="bottom"/>
            <w:hideMark/>
          </w:tcPr>
          <w:p w14:paraId="23D023CA" w14:textId="77777777" w:rsidR="00B24B98" w:rsidRPr="00B6751D" w:rsidRDefault="00B24B98" w:rsidP="00A94054">
            <w:pPr>
              <w:spacing w:after="0" w:line="240" w:lineRule="auto"/>
              <w:jc w:val="right"/>
              <w:rPr>
                <w:rFonts w:ascii="Calibri" w:eastAsia="Times New Roman" w:hAnsi="Calibri" w:cs="Calibri"/>
                <w:color w:val="000000"/>
                <w:lang w:eastAsia="en-GB"/>
              </w:rPr>
            </w:pPr>
            <w:r w:rsidRPr="00B6751D">
              <w:rPr>
                <w:rFonts w:ascii="Calibri" w:eastAsia="Times New Roman" w:hAnsi="Calibri" w:cs="Calibri"/>
                <w:color w:val="000000"/>
                <w:lang w:eastAsia="en-GB"/>
              </w:rPr>
              <w:t>1</w:t>
            </w:r>
          </w:p>
        </w:tc>
        <w:tc>
          <w:tcPr>
            <w:tcW w:w="2437" w:type="dxa"/>
            <w:tcBorders>
              <w:top w:val="single" w:sz="4" w:space="0" w:color="auto"/>
              <w:left w:val="nil"/>
              <w:bottom w:val="single" w:sz="4" w:space="0" w:color="auto"/>
              <w:right w:val="single" w:sz="4" w:space="0" w:color="auto"/>
            </w:tcBorders>
          </w:tcPr>
          <w:p w14:paraId="02F9C7B1"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c>
          <w:tcPr>
            <w:tcW w:w="2329" w:type="dxa"/>
            <w:tcBorders>
              <w:top w:val="nil"/>
              <w:left w:val="single" w:sz="4" w:space="0" w:color="auto"/>
              <w:bottom w:val="single" w:sz="4" w:space="0" w:color="auto"/>
              <w:right w:val="single" w:sz="4" w:space="0" w:color="auto"/>
            </w:tcBorders>
          </w:tcPr>
          <w:p w14:paraId="436E7378"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r>
      <w:tr w:rsidR="00B24B98" w:rsidRPr="00B6751D" w14:paraId="0357E27D" w14:textId="77777777" w:rsidTr="00A94054">
        <w:trPr>
          <w:trHeight w:val="290"/>
        </w:trPr>
        <w:tc>
          <w:tcPr>
            <w:tcW w:w="3397" w:type="dxa"/>
            <w:tcBorders>
              <w:top w:val="nil"/>
              <w:left w:val="single" w:sz="4" w:space="0" w:color="auto"/>
              <w:bottom w:val="single" w:sz="4" w:space="0" w:color="auto"/>
              <w:right w:val="single" w:sz="4" w:space="0" w:color="auto"/>
            </w:tcBorders>
            <w:shd w:val="clear" w:color="auto" w:fill="auto"/>
            <w:noWrap/>
            <w:vAlign w:val="bottom"/>
            <w:hideMark/>
          </w:tcPr>
          <w:p w14:paraId="51914261" w14:textId="77777777" w:rsidR="00B24B98" w:rsidRPr="00B6751D" w:rsidRDefault="00B24B98" w:rsidP="00A94054">
            <w:pPr>
              <w:spacing w:after="0" w:line="240" w:lineRule="auto"/>
              <w:rPr>
                <w:rFonts w:ascii="Calibri" w:eastAsia="Times New Roman" w:hAnsi="Calibri" w:cs="Calibri"/>
                <w:color w:val="000000"/>
                <w:lang w:eastAsia="en-GB"/>
              </w:rPr>
            </w:pPr>
            <w:r w:rsidRPr="00B6751D">
              <w:rPr>
                <w:rFonts w:ascii="Calibri" w:eastAsia="Times New Roman" w:hAnsi="Calibri" w:cs="Calibri"/>
                <w:color w:val="000000"/>
                <w:lang w:eastAsia="en-GB"/>
              </w:rPr>
              <w:t>chest pain</w:t>
            </w:r>
          </w:p>
        </w:tc>
        <w:tc>
          <w:tcPr>
            <w:tcW w:w="1391" w:type="dxa"/>
            <w:tcBorders>
              <w:top w:val="nil"/>
              <w:left w:val="nil"/>
              <w:bottom w:val="single" w:sz="4" w:space="0" w:color="auto"/>
              <w:right w:val="single" w:sz="4" w:space="0" w:color="auto"/>
            </w:tcBorders>
            <w:shd w:val="clear" w:color="auto" w:fill="auto"/>
            <w:noWrap/>
            <w:vAlign w:val="bottom"/>
            <w:hideMark/>
          </w:tcPr>
          <w:p w14:paraId="4CAC6505" w14:textId="77777777" w:rsidR="00B24B98" w:rsidRPr="00B6751D" w:rsidRDefault="00B24B98" w:rsidP="00A94054">
            <w:pPr>
              <w:spacing w:after="0" w:line="240" w:lineRule="auto"/>
              <w:jc w:val="right"/>
              <w:rPr>
                <w:rFonts w:ascii="Calibri" w:eastAsia="Times New Roman" w:hAnsi="Calibri" w:cs="Calibri"/>
                <w:color w:val="000000"/>
                <w:lang w:eastAsia="en-GB"/>
              </w:rPr>
            </w:pPr>
            <w:r w:rsidRPr="00B6751D">
              <w:rPr>
                <w:rFonts w:ascii="Calibri" w:eastAsia="Times New Roman" w:hAnsi="Calibri" w:cs="Calibri"/>
                <w:color w:val="000000"/>
                <w:lang w:eastAsia="en-GB"/>
              </w:rPr>
              <w:t>1</w:t>
            </w:r>
          </w:p>
        </w:tc>
        <w:tc>
          <w:tcPr>
            <w:tcW w:w="2437" w:type="dxa"/>
            <w:tcBorders>
              <w:top w:val="single" w:sz="4" w:space="0" w:color="auto"/>
              <w:left w:val="nil"/>
              <w:bottom w:val="single" w:sz="4" w:space="0" w:color="auto"/>
              <w:right w:val="single" w:sz="4" w:space="0" w:color="auto"/>
            </w:tcBorders>
          </w:tcPr>
          <w:p w14:paraId="0CAC4C3B"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c>
          <w:tcPr>
            <w:tcW w:w="2329" w:type="dxa"/>
            <w:tcBorders>
              <w:top w:val="nil"/>
              <w:left w:val="single" w:sz="4" w:space="0" w:color="auto"/>
              <w:bottom w:val="single" w:sz="4" w:space="0" w:color="auto"/>
              <w:right w:val="single" w:sz="4" w:space="0" w:color="auto"/>
            </w:tcBorders>
          </w:tcPr>
          <w:p w14:paraId="48F53DFD"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r>
      <w:tr w:rsidR="00B24B98" w:rsidRPr="00B6751D" w14:paraId="736554B8" w14:textId="77777777" w:rsidTr="00A94054">
        <w:trPr>
          <w:trHeight w:val="290"/>
        </w:trPr>
        <w:tc>
          <w:tcPr>
            <w:tcW w:w="3397" w:type="dxa"/>
            <w:tcBorders>
              <w:top w:val="nil"/>
              <w:left w:val="single" w:sz="4" w:space="0" w:color="auto"/>
              <w:bottom w:val="single" w:sz="4" w:space="0" w:color="auto"/>
              <w:right w:val="single" w:sz="4" w:space="0" w:color="auto"/>
            </w:tcBorders>
            <w:shd w:val="clear" w:color="auto" w:fill="auto"/>
            <w:noWrap/>
            <w:vAlign w:val="bottom"/>
            <w:hideMark/>
          </w:tcPr>
          <w:p w14:paraId="5D988523" w14:textId="77777777" w:rsidR="00B24B98" w:rsidRPr="00B6751D" w:rsidRDefault="00B24B98" w:rsidP="00A94054">
            <w:pPr>
              <w:spacing w:after="0" w:line="240" w:lineRule="auto"/>
              <w:rPr>
                <w:rFonts w:ascii="Calibri" w:eastAsia="Times New Roman" w:hAnsi="Calibri" w:cs="Calibri"/>
                <w:color w:val="000000"/>
                <w:lang w:eastAsia="en-GB"/>
              </w:rPr>
            </w:pPr>
            <w:r w:rsidRPr="00B6751D">
              <w:rPr>
                <w:rFonts w:ascii="Calibri" w:eastAsia="Times New Roman" w:hAnsi="Calibri" w:cs="Calibri"/>
                <w:color w:val="000000"/>
                <w:lang w:eastAsia="en-GB"/>
              </w:rPr>
              <w:t>chills, fever, emesis, tachycardia, abdominal pain</w:t>
            </w:r>
          </w:p>
        </w:tc>
        <w:tc>
          <w:tcPr>
            <w:tcW w:w="1391" w:type="dxa"/>
            <w:tcBorders>
              <w:top w:val="nil"/>
              <w:left w:val="nil"/>
              <w:bottom w:val="single" w:sz="4" w:space="0" w:color="auto"/>
              <w:right w:val="single" w:sz="4" w:space="0" w:color="auto"/>
            </w:tcBorders>
            <w:shd w:val="clear" w:color="auto" w:fill="auto"/>
            <w:noWrap/>
            <w:vAlign w:val="bottom"/>
            <w:hideMark/>
          </w:tcPr>
          <w:p w14:paraId="3F38849A" w14:textId="77777777" w:rsidR="00B24B98" w:rsidRPr="00B6751D" w:rsidRDefault="00B24B98" w:rsidP="00A94054">
            <w:pPr>
              <w:spacing w:after="0" w:line="240" w:lineRule="auto"/>
              <w:jc w:val="right"/>
              <w:rPr>
                <w:rFonts w:ascii="Calibri" w:eastAsia="Times New Roman" w:hAnsi="Calibri" w:cs="Calibri"/>
                <w:color w:val="000000"/>
                <w:lang w:eastAsia="en-GB"/>
              </w:rPr>
            </w:pPr>
            <w:r w:rsidRPr="00B6751D">
              <w:rPr>
                <w:rFonts w:ascii="Calibri" w:eastAsia="Times New Roman" w:hAnsi="Calibri" w:cs="Calibri"/>
                <w:color w:val="000000"/>
                <w:lang w:eastAsia="en-GB"/>
              </w:rPr>
              <w:t>1</w:t>
            </w:r>
          </w:p>
        </w:tc>
        <w:tc>
          <w:tcPr>
            <w:tcW w:w="2437" w:type="dxa"/>
            <w:tcBorders>
              <w:top w:val="single" w:sz="4" w:space="0" w:color="auto"/>
              <w:left w:val="nil"/>
              <w:bottom w:val="single" w:sz="4" w:space="0" w:color="auto"/>
              <w:right w:val="single" w:sz="4" w:space="0" w:color="auto"/>
            </w:tcBorders>
          </w:tcPr>
          <w:p w14:paraId="7643EF91"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c>
          <w:tcPr>
            <w:tcW w:w="2329" w:type="dxa"/>
            <w:tcBorders>
              <w:top w:val="nil"/>
              <w:left w:val="single" w:sz="4" w:space="0" w:color="auto"/>
              <w:bottom w:val="single" w:sz="4" w:space="0" w:color="auto"/>
              <w:right w:val="single" w:sz="4" w:space="0" w:color="auto"/>
            </w:tcBorders>
          </w:tcPr>
          <w:p w14:paraId="274A95E6"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r>
      <w:tr w:rsidR="00B24B98" w:rsidRPr="00B6751D" w14:paraId="205829F7" w14:textId="77777777" w:rsidTr="00A94054">
        <w:trPr>
          <w:trHeight w:val="290"/>
        </w:trPr>
        <w:tc>
          <w:tcPr>
            <w:tcW w:w="3397" w:type="dxa"/>
            <w:tcBorders>
              <w:top w:val="nil"/>
              <w:left w:val="single" w:sz="4" w:space="0" w:color="auto"/>
              <w:bottom w:val="single" w:sz="4" w:space="0" w:color="auto"/>
              <w:right w:val="single" w:sz="4" w:space="0" w:color="auto"/>
            </w:tcBorders>
            <w:shd w:val="clear" w:color="auto" w:fill="auto"/>
            <w:vAlign w:val="bottom"/>
            <w:hideMark/>
          </w:tcPr>
          <w:p w14:paraId="11701194" w14:textId="77777777" w:rsidR="00B24B98" w:rsidRPr="00B6751D" w:rsidRDefault="00B24B98" w:rsidP="00A94054">
            <w:pPr>
              <w:spacing w:after="0" w:line="240" w:lineRule="auto"/>
              <w:rPr>
                <w:rFonts w:ascii="Calibri" w:eastAsia="Times New Roman" w:hAnsi="Calibri" w:cs="Calibri"/>
                <w:color w:val="000000"/>
                <w:lang w:eastAsia="en-GB"/>
              </w:rPr>
            </w:pPr>
            <w:r w:rsidRPr="00B6751D">
              <w:rPr>
                <w:rFonts w:ascii="Calibri" w:eastAsia="Times New Roman" w:hAnsi="Calibri" w:cs="Calibri"/>
                <w:color w:val="000000"/>
                <w:lang w:eastAsia="en-GB"/>
              </w:rPr>
              <w:t>corneal deposits</w:t>
            </w:r>
          </w:p>
        </w:tc>
        <w:tc>
          <w:tcPr>
            <w:tcW w:w="1391" w:type="dxa"/>
            <w:tcBorders>
              <w:top w:val="nil"/>
              <w:left w:val="nil"/>
              <w:bottom w:val="single" w:sz="4" w:space="0" w:color="auto"/>
              <w:right w:val="single" w:sz="4" w:space="0" w:color="auto"/>
            </w:tcBorders>
            <w:shd w:val="clear" w:color="auto" w:fill="auto"/>
            <w:noWrap/>
            <w:vAlign w:val="bottom"/>
            <w:hideMark/>
          </w:tcPr>
          <w:p w14:paraId="135F22A0" w14:textId="77777777" w:rsidR="00B24B98" w:rsidRPr="00B6751D" w:rsidRDefault="00B24B98" w:rsidP="00A94054">
            <w:pPr>
              <w:spacing w:after="0" w:line="240" w:lineRule="auto"/>
              <w:jc w:val="right"/>
              <w:rPr>
                <w:rFonts w:ascii="Calibri" w:eastAsia="Times New Roman" w:hAnsi="Calibri" w:cs="Calibri"/>
                <w:color w:val="000000"/>
                <w:lang w:eastAsia="en-GB"/>
              </w:rPr>
            </w:pPr>
            <w:r w:rsidRPr="00B6751D">
              <w:rPr>
                <w:rFonts w:ascii="Calibri" w:eastAsia="Times New Roman" w:hAnsi="Calibri" w:cs="Calibri"/>
                <w:color w:val="000000"/>
                <w:lang w:eastAsia="en-GB"/>
              </w:rPr>
              <w:t>1</w:t>
            </w:r>
          </w:p>
        </w:tc>
        <w:tc>
          <w:tcPr>
            <w:tcW w:w="2437" w:type="dxa"/>
            <w:tcBorders>
              <w:top w:val="single" w:sz="4" w:space="0" w:color="auto"/>
              <w:left w:val="nil"/>
              <w:bottom w:val="single" w:sz="4" w:space="0" w:color="auto"/>
              <w:right w:val="single" w:sz="4" w:space="0" w:color="auto"/>
            </w:tcBorders>
          </w:tcPr>
          <w:p w14:paraId="43C00F05"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c>
          <w:tcPr>
            <w:tcW w:w="2329" w:type="dxa"/>
            <w:tcBorders>
              <w:top w:val="nil"/>
              <w:left w:val="single" w:sz="4" w:space="0" w:color="auto"/>
              <w:bottom w:val="single" w:sz="4" w:space="0" w:color="auto"/>
              <w:right w:val="single" w:sz="4" w:space="0" w:color="auto"/>
            </w:tcBorders>
          </w:tcPr>
          <w:p w14:paraId="3A0D03D1"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r>
      <w:tr w:rsidR="00B24B98" w:rsidRPr="00B6751D" w14:paraId="05A8E615" w14:textId="77777777" w:rsidTr="00A94054">
        <w:trPr>
          <w:trHeight w:val="290"/>
        </w:trPr>
        <w:tc>
          <w:tcPr>
            <w:tcW w:w="3397" w:type="dxa"/>
            <w:tcBorders>
              <w:top w:val="nil"/>
              <w:left w:val="single" w:sz="4" w:space="0" w:color="auto"/>
              <w:bottom w:val="single" w:sz="4" w:space="0" w:color="auto"/>
              <w:right w:val="single" w:sz="4" w:space="0" w:color="auto"/>
            </w:tcBorders>
            <w:shd w:val="clear" w:color="auto" w:fill="auto"/>
            <w:vAlign w:val="bottom"/>
            <w:hideMark/>
          </w:tcPr>
          <w:p w14:paraId="714EB5AE" w14:textId="77777777" w:rsidR="00B24B98" w:rsidRPr="00B6751D" w:rsidRDefault="00B24B98" w:rsidP="00A94054">
            <w:pPr>
              <w:spacing w:after="0" w:line="240" w:lineRule="auto"/>
              <w:rPr>
                <w:rFonts w:ascii="Calibri" w:eastAsia="Times New Roman" w:hAnsi="Calibri" w:cs="Calibri"/>
                <w:color w:val="000000"/>
                <w:lang w:eastAsia="en-GB"/>
              </w:rPr>
            </w:pPr>
            <w:r w:rsidRPr="00B6751D">
              <w:rPr>
                <w:rFonts w:ascii="Calibri" w:eastAsia="Times New Roman" w:hAnsi="Calibri" w:cs="Calibri"/>
                <w:color w:val="000000"/>
                <w:lang w:eastAsia="en-GB"/>
              </w:rPr>
              <w:t>Extra-pyramidal SEs</w:t>
            </w:r>
          </w:p>
        </w:tc>
        <w:tc>
          <w:tcPr>
            <w:tcW w:w="1391" w:type="dxa"/>
            <w:tcBorders>
              <w:top w:val="nil"/>
              <w:left w:val="nil"/>
              <w:bottom w:val="single" w:sz="4" w:space="0" w:color="auto"/>
              <w:right w:val="single" w:sz="4" w:space="0" w:color="auto"/>
            </w:tcBorders>
            <w:shd w:val="clear" w:color="auto" w:fill="auto"/>
            <w:noWrap/>
            <w:vAlign w:val="bottom"/>
            <w:hideMark/>
          </w:tcPr>
          <w:p w14:paraId="739CC2F4" w14:textId="77777777" w:rsidR="00B24B98" w:rsidRPr="00B6751D" w:rsidRDefault="00B24B98" w:rsidP="00A94054">
            <w:pPr>
              <w:spacing w:after="0" w:line="240" w:lineRule="auto"/>
              <w:jc w:val="right"/>
              <w:rPr>
                <w:rFonts w:ascii="Calibri" w:eastAsia="Times New Roman" w:hAnsi="Calibri" w:cs="Calibri"/>
                <w:color w:val="000000"/>
                <w:lang w:eastAsia="en-GB"/>
              </w:rPr>
            </w:pPr>
            <w:r w:rsidRPr="00B6751D">
              <w:rPr>
                <w:rFonts w:ascii="Calibri" w:eastAsia="Times New Roman" w:hAnsi="Calibri" w:cs="Calibri"/>
                <w:color w:val="000000"/>
                <w:lang w:eastAsia="en-GB"/>
              </w:rPr>
              <w:t>1</w:t>
            </w:r>
          </w:p>
        </w:tc>
        <w:tc>
          <w:tcPr>
            <w:tcW w:w="2437" w:type="dxa"/>
            <w:tcBorders>
              <w:top w:val="single" w:sz="4" w:space="0" w:color="auto"/>
              <w:left w:val="nil"/>
              <w:bottom w:val="single" w:sz="4" w:space="0" w:color="auto"/>
              <w:right w:val="single" w:sz="4" w:space="0" w:color="auto"/>
            </w:tcBorders>
          </w:tcPr>
          <w:p w14:paraId="5FEFF676"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c>
          <w:tcPr>
            <w:tcW w:w="2329" w:type="dxa"/>
            <w:tcBorders>
              <w:top w:val="nil"/>
              <w:left w:val="single" w:sz="4" w:space="0" w:color="auto"/>
              <w:bottom w:val="single" w:sz="4" w:space="0" w:color="auto"/>
              <w:right w:val="single" w:sz="4" w:space="0" w:color="auto"/>
            </w:tcBorders>
          </w:tcPr>
          <w:p w14:paraId="13CEF565"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r>
      <w:tr w:rsidR="00B24B98" w:rsidRPr="00B6751D" w14:paraId="0A66BE33" w14:textId="77777777" w:rsidTr="00A94054">
        <w:trPr>
          <w:trHeight w:val="290"/>
        </w:trPr>
        <w:tc>
          <w:tcPr>
            <w:tcW w:w="3397" w:type="dxa"/>
            <w:tcBorders>
              <w:top w:val="nil"/>
              <w:left w:val="single" w:sz="4" w:space="0" w:color="auto"/>
              <w:bottom w:val="single" w:sz="4" w:space="0" w:color="auto"/>
              <w:right w:val="single" w:sz="4" w:space="0" w:color="auto"/>
            </w:tcBorders>
            <w:shd w:val="clear" w:color="auto" w:fill="auto"/>
            <w:vAlign w:val="bottom"/>
            <w:hideMark/>
          </w:tcPr>
          <w:p w14:paraId="3B8F648F" w14:textId="77777777" w:rsidR="00B24B98" w:rsidRPr="00B6751D" w:rsidRDefault="00B24B98" w:rsidP="00A94054">
            <w:pPr>
              <w:spacing w:after="0" w:line="240" w:lineRule="auto"/>
              <w:rPr>
                <w:rFonts w:ascii="Calibri" w:eastAsia="Times New Roman" w:hAnsi="Calibri" w:cs="Calibri"/>
                <w:color w:val="000000"/>
                <w:lang w:eastAsia="en-GB"/>
              </w:rPr>
            </w:pPr>
            <w:r w:rsidRPr="00B6751D">
              <w:rPr>
                <w:rFonts w:ascii="Calibri" w:eastAsia="Times New Roman" w:hAnsi="Calibri" w:cs="Calibri"/>
                <w:color w:val="000000"/>
                <w:lang w:eastAsia="en-GB"/>
              </w:rPr>
              <w:t>gastritis</w:t>
            </w:r>
          </w:p>
        </w:tc>
        <w:tc>
          <w:tcPr>
            <w:tcW w:w="1391" w:type="dxa"/>
            <w:tcBorders>
              <w:top w:val="nil"/>
              <w:left w:val="nil"/>
              <w:bottom w:val="single" w:sz="4" w:space="0" w:color="auto"/>
              <w:right w:val="single" w:sz="4" w:space="0" w:color="auto"/>
            </w:tcBorders>
            <w:shd w:val="clear" w:color="auto" w:fill="auto"/>
            <w:noWrap/>
            <w:vAlign w:val="bottom"/>
            <w:hideMark/>
          </w:tcPr>
          <w:p w14:paraId="07118CE2" w14:textId="77777777" w:rsidR="00B24B98" w:rsidRPr="00B6751D" w:rsidRDefault="00B24B98" w:rsidP="00A94054">
            <w:pPr>
              <w:spacing w:after="0" w:line="240" w:lineRule="auto"/>
              <w:jc w:val="right"/>
              <w:rPr>
                <w:rFonts w:ascii="Calibri" w:eastAsia="Times New Roman" w:hAnsi="Calibri" w:cs="Calibri"/>
                <w:color w:val="000000"/>
                <w:lang w:eastAsia="en-GB"/>
              </w:rPr>
            </w:pPr>
            <w:r w:rsidRPr="00B6751D">
              <w:rPr>
                <w:rFonts w:ascii="Calibri" w:eastAsia="Times New Roman" w:hAnsi="Calibri" w:cs="Calibri"/>
                <w:color w:val="000000"/>
                <w:lang w:eastAsia="en-GB"/>
              </w:rPr>
              <w:t>1</w:t>
            </w:r>
          </w:p>
        </w:tc>
        <w:tc>
          <w:tcPr>
            <w:tcW w:w="2437" w:type="dxa"/>
            <w:tcBorders>
              <w:top w:val="single" w:sz="4" w:space="0" w:color="auto"/>
              <w:left w:val="nil"/>
              <w:bottom w:val="single" w:sz="4" w:space="0" w:color="auto"/>
              <w:right w:val="single" w:sz="4" w:space="0" w:color="auto"/>
            </w:tcBorders>
          </w:tcPr>
          <w:p w14:paraId="47565FCA"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c>
          <w:tcPr>
            <w:tcW w:w="2329" w:type="dxa"/>
            <w:tcBorders>
              <w:top w:val="nil"/>
              <w:left w:val="single" w:sz="4" w:space="0" w:color="auto"/>
              <w:bottom w:val="single" w:sz="4" w:space="0" w:color="auto"/>
              <w:right w:val="single" w:sz="4" w:space="0" w:color="auto"/>
            </w:tcBorders>
          </w:tcPr>
          <w:p w14:paraId="57A5B03B"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r>
      <w:tr w:rsidR="00B24B98" w:rsidRPr="00B6751D" w14:paraId="6A938CB1" w14:textId="77777777" w:rsidTr="00A94054">
        <w:trPr>
          <w:trHeight w:val="290"/>
        </w:trPr>
        <w:tc>
          <w:tcPr>
            <w:tcW w:w="3397" w:type="dxa"/>
            <w:tcBorders>
              <w:top w:val="nil"/>
              <w:left w:val="single" w:sz="4" w:space="0" w:color="auto"/>
              <w:bottom w:val="single" w:sz="4" w:space="0" w:color="auto"/>
              <w:right w:val="single" w:sz="4" w:space="0" w:color="auto"/>
            </w:tcBorders>
            <w:shd w:val="clear" w:color="auto" w:fill="auto"/>
            <w:vAlign w:val="bottom"/>
            <w:hideMark/>
          </w:tcPr>
          <w:p w14:paraId="229B5A2F" w14:textId="77777777" w:rsidR="00B24B98" w:rsidRPr="00B6751D" w:rsidRDefault="00B24B98" w:rsidP="00A94054">
            <w:pPr>
              <w:spacing w:after="0" w:line="240" w:lineRule="auto"/>
              <w:rPr>
                <w:rFonts w:ascii="Calibri" w:eastAsia="Times New Roman" w:hAnsi="Calibri" w:cs="Calibri"/>
                <w:color w:val="000000"/>
                <w:lang w:eastAsia="en-GB"/>
              </w:rPr>
            </w:pPr>
            <w:r w:rsidRPr="00B6751D">
              <w:rPr>
                <w:rFonts w:ascii="Calibri" w:eastAsia="Times New Roman" w:hAnsi="Calibri" w:cs="Calibri"/>
                <w:color w:val="000000"/>
                <w:lang w:eastAsia="en-GB"/>
              </w:rPr>
              <w:t>herepes zoster</w:t>
            </w:r>
          </w:p>
        </w:tc>
        <w:tc>
          <w:tcPr>
            <w:tcW w:w="1391" w:type="dxa"/>
            <w:tcBorders>
              <w:top w:val="nil"/>
              <w:left w:val="nil"/>
              <w:bottom w:val="single" w:sz="4" w:space="0" w:color="auto"/>
              <w:right w:val="single" w:sz="4" w:space="0" w:color="auto"/>
            </w:tcBorders>
            <w:shd w:val="clear" w:color="auto" w:fill="auto"/>
            <w:noWrap/>
            <w:vAlign w:val="bottom"/>
            <w:hideMark/>
          </w:tcPr>
          <w:p w14:paraId="3CDF84A2" w14:textId="77777777" w:rsidR="00B24B98" w:rsidRPr="00B6751D" w:rsidRDefault="00B24B98" w:rsidP="00A94054">
            <w:pPr>
              <w:spacing w:after="0" w:line="240" w:lineRule="auto"/>
              <w:jc w:val="right"/>
              <w:rPr>
                <w:rFonts w:ascii="Calibri" w:eastAsia="Times New Roman" w:hAnsi="Calibri" w:cs="Calibri"/>
                <w:color w:val="000000"/>
                <w:lang w:eastAsia="en-GB"/>
              </w:rPr>
            </w:pPr>
            <w:r w:rsidRPr="00B6751D">
              <w:rPr>
                <w:rFonts w:ascii="Calibri" w:eastAsia="Times New Roman" w:hAnsi="Calibri" w:cs="Calibri"/>
                <w:color w:val="000000"/>
                <w:lang w:eastAsia="en-GB"/>
              </w:rPr>
              <w:t>1</w:t>
            </w:r>
          </w:p>
        </w:tc>
        <w:tc>
          <w:tcPr>
            <w:tcW w:w="2437" w:type="dxa"/>
            <w:tcBorders>
              <w:top w:val="single" w:sz="4" w:space="0" w:color="auto"/>
              <w:left w:val="nil"/>
              <w:bottom w:val="single" w:sz="4" w:space="0" w:color="auto"/>
              <w:right w:val="single" w:sz="4" w:space="0" w:color="auto"/>
            </w:tcBorders>
          </w:tcPr>
          <w:p w14:paraId="65F0003C"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c>
          <w:tcPr>
            <w:tcW w:w="2329" w:type="dxa"/>
            <w:tcBorders>
              <w:top w:val="nil"/>
              <w:left w:val="single" w:sz="4" w:space="0" w:color="auto"/>
              <w:bottom w:val="single" w:sz="4" w:space="0" w:color="auto"/>
              <w:right w:val="single" w:sz="4" w:space="0" w:color="auto"/>
            </w:tcBorders>
          </w:tcPr>
          <w:p w14:paraId="4345DF47"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r>
      <w:tr w:rsidR="00B24B98" w:rsidRPr="00B6751D" w14:paraId="72CD16EA" w14:textId="77777777" w:rsidTr="00A94054">
        <w:trPr>
          <w:trHeight w:val="290"/>
        </w:trPr>
        <w:tc>
          <w:tcPr>
            <w:tcW w:w="3397" w:type="dxa"/>
            <w:tcBorders>
              <w:top w:val="nil"/>
              <w:left w:val="single" w:sz="4" w:space="0" w:color="auto"/>
              <w:bottom w:val="single" w:sz="4" w:space="0" w:color="auto"/>
              <w:right w:val="single" w:sz="4" w:space="0" w:color="auto"/>
            </w:tcBorders>
            <w:shd w:val="clear" w:color="auto" w:fill="auto"/>
            <w:vAlign w:val="bottom"/>
            <w:hideMark/>
          </w:tcPr>
          <w:p w14:paraId="398963B4" w14:textId="77777777" w:rsidR="00B24B98" w:rsidRPr="00B6751D" w:rsidRDefault="00B24B98" w:rsidP="00A94054">
            <w:pPr>
              <w:spacing w:after="0" w:line="240" w:lineRule="auto"/>
              <w:rPr>
                <w:rFonts w:ascii="Calibri" w:eastAsia="Times New Roman" w:hAnsi="Calibri" w:cs="Calibri"/>
                <w:color w:val="000000"/>
                <w:lang w:eastAsia="en-GB"/>
              </w:rPr>
            </w:pPr>
            <w:r w:rsidRPr="00B6751D">
              <w:rPr>
                <w:rFonts w:ascii="Calibri" w:eastAsia="Times New Roman" w:hAnsi="Calibri" w:cs="Calibri"/>
                <w:color w:val="000000"/>
                <w:lang w:eastAsia="en-GB"/>
              </w:rPr>
              <w:t>hypertension</w:t>
            </w:r>
          </w:p>
        </w:tc>
        <w:tc>
          <w:tcPr>
            <w:tcW w:w="1391" w:type="dxa"/>
            <w:tcBorders>
              <w:top w:val="nil"/>
              <w:left w:val="nil"/>
              <w:bottom w:val="single" w:sz="4" w:space="0" w:color="auto"/>
              <w:right w:val="single" w:sz="4" w:space="0" w:color="auto"/>
            </w:tcBorders>
            <w:shd w:val="clear" w:color="auto" w:fill="auto"/>
            <w:noWrap/>
            <w:vAlign w:val="bottom"/>
            <w:hideMark/>
          </w:tcPr>
          <w:p w14:paraId="66C2BE77" w14:textId="77777777" w:rsidR="00B24B98" w:rsidRPr="00B6751D" w:rsidRDefault="00B24B98" w:rsidP="00A94054">
            <w:pPr>
              <w:spacing w:after="0" w:line="240" w:lineRule="auto"/>
              <w:jc w:val="right"/>
              <w:rPr>
                <w:rFonts w:ascii="Calibri" w:eastAsia="Times New Roman" w:hAnsi="Calibri" w:cs="Calibri"/>
                <w:color w:val="000000"/>
                <w:lang w:eastAsia="en-GB"/>
              </w:rPr>
            </w:pPr>
            <w:r w:rsidRPr="00B6751D">
              <w:rPr>
                <w:rFonts w:ascii="Calibri" w:eastAsia="Times New Roman" w:hAnsi="Calibri" w:cs="Calibri"/>
                <w:color w:val="000000"/>
                <w:lang w:eastAsia="en-GB"/>
              </w:rPr>
              <w:t>1</w:t>
            </w:r>
          </w:p>
        </w:tc>
        <w:tc>
          <w:tcPr>
            <w:tcW w:w="2437" w:type="dxa"/>
            <w:tcBorders>
              <w:top w:val="single" w:sz="4" w:space="0" w:color="auto"/>
              <w:left w:val="nil"/>
              <w:bottom w:val="single" w:sz="4" w:space="0" w:color="auto"/>
              <w:right w:val="single" w:sz="4" w:space="0" w:color="auto"/>
            </w:tcBorders>
          </w:tcPr>
          <w:p w14:paraId="5811BF69"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c>
          <w:tcPr>
            <w:tcW w:w="2329" w:type="dxa"/>
            <w:tcBorders>
              <w:top w:val="nil"/>
              <w:left w:val="single" w:sz="4" w:space="0" w:color="auto"/>
              <w:bottom w:val="single" w:sz="4" w:space="0" w:color="auto"/>
              <w:right w:val="single" w:sz="4" w:space="0" w:color="auto"/>
            </w:tcBorders>
          </w:tcPr>
          <w:p w14:paraId="3BE8F35D"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r>
      <w:tr w:rsidR="00B24B98" w:rsidRPr="00B6751D" w14:paraId="72506DAC" w14:textId="77777777" w:rsidTr="00A94054">
        <w:trPr>
          <w:trHeight w:val="290"/>
        </w:trPr>
        <w:tc>
          <w:tcPr>
            <w:tcW w:w="3397" w:type="dxa"/>
            <w:tcBorders>
              <w:top w:val="nil"/>
              <w:left w:val="single" w:sz="4" w:space="0" w:color="auto"/>
              <w:bottom w:val="single" w:sz="4" w:space="0" w:color="auto"/>
              <w:right w:val="single" w:sz="4" w:space="0" w:color="auto"/>
            </w:tcBorders>
            <w:shd w:val="clear" w:color="auto" w:fill="auto"/>
            <w:vAlign w:val="bottom"/>
            <w:hideMark/>
          </w:tcPr>
          <w:p w14:paraId="40F510EF" w14:textId="77777777" w:rsidR="00B24B98" w:rsidRPr="00B6751D" w:rsidRDefault="00B24B98" w:rsidP="00A94054">
            <w:pPr>
              <w:spacing w:after="0" w:line="240" w:lineRule="auto"/>
              <w:rPr>
                <w:rFonts w:ascii="Calibri" w:eastAsia="Times New Roman" w:hAnsi="Calibri" w:cs="Calibri"/>
                <w:color w:val="000000"/>
                <w:lang w:eastAsia="en-GB"/>
              </w:rPr>
            </w:pPr>
            <w:r w:rsidRPr="00B6751D">
              <w:rPr>
                <w:rFonts w:ascii="Calibri" w:eastAsia="Times New Roman" w:hAnsi="Calibri" w:cs="Calibri"/>
                <w:color w:val="000000"/>
                <w:lang w:eastAsia="en-GB"/>
              </w:rPr>
              <w:t>Hyperuricemia</w:t>
            </w:r>
          </w:p>
        </w:tc>
        <w:tc>
          <w:tcPr>
            <w:tcW w:w="1391" w:type="dxa"/>
            <w:tcBorders>
              <w:top w:val="nil"/>
              <w:left w:val="nil"/>
              <w:bottom w:val="single" w:sz="4" w:space="0" w:color="auto"/>
              <w:right w:val="single" w:sz="4" w:space="0" w:color="auto"/>
            </w:tcBorders>
            <w:shd w:val="clear" w:color="auto" w:fill="auto"/>
            <w:noWrap/>
            <w:vAlign w:val="bottom"/>
            <w:hideMark/>
          </w:tcPr>
          <w:p w14:paraId="14977978" w14:textId="77777777" w:rsidR="00B24B98" w:rsidRPr="00B6751D" w:rsidRDefault="00B24B98" w:rsidP="00A94054">
            <w:pPr>
              <w:spacing w:after="0" w:line="240" w:lineRule="auto"/>
              <w:jc w:val="right"/>
              <w:rPr>
                <w:rFonts w:ascii="Calibri" w:eastAsia="Times New Roman" w:hAnsi="Calibri" w:cs="Calibri"/>
                <w:color w:val="000000"/>
                <w:lang w:eastAsia="en-GB"/>
              </w:rPr>
            </w:pPr>
            <w:r w:rsidRPr="00B6751D">
              <w:rPr>
                <w:rFonts w:ascii="Calibri" w:eastAsia="Times New Roman" w:hAnsi="Calibri" w:cs="Calibri"/>
                <w:color w:val="000000"/>
                <w:lang w:eastAsia="en-GB"/>
              </w:rPr>
              <w:t>1</w:t>
            </w:r>
          </w:p>
        </w:tc>
        <w:tc>
          <w:tcPr>
            <w:tcW w:w="2437" w:type="dxa"/>
            <w:tcBorders>
              <w:top w:val="single" w:sz="4" w:space="0" w:color="auto"/>
              <w:left w:val="nil"/>
              <w:bottom w:val="single" w:sz="4" w:space="0" w:color="auto"/>
              <w:right w:val="single" w:sz="4" w:space="0" w:color="auto"/>
            </w:tcBorders>
          </w:tcPr>
          <w:p w14:paraId="121B9F81"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c>
          <w:tcPr>
            <w:tcW w:w="2329" w:type="dxa"/>
            <w:tcBorders>
              <w:top w:val="nil"/>
              <w:left w:val="single" w:sz="4" w:space="0" w:color="auto"/>
              <w:bottom w:val="single" w:sz="4" w:space="0" w:color="auto"/>
              <w:right w:val="single" w:sz="4" w:space="0" w:color="auto"/>
            </w:tcBorders>
          </w:tcPr>
          <w:p w14:paraId="48C2C019"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r>
      <w:tr w:rsidR="00B24B98" w:rsidRPr="00B6751D" w14:paraId="69664CC6" w14:textId="77777777" w:rsidTr="00A94054">
        <w:trPr>
          <w:trHeight w:val="290"/>
        </w:trPr>
        <w:tc>
          <w:tcPr>
            <w:tcW w:w="3397" w:type="dxa"/>
            <w:tcBorders>
              <w:top w:val="nil"/>
              <w:left w:val="single" w:sz="4" w:space="0" w:color="auto"/>
              <w:bottom w:val="single" w:sz="4" w:space="0" w:color="auto"/>
              <w:right w:val="single" w:sz="4" w:space="0" w:color="auto"/>
            </w:tcBorders>
            <w:shd w:val="clear" w:color="auto" w:fill="auto"/>
            <w:vAlign w:val="bottom"/>
            <w:hideMark/>
          </w:tcPr>
          <w:p w14:paraId="128C6396" w14:textId="77777777" w:rsidR="00B24B98" w:rsidRPr="00B6751D" w:rsidRDefault="00B24B98" w:rsidP="00A94054">
            <w:pPr>
              <w:spacing w:after="0" w:line="240" w:lineRule="auto"/>
              <w:rPr>
                <w:rFonts w:ascii="Calibri" w:eastAsia="Times New Roman" w:hAnsi="Calibri" w:cs="Calibri"/>
                <w:color w:val="000000"/>
                <w:lang w:eastAsia="en-GB"/>
              </w:rPr>
            </w:pPr>
            <w:r w:rsidRPr="00B6751D">
              <w:rPr>
                <w:rFonts w:ascii="Calibri" w:eastAsia="Times New Roman" w:hAnsi="Calibri" w:cs="Calibri"/>
                <w:color w:val="000000"/>
                <w:lang w:eastAsia="en-GB"/>
              </w:rPr>
              <w:t>Hypokalaemia / Hypocalcaemia</w:t>
            </w:r>
          </w:p>
        </w:tc>
        <w:tc>
          <w:tcPr>
            <w:tcW w:w="1391" w:type="dxa"/>
            <w:tcBorders>
              <w:top w:val="nil"/>
              <w:left w:val="nil"/>
              <w:bottom w:val="single" w:sz="4" w:space="0" w:color="auto"/>
              <w:right w:val="single" w:sz="4" w:space="0" w:color="auto"/>
            </w:tcBorders>
            <w:shd w:val="clear" w:color="auto" w:fill="auto"/>
            <w:noWrap/>
            <w:vAlign w:val="bottom"/>
            <w:hideMark/>
          </w:tcPr>
          <w:p w14:paraId="2ED52DF6" w14:textId="77777777" w:rsidR="00B24B98" w:rsidRPr="00B6751D" w:rsidRDefault="00B24B98" w:rsidP="00A94054">
            <w:pPr>
              <w:spacing w:after="0" w:line="240" w:lineRule="auto"/>
              <w:jc w:val="right"/>
              <w:rPr>
                <w:rFonts w:ascii="Calibri" w:eastAsia="Times New Roman" w:hAnsi="Calibri" w:cs="Calibri"/>
                <w:color w:val="000000"/>
                <w:lang w:eastAsia="en-GB"/>
              </w:rPr>
            </w:pPr>
            <w:r w:rsidRPr="00B6751D">
              <w:rPr>
                <w:rFonts w:ascii="Calibri" w:eastAsia="Times New Roman" w:hAnsi="Calibri" w:cs="Calibri"/>
                <w:color w:val="000000"/>
                <w:lang w:eastAsia="en-GB"/>
              </w:rPr>
              <w:t>1</w:t>
            </w:r>
          </w:p>
        </w:tc>
        <w:tc>
          <w:tcPr>
            <w:tcW w:w="2437" w:type="dxa"/>
            <w:tcBorders>
              <w:top w:val="single" w:sz="4" w:space="0" w:color="auto"/>
              <w:left w:val="nil"/>
              <w:bottom w:val="single" w:sz="4" w:space="0" w:color="auto"/>
              <w:right w:val="single" w:sz="4" w:space="0" w:color="auto"/>
            </w:tcBorders>
          </w:tcPr>
          <w:p w14:paraId="4351003F"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c>
          <w:tcPr>
            <w:tcW w:w="2329" w:type="dxa"/>
            <w:tcBorders>
              <w:top w:val="nil"/>
              <w:left w:val="single" w:sz="4" w:space="0" w:color="auto"/>
              <w:bottom w:val="single" w:sz="4" w:space="0" w:color="auto"/>
              <w:right w:val="single" w:sz="4" w:space="0" w:color="auto"/>
            </w:tcBorders>
          </w:tcPr>
          <w:p w14:paraId="15834E7A"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r>
      <w:tr w:rsidR="00B24B98" w:rsidRPr="00B6751D" w14:paraId="070BFC23" w14:textId="77777777" w:rsidTr="00A94054">
        <w:trPr>
          <w:trHeight w:val="290"/>
        </w:trPr>
        <w:tc>
          <w:tcPr>
            <w:tcW w:w="3397" w:type="dxa"/>
            <w:tcBorders>
              <w:top w:val="nil"/>
              <w:left w:val="single" w:sz="4" w:space="0" w:color="auto"/>
              <w:bottom w:val="single" w:sz="4" w:space="0" w:color="auto"/>
              <w:right w:val="single" w:sz="4" w:space="0" w:color="auto"/>
            </w:tcBorders>
            <w:shd w:val="clear" w:color="auto" w:fill="auto"/>
            <w:vAlign w:val="bottom"/>
            <w:hideMark/>
          </w:tcPr>
          <w:p w14:paraId="149C3973" w14:textId="77777777" w:rsidR="00B24B98" w:rsidRPr="00B6751D" w:rsidRDefault="00B24B98" w:rsidP="00A94054">
            <w:pPr>
              <w:spacing w:after="0" w:line="240" w:lineRule="auto"/>
              <w:rPr>
                <w:rFonts w:ascii="Calibri" w:eastAsia="Times New Roman" w:hAnsi="Calibri" w:cs="Calibri"/>
                <w:color w:val="000000"/>
                <w:lang w:eastAsia="en-GB"/>
              </w:rPr>
            </w:pPr>
            <w:r w:rsidRPr="00B6751D">
              <w:rPr>
                <w:rFonts w:ascii="Calibri" w:eastAsia="Times New Roman" w:hAnsi="Calibri" w:cs="Calibri"/>
                <w:color w:val="000000"/>
                <w:lang w:eastAsia="en-GB"/>
              </w:rPr>
              <w:t>jaundice</w:t>
            </w:r>
          </w:p>
        </w:tc>
        <w:tc>
          <w:tcPr>
            <w:tcW w:w="1391" w:type="dxa"/>
            <w:tcBorders>
              <w:top w:val="nil"/>
              <w:left w:val="nil"/>
              <w:bottom w:val="single" w:sz="4" w:space="0" w:color="auto"/>
              <w:right w:val="single" w:sz="4" w:space="0" w:color="auto"/>
            </w:tcBorders>
            <w:shd w:val="clear" w:color="auto" w:fill="auto"/>
            <w:noWrap/>
            <w:vAlign w:val="bottom"/>
            <w:hideMark/>
          </w:tcPr>
          <w:p w14:paraId="4854AB5F" w14:textId="77777777" w:rsidR="00B24B98" w:rsidRPr="00B6751D" w:rsidRDefault="00B24B98" w:rsidP="00A94054">
            <w:pPr>
              <w:spacing w:after="0" w:line="240" w:lineRule="auto"/>
              <w:jc w:val="right"/>
              <w:rPr>
                <w:rFonts w:ascii="Calibri" w:eastAsia="Times New Roman" w:hAnsi="Calibri" w:cs="Calibri"/>
                <w:color w:val="000000"/>
                <w:lang w:eastAsia="en-GB"/>
              </w:rPr>
            </w:pPr>
            <w:r w:rsidRPr="00B6751D">
              <w:rPr>
                <w:rFonts w:ascii="Calibri" w:eastAsia="Times New Roman" w:hAnsi="Calibri" w:cs="Calibri"/>
                <w:color w:val="000000"/>
                <w:lang w:eastAsia="en-GB"/>
              </w:rPr>
              <w:t>1</w:t>
            </w:r>
          </w:p>
        </w:tc>
        <w:tc>
          <w:tcPr>
            <w:tcW w:w="2437" w:type="dxa"/>
            <w:tcBorders>
              <w:top w:val="single" w:sz="4" w:space="0" w:color="auto"/>
              <w:left w:val="nil"/>
              <w:bottom w:val="single" w:sz="4" w:space="0" w:color="auto"/>
              <w:right w:val="single" w:sz="4" w:space="0" w:color="auto"/>
            </w:tcBorders>
          </w:tcPr>
          <w:p w14:paraId="733F36FF"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c>
          <w:tcPr>
            <w:tcW w:w="2329" w:type="dxa"/>
            <w:tcBorders>
              <w:top w:val="nil"/>
              <w:left w:val="single" w:sz="4" w:space="0" w:color="auto"/>
              <w:bottom w:val="single" w:sz="4" w:space="0" w:color="auto"/>
              <w:right w:val="single" w:sz="4" w:space="0" w:color="auto"/>
            </w:tcBorders>
          </w:tcPr>
          <w:p w14:paraId="5B2DCC85"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r>
      <w:tr w:rsidR="00B24B98" w:rsidRPr="00B6751D" w14:paraId="483879DC" w14:textId="77777777" w:rsidTr="00A94054">
        <w:trPr>
          <w:trHeight w:val="290"/>
        </w:trPr>
        <w:tc>
          <w:tcPr>
            <w:tcW w:w="3397" w:type="dxa"/>
            <w:tcBorders>
              <w:top w:val="nil"/>
              <w:left w:val="single" w:sz="4" w:space="0" w:color="auto"/>
              <w:bottom w:val="single" w:sz="4" w:space="0" w:color="auto"/>
              <w:right w:val="single" w:sz="4" w:space="0" w:color="auto"/>
            </w:tcBorders>
            <w:shd w:val="clear" w:color="auto" w:fill="auto"/>
            <w:vAlign w:val="bottom"/>
            <w:hideMark/>
          </w:tcPr>
          <w:p w14:paraId="71D47AD1" w14:textId="77777777" w:rsidR="00B24B98" w:rsidRPr="00B6751D" w:rsidRDefault="00B24B98" w:rsidP="00A94054">
            <w:pPr>
              <w:spacing w:after="0" w:line="240" w:lineRule="auto"/>
              <w:rPr>
                <w:rFonts w:ascii="Calibri" w:eastAsia="Times New Roman" w:hAnsi="Calibri" w:cs="Calibri"/>
                <w:color w:val="000000"/>
                <w:lang w:eastAsia="en-GB"/>
              </w:rPr>
            </w:pPr>
            <w:r w:rsidRPr="00B6751D">
              <w:rPr>
                <w:rFonts w:ascii="Calibri" w:eastAsia="Times New Roman" w:hAnsi="Calibri" w:cs="Calibri"/>
                <w:color w:val="000000"/>
                <w:lang w:eastAsia="en-GB"/>
              </w:rPr>
              <w:t>Leukopaenia</w:t>
            </w:r>
          </w:p>
        </w:tc>
        <w:tc>
          <w:tcPr>
            <w:tcW w:w="1391" w:type="dxa"/>
            <w:tcBorders>
              <w:top w:val="nil"/>
              <w:left w:val="nil"/>
              <w:bottom w:val="single" w:sz="4" w:space="0" w:color="auto"/>
              <w:right w:val="single" w:sz="4" w:space="0" w:color="auto"/>
            </w:tcBorders>
            <w:shd w:val="clear" w:color="auto" w:fill="auto"/>
            <w:noWrap/>
            <w:vAlign w:val="bottom"/>
            <w:hideMark/>
          </w:tcPr>
          <w:p w14:paraId="7F78954A" w14:textId="77777777" w:rsidR="00B24B98" w:rsidRPr="00B6751D" w:rsidRDefault="00B24B98" w:rsidP="00A94054">
            <w:pPr>
              <w:spacing w:after="0" w:line="240" w:lineRule="auto"/>
              <w:jc w:val="right"/>
              <w:rPr>
                <w:rFonts w:ascii="Calibri" w:eastAsia="Times New Roman" w:hAnsi="Calibri" w:cs="Calibri"/>
                <w:color w:val="000000"/>
                <w:lang w:eastAsia="en-GB"/>
              </w:rPr>
            </w:pPr>
            <w:r w:rsidRPr="00B6751D">
              <w:rPr>
                <w:rFonts w:ascii="Calibri" w:eastAsia="Times New Roman" w:hAnsi="Calibri" w:cs="Calibri"/>
                <w:color w:val="000000"/>
                <w:lang w:eastAsia="en-GB"/>
              </w:rPr>
              <w:t>1</w:t>
            </w:r>
          </w:p>
        </w:tc>
        <w:tc>
          <w:tcPr>
            <w:tcW w:w="2437" w:type="dxa"/>
            <w:tcBorders>
              <w:top w:val="single" w:sz="4" w:space="0" w:color="auto"/>
              <w:left w:val="nil"/>
              <w:bottom w:val="single" w:sz="4" w:space="0" w:color="auto"/>
              <w:right w:val="single" w:sz="4" w:space="0" w:color="auto"/>
            </w:tcBorders>
          </w:tcPr>
          <w:p w14:paraId="50043157"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c>
          <w:tcPr>
            <w:tcW w:w="2329" w:type="dxa"/>
            <w:tcBorders>
              <w:top w:val="nil"/>
              <w:left w:val="single" w:sz="4" w:space="0" w:color="auto"/>
              <w:bottom w:val="single" w:sz="4" w:space="0" w:color="auto"/>
              <w:right w:val="single" w:sz="4" w:space="0" w:color="auto"/>
            </w:tcBorders>
          </w:tcPr>
          <w:p w14:paraId="4BE5C161"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r>
      <w:tr w:rsidR="00B24B98" w:rsidRPr="00B6751D" w14:paraId="602C6628" w14:textId="77777777" w:rsidTr="00A94054">
        <w:trPr>
          <w:trHeight w:val="290"/>
        </w:trPr>
        <w:tc>
          <w:tcPr>
            <w:tcW w:w="3397" w:type="dxa"/>
            <w:tcBorders>
              <w:top w:val="nil"/>
              <w:left w:val="single" w:sz="4" w:space="0" w:color="auto"/>
              <w:bottom w:val="single" w:sz="4" w:space="0" w:color="auto"/>
              <w:right w:val="single" w:sz="4" w:space="0" w:color="auto"/>
            </w:tcBorders>
            <w:shd w:val="clear" w:color="auto" w:fill="auto"/>
            <w:noWrap/>
            <w:vAlign w:val="bottom"/>
            <w:hideMark/>
          </w:tcPr>
          <w:p w14:paraId="39A7BBAC" w14:textId="77777777" w:rsidR="00B24B98" w:rsidRPr="00B6751D" w:rsidRDefault="00B24B98" w:rsidP="00A94054">
            <w:pPr>
              <w:spacing w:after="0" w:line="240" w:lineRule="auto"/>
              <w:rPr>
                <w:rFonts w:ascii="Calibri" w:eastAsia="Times New Roman" w:hAnsi="Calibri" w:cs="Calibri"/>
                <w:color w:val="000000"/>
                <w:lang w:eastAsia="en-GB"/>
              </w:rPr>
            </w:pPr>
            <w:r w:rsidRPr="00B6751D">
              <w:rPr>
                <w:rFonts w:ascii="Calibri" w:eastAsia="Times New Roman" w:hAnsi="Calibri" w:cs="Calibri"/>
                <w:color w:val="000000"/>
                <w:lang w:eastAsia="en-GB"/>
              </w:rPr>
              <w:t>Lithium toxicity</w:t>
            </w:r>
          </w:p>
        </w:tc>
        <w:tc>
          <w:tcPr>
            <w:tcW w:w="1391" w:type="dxa"/>
            <w:tcBorders>
              <w:top w:val="nil"/>
              <w:left w:val="nil"/>
              <w:bottom w:val="single" w:sz="4" w:space="0" w:color="auto"/>
              <w:right w:val="single" w:sz="4" w:space="0" w:color="auto"/>
            </w:tcBorders>
            <w:shd w:val="clear" w:color="auto" w:fill="auto"/>
            <w:noWrap/>
            <w:vAlign w:val="bottom"/>
            <w:hideMark/>
          </w:tcPr>
          <w:p w14:paraId="72D78BA6" w14:textId="77777777" w:rsidR="00B24B98" w:rsidRPr="00B6751D" w:rsidRDefault="00B24B98" w:rsidP="00A94054">
            <w:pPr>
              <w:spacing w:after="0" w:line="240" w:lineRule="auto"/>
              <w:jc w:val="right"/>
              <w:rPr>
                <w:rFonts w:ascii="Calibri" w:eastAsia="Times New Roman" w:hAnsi="Calibri" w:cs="Calibri"/>
                <w:color w:val="000000"/>
                <w:lang w:eastAsia="en-GB"/>
              </w:rPr>
            </w:pPr>
            <w:r w:rsidRPr="00B6751D">
              <w:rPr>
                <w:rFonts w:ascii="Calibri" w:eastAsia="Times New Roman" w:hAnsi="Calibri" w:cs="Calibri"/>
                <w:color w:val="000000"/>
                <w:lang w:eastAsia="en-GB"/>
              </w:rPr>
              <w:t>1</w:t>
            </w:r>
          </w:p>
        </w:tc>
        <w:tc>
          <w:tcPr>
            <w:tcW w:w="2437" w:type="dxa"/>
            <w:tcBorders>
              <w:top w:val="single" w:sz="4" w:space="0" w:color="auto"/>
              <w:left w:val="nil"/>
              <w:bottom w:val="single" w:sz="4" w:space="0" w:color="auto"/>
              <w:right w:val="single" w:sz="4" w:space="0" w:color="auto"/>
            </w:tcBorders>
          </w:tcPr>
          <w:p w14:paraId="52155B29"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c>
          <w:tcPr>
            <w:tcW w:w="2329" w:type="dxa"/>
            <w:tcBorders>
              <w:top w:val="nil"/>
              <w:left w:val="single" w:sz="4" w:space="0" w:color="auto"/>
              <w:bottom w:val="single" w:sz="4" w:space="0" w:color="auto"/>
              <w:right w:val="single" w:sz="4" w:space="0" w:color="auto"/>
            </w:tcBorders>
          </w:tcPr>
          <w:p w14:paraId="1857177A"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r>
      <w:tr w:rsidR="00B24B98" w:rsidRPr="00B6751D" w14:paraId="3AB1B3AF" w14:textId="77777777" w:rsidTr="00A94054">
        <w:trPr>
          <w:trHeight w:val="290"/>
        </w:trPr>
        <w:tc>
          <w:tcPr>
            <w:tcW w:w="3397" w:type="dxa"/>
            <w:tcBorders>
              <w:top w:val="nil"/>
              <w:left w:val="single" w:sz="4" w:space="0" w:color="auto"/>
              <w:bottom w:val="single" w:sz="4" w:space="0" w:color="auto"/>
              <w:right w:val="single" w:sz="4" w:space="0" w:color="auto"/>
            </w:tcBorders>
            <w:shd w:val="clear" w:color="auto" w:fill="auto"/>
            <w:vAlign w:val="bottom"/>
            <w:hideMark/>
          </w:tcPr>
          <w:p w14:paraId="2257E746" w14:textId="77777777" w:rsidR="00B24B98" w:rsidRPr="00B6751D" w:rsidRDefault="00B24B98" w:rsidP="00A94054">
            <w:pPr>
              <w:spacing w:after="0" w:line="240" w:lineRule="auto"/>
              <w:rPr>
                <w:rFonts w:ascii="Calibri" w:eastAsia="Times New Roman" w:hAnsi="Calibri" w:cs="Calibri"/>
                <w:color w:val="000000"/>
                <w:lang w:eastAsia="en-GB"/>
              </w:rPr>
            </w:pPr>
            <w:r w:rsidRPr="00B6751D">
              <w:rPr>
                <w:rFonts w:ascii="Calibri" w:eastAsia="Times New Roman" w:hAnsi="Calibri" w:cs="Calibri"/>
                <w:color w:val="000000"/>
                <w:lang w:eastAsia="en-GB"/>
              </w:rPr>
              <w:t>local inflammation</w:t>
            </w:r>
          </w:p>
        </w:tc>
        <w:tc>
          <w:tcPr>
            <w:tcW w:w="1391" w:type="dxa"/>
            <w:tcBorders>
              <w:top w:val="nil"/>
              <w:left w:val="nil"/>
              <w:bottom w:val="single" w:sz="4" w:space="0" w:color="auto"/>
              <w:right w:val="single" w:sz="4" w:space="0" w:color="auto"/>
            </w:tcBorders>
            <w:shd w:val="clear" w:color="auto" w:fill="auto"/>
            <w:noWrap/>
            <w:vAlign w:val="bottom"/>
            <w:hideMark/>
          </w:tcPr>
          <w:p w14:paraId="21501AA2" w14:textId="77777777" w:rsidR="00B24B98" w:rsidRPr="00B6751D" w:rsidRDefault="00B24B98" w:rsidP="00A94054">
            <w:pPr>
              <w:spacing w:after="0" w:line="240" w:lineRule="auto"/>
              <w:jc w:val="right"/>
              <w:rPr>
                <w:rFonts w:ascii="Calibri" w:eastAsia="Times New Roman" w:hAnsi="Calibri" w:cs="Calibri"/>
                <w:color w:val="000000"/>
                <w:lang w:eastAsia="en-GB"/>
              </w:rPr>
            </w:pPr>
            <w:r w:rsidRPr="00B6751D">
              <w:rPr>
                <w:rFonts w:ascii="Calibri" w:eastAsia="Times New Roman" w:hAnsi="Calibri" w:cs="Calibri"/>
                <w:color w:val="000000"/>
                <w:lang w:eastAsia="en-GB"/>
              </w:rPr>
              <w:t>1</w:t>
            </w:r>
          </w:p>
        </w:tc>
        <w:tc>
          <w:tcPr>
            <w:tcW w:w="2437" w:type="dxa"/>
            <w:tcBorders>
              <w:top w:val="single" w:sz="4" w:space="0" w:color="auto"/>
              <w:left w:val="nil"/>
              <w:bottom w:val="single" w:sz="4" w:space="0" w:color="auto"/>
              <w:right w:val="single" w:sz="4" w:space="0" w:color="auto"/>
            </w:tcBorders>
          </w:tcPr>
          <w:p w14:paraId="191A8728"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c>
          <w:tcPr>
            <w:tcW w:w="2329" w:type="dxa"/>
            <w:tcBorders>
              <w:top w:val="nil"/>
              <w:left w:val="single" w:sz="4" w:space="0" w:color="auto"/>
              <w:bottom w:val="single" w:sz="4" w:space="0" w:color="auto"/>
              <w:right w:val="single" w:sz="4" w:space="0" w:color="auto"/>
            </w:tcBorders>
          </w:tcPr>
          <w:p w14:paraId="29BFB5E4"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r>
      <w:tr w:rsidR="00B24B98" w:rsidRPr="00B6751D" w14:paraId="2674CEC5" w14:textId="77777777" w:rsidTr="00A94054">
        <w:trPr>
          <w:trHeight w:val="290"/>
        </w:trPr>
        <w:tc>
          <w:tcPr>
            <w:tcW w:w="3397" w:type="dxa"/>
            <w:tcBorders>
              <w:top w:val="nil"/>
              <w:left w:val="single" w:sz="4" w:space="0" w:color="auto"/>
              <w:bottom w:val="single" w:sz="4" w:space="0" w:color="auto"/>
              <w:right w:val="single" w:sz="4" w:space="0" w:color="auto"/>
            </w:tcBorders>
            <w:shd w:val="clear" w:color="auto" w:fill="auto"/>
            <w:vAlign w:val="bottom"/>
            <w:hideMark/>
          </w:tcPr>
          <w:p w14:paraId="4E4721D5" w14:textId="77777777" w:rsidR="00B24B98" w:rsidRPr="00B6751D" w:rsidRDefault="00B24B98" w:rsidP="00A94054">
            <w:pPr>
              <w:spacing w:after="0" w:line="240" w:lineRule="auto"/>
              <w:rPr>
                <w:rFonts w:ascii="Calibri" w:eastAsia="Times New Roman" w:hAnsi="Calibri" w:cs="Calibri"/>
                <w:color w:val="000000"/>
                <w:lang w:eastAsia="en-GB"/>
              </w:rPr>
            </w:pPr>
            <w:r w:rsidRPr="00B6751D">
              <w:rPr>
                <w:rFonts w:ascii="Calibri" w:eastAsia="Times New Roman" w:hAnsi="Calibri" w:cs="Calibri"/>
                <w:color w:val="000000"/>
                <w:lang w:eastAsia="en-GB"/>
              </w:rPr>
              <w:t>low prothrombin time</w:t>
            </w:r>
          </w:p>
        </w:tc>
        <w:tc>
          <w:tcPr>
            <w:tcW w:w="1391" w:type="dxa"/>
            <w:tcBorders>
              <w:top w:val="nil"/>
              <w:left w:val="nil"/>
              <w:bottom w:val="single" w:sz="4" w:space="0" w:color="auto"/>
              <w:right w:val="single" w:sz="4" w:space="0" w:color="auto"/>
            </w:tcBorders>
            <w:shd w:val="clear" w:color="auto" w:fill="auto"/>
            <w:noWrap/>
            <w:vAlign w:val="bottom"/>
            <w:hideMark/>
          </w:tcPr>
          <w:p w14:paraId="19E9B961" w14:textId="77777777" w:rsidR="00B24B98" w:rsidRPr="00B6751D" w:rsidRDefault="00B24B98" w:rsidP="00A94054">
            <w:pPr>
              <w:spacing w:after="0" w:line="240" w:lineRule="auto"/>
              <w:jc w:val="right"/>
              <w:rPr>
                <w:rFonts w:ascii="Calibri" w:eastAsia="Times New Roman" w:hAnsi="Calibri" w:cs="Calibri"/>
                <w:color w:val="000000"/>
                <w:lang w:eastAsia="en-GB"/>
              </w:rPr>
            </w:pPr>
            <w:r w:rsidRPr="00B6751D">
              <w:rPr>
                <w:rFonts w:ascii="Calibri" w:eastAsia="Times New Roman" w:hAnsi="Calibri" w:cs="Calibri"/>
                <w:color w:val="000000"/>
                <w:lang w:eastAsia="en-GB"/>
              </w:rPr>
              <w:t>1</w:t>
            </w:r>
          </w:p>
        </w:tc>
        <w:tc>
          <w:tcPr>
            <w:tcW w:w="2437" w:type="dxa"/>
            <w:tcBorders>
              <w:top w:val="single" w:sz="4" w:space="0" w:color="auto"/>
              <w:left w:val="nil"/>
              <w:bottom w:val="single" w:sz="4" w:space="0" w:color="auto"/>
              <w:right w:val="single" w:sz="4" w:space="0" w:color="auto"/>
            </w:tcBorders>
          </w:tcPr>
          <w:p w14:paraId="36797F47"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c>
          <w:tcPr>
            <w:tcW w:w="2329" w:type="dxa"/>
            <w:tcBorders>
              <w:top w:val="nil"/>
              <w:left w:val="single" w:sz="4" w:space="0" w:color="auto"/>
              <w:bottom w:val="single" w:sz="4" w:space="0" w:color="auto"/>
              <w:right w:val="single" w:sz="4" w:space="0" w:color="auto"/>
            </w:tcBorders>
          </w:tcPr>
          <w:p w14:paraId="6E1493BE"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r>
      <w:tr w:rsidR="00B24B98" w:rsidRPr="00B6751D" w14:paraId="15D4EC3D" w14:textId="77777777" w:rsidTr="00A94054">
        <w:trPr>
          <w:trHeight w:val="290"/>
        </w:trPr>
        <w:tc>
          <w:tcPr>
            <w:tcW w:w="3397" w:type="dxa"/>
            <w:tcBorders>
              <w:top w:val="nil"/>
              <w:left w:val="single" w:sz="4" w:space="0" w:color="auto"/>
              <w:bottom w:val="single" w:sz="4" w:space="0" w:color="auto"/>
              <w:right w:val="single" w:sz="4" w:space="0" w:color="auto"/>
            </w:tcBorders>
            <w:shd w:val="clear" w:color="auto" w:fill="auto"/>
            <w:vAlign w:val="bottom"/>
            <w:hideMark/>
          </w:tcPr>
          <w:p w14:paraId="6A2D2106" w14:textId="77777777" w:rsidR="00B24B98" w:rsidRPr="00B6751D" w:rsidRDefault="00B24B98" w:rsidP="00A94054">
            <w:pPr>
              <w:spacing w:after="0" w:line="240" w:lineRule="auto"/>
              <w:rPr>
                <w:rFonts w:ascii="Calibri" w:eastAsia="Times New Roman" w:hAnsi="Calibri" w:cs="Calibri"/>
                <w:color w:val="000000"/>
                <w:lang w:eastAsia="en-GB"/>
              </w:rPr>
            </w:pPr>
            <w:r w:rsidRPr="00B6751D">
              <w:rPr>
                <w:rFonts w:ascii="Calibri" w:eastAsia="Times New Roman" w:hAnsi="Calibri" w:cs="Calibri"/>
                <w:color w:val="000000"/>
                <w:lang w:eastAsia="en-GB"/>
              </w:rPr>
              <w:t>muscular necrosis</w:t>
            </w:r>
          </w:p>
        </w:tc>
        <w:tc>
          <w:tcPr>
            <w:tcW w:w="1391" w:type="dxa"/>
            <w:tcBorders>
              <w:top w:val="nil"/>
              <w:left w:val="nil"/>
              <w:bottom w:val="single" w:sz="4" w:space="0" w:color="auto"/>
              <w:right w:val="single" w:sz="4" w:space="0" w:color="auto"/>
            </w:tcBorders>
            <w:shd w:val="clear" w:color="auto" w:fill="auto"/>
            <w:noWrap/>
            <w:vAlign w:val="bottom"/>
            <w:hideMark/>
          </w:tcPr>
          <w:p w14:paraId="6058CBA1" w14:textId="77777777" w:rsidR="00B24B98" w:rsidRPr="00B6751D" w:rsidRDefault="00B24B98" w:rsidP="00A94054">
            <w:pPr>
              <w:spacing w:after="0" w:line="240" w:lineRule="auto"/>
              <w:jc w:val="right"/>
              <w:rPr>
                <w:rFonts w:ascii="Calibri" w:eastAsia="Times New Roman" w:hAnsi="Calibri" w:cs="Calibri"/>
                <w:color w:val="000000"/>
                <w:lang w:eastAsia="en-GB"/>
              </w:rPr>
            </w:pPr>
            <w:r w:rsidRPr="00B6751D">
              <w:rPr>
                <w:rFonts w:ascii="Calibri" w:eastAsia="Times New Roman" w:hAnsi="Calibri" w:cs="Calibri"/>
                <w:color w:val="000000"/>
                <w:lang w:eastAsia="en-GB"/>
              </w:rPr>
              <w:t>1</w:t>
            </w:r>
          </w:p>
        </w:tc>
        <w:tc>
          <w:tcPr>
            <w:tcW w:w="2437" w:type="dxa"/>
            <w:tcBorders>
              <w:top w:val="single" w:sz="4" w:space="0" w:color="auto"/>
              <w:left w:val="nil"/>
              <w:bottom w:val="single" w:sz="4" w:space="0" w:color="auto"/>
              <w:right w:val="single" w:sz="4" w:space="0" w:color="auto"/>
            </w:tcBorders>
          </w:tcPr>
          <w:p w14:paraId="4988C145"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c>
          <w:tcPr>
            <w:tcW w:w="2329" w:type="dxa"/>
            <w:tcBorders>
              <w:top w:val="nil"/>
              <w:left w:val="single" w:sz="4" w:space="0" w:color="auto"/>
              <w:bottom w:val="single" w:sz="4" w:space="0" w:color="auto"/>
              <w:right w:val="single" w:sz="4" w:space="0" w:color="auto"/>
            </w:tcBorders>
          </w:tcPr>
          <w:p w14:paraId="1E6B4F7B"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r>
      <w:tr w:rsidR="00B24B98" w:rsidRPr="00B6751D" w14:paraId="45D5E725" w14:textId="77777777" w:rsidTr="00A94054">
        <w:trPr>
          <w:trHeight w:val="290"/>
        </w:trPr>
        <w:tc>
          <w:tcPr>
            <w:tcW w:w="3397" w:type="dxa"/>
            <w:tcBorders>
              <w:top w:val="nil"/>
              <w:left w:val="single" w:sz="4" w:space="0" w:color="auto"/>
              <w:bottom w:val="single" w:sz="4" w:space="0" w:color="auto"/>
              <w:right w:val="single" w:sz="4" w:space="0" w:color="auto"/>
            </w:tcBorders>
            <w:shd w:val="clear" w:color="auto" w:fill="auto"/>
            <w:vAlign w:val="bottom"/>
            <w:hideMark/>
          </w:tcPr>
          <w:p w14:paraId="2477AFBC" w14:textId="77777777" w:rsidR="00B24B98" w:rsidRPr="00B6751D" w:rsidRDefault="00B24B98" w:rsidP="00A94054">
            <w:pPr>
              <w:spacing w:after="0" w:line="240" w:lineRule="auto"/>
              <w:rPr>
                <w:rFonts w:ascii="Calibri" w:eastAsia="Times New Roman" w:hAnsi="Calibri" w:cs="Calibri"/>
                <w:color w:val="000000"/>
                <w:lang w:eastAsia="en-GB"/>
              </w:rPr>
            </w:pPr>
            <w:r w:rsidRPr="00B6751D">
              <w:rPr>
                <w:rFonts w:ascii="Calibri" w:eastAsia="Times New Roman" w:hAnsi="Calibri" w:cs="Calibri"/>
                <w:color w:val="000000"/>
                <w:lang w:eastAsia="en-GB"/>
              </w:rPr>
              <w:t>non-convulsive epileptic crisis</w:t>
            </w:r>
          </w:p>
        </w:tc>
        <w:tc>
          <w:tcPr>
            <w:tcW w:w="1391" w:type="dxa"/>
            <w:tcBorders>
              <w:top w:val="nil"/>
              <w:left w:val="nil"/>
              <w:bottom w:val="single" w:sz="4" w:space="0" w:color="auto"/>
              <w:right w:val="single" w:sz="4" w:space="0" w:color="auto"/>
            </w:tcBorders>
            <w:shd w:val="clear" w:color="auto" w:fill="auto"/>
            <w:noWrap/>
            <w:vAlign w:val="bottom"/>
            <w:hideMark/>
          </w:tcPr>
          <w:p w14:paraId="1E9D9564" w14:textId="77777777" w:rsidR="00B24B98" w:rsidRPr="00B6751D" w:rsidRDefault="00B24B98" w:rsidP="00A94054">
            <w:pPr>
              <w:spacing w:after="0" w:line="240" w:lineRule="auto"/>
              <w:jc w:val="right"/>
              <w:rPr>
                <w:rFonts w:ascii="Calibri" w:eastAsia="Times New Roman" w:hAnsi="Calibri" w:cs="Calibri"/>
                <w:color w:val="000000"/>
                <w:lang w:eastAsia="en-GB"/>
              </w:rPr>
            </w:pPr>
            <w:r w:rsidRPr="00B6751D">
              <w:rPr>
                <w:rFonts w:ascii="Calibri" w:eastAsia="Times New Roman" w:hAnsi="Calibri" w:cs="Calibri"/>
                <w:color w:val="000000"/>
                <w:lang w:eastAsia="en-GB"/>
              </w:rPr>
              <w:t>1</w:t>
            </w:r>
          </w:p>
        </w:tc>
        <w:tc>
          <w:tcPr>
            <w:tcW w:w="2437" w:type="dxa"/>
            <w:tcBorders>
              <w:top w:val="single" w:sz="4" w:space="0" w:color="auto"/>
              <w:left w:val="nil"/>
              <w:bottom w:val="single" w:sz="4" w:space="0" w:color="auto"/>
              <w:right w:val="single" w:sz="4" w:space="0" w:color="auto"/>
            </w:tcBorders>
          </w:tcPr>
          <w:p w14:paraId="1E78EBDB"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c>
          <w:tcPr>
            <w:tcW w:w="2329" w:type="dxa"/>
            <w:tcBorders>
              <w:top w:val="nil"/>
              <w:left w:val="single" w:sz="4" w:space="0" w:color="auto"/>
              <w:bottom w:val="single" w:sz="4" w:space="0" w:color="auto"/>
              <w:right w:val="single" w:sz="4" w:space="0" w:color="auto"/>
            </w:tcBorders>
          </w:tcPr>
          <w:p w14:paraId="1FFCF1D3"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r>
      <w:tr w:rsidR="00B24B98" w:rsidRPr="00B6751D" w14:paraId="6063B98B" w14:textId="77777777" w:rsidTr="00A94054">
        <w:trPr>
          <w:trHeight w:val="290"/>
        </w:trPr>
        <w:tc>
          <w:tcPr>
            <w:tcW w:w="3397" w:type="dxa"/>
            <w:tcBorders>
              <w:top w:val="nil"/>
              <w:left w:val="single" w:sz="4" w:space="0" w:color="auto"/>
              <w:bottom w:val="single" w:sz="4" w:space="0" w:color="auto"/>
              <w:right w:val="single" w:sz="4" w:space="0" w:color="auto"/>
            </w:tcBorders>
            <w:shd w:val="clear" w:color="auto" w:fill="auto"/>
            <w:noWrap/>
            <w:vAlign w:val="bottom"/>
            <w:hideMark/>
          </w:tcPr>
          <w:p w14:paraId="3A1158D3" w14:textId="77777777" w:rsidR="00B24B98" w:rsidRPr="00B6751D" w:rsidRDefault="00B24B98" w:rsidP="00A94054">
            <w:pPr>
              <w:spacing w:after="0" w:line="240" w:lineRule="auto"/>
              <w:rPr>
                <w:rFonts w:ascii="Calibri" w:eastAsia="Times New Roman" w:hAnsi="Calibri" w:cs="Calibri"/>
                <w:color w:val="000000"/>
                <w:lang w:eastAsia="en-GB"/>
              </w:rPr>
            </w:pPr>
            <w:r w:rsidRPr="00B6751D">
              <w:rPr>
                <w:rFonts w:ascii="Calibri" w:eastAsia="Times New Roman" w:hAnsi="Calibri" w:cs="Calibri"/>
                <w:color w:val="000000"/>
                <w:lang w:eastAsia="en-GB"/>
              </w:rPr>
              <w:t>opioid toxicity</w:t>
            </w:r>
          </w:p>
        </w:tc>
        <w:tc>
          <w:tcPr>
            <w:tcW w:w="1391" w:type="dxa"/>
            <w:tcBorders>
              <w:top w:val="nil"/>
              <w:left w:val="nil"/>
              <w:bottom w:val="single" w:sz="4" w:space="0" w:color="auto"/>
              <w:right w:val="single" w:sz="4" w:space="0" w:color="auto"/>
            </w:tcBorders>
            <w:shd w:val="clear" w:color="auto" w:fill="auto"/>
            <w:noWrap/>
            <w:vAlign w:val="bottom"/>
            <w:hideMark/>
          </w:tcPr>
          <w:p w14:paraId="46895D16" w14:textId="77777777" w:rsidR="00B24B98" w:rsidRPr="00B6751D" w:rsidRDefault="00B24B98" w:rsidP="00A94054">
            <w:pPr>
              <w:spacing w:after="0" w:line="240" w:lineRule="auto"/>
              <w:jc w:val="right"/>
              <w:rPr>
                <w:rFonts w:ascii="Calibri" w:eastAsia="Times New Roman" w:hAnsi="Calibri" w:cs="Calibri"/>
                <w:color w:val="000000"/>
                <w:lang w:eastAsia="en-GB"/>
              </w:rPr>
            </w:pPr>
            <w:r w:rsidRPr="00B6751D">
              <w:rPr>
                <w:rFonts w:ascii="Calibri" w:eastAsia="Times New Roman" w:hAnsi="Calibri" w:cs="Calibri"/>
                <w:color w:val="000000"/>
                <w:lang w:eastAsia="en-GB"/>
              </w:rPr>
              <w:t>1</w:t>
            </w:r>
          </w:p>
        </w:tc>
        <w:tc>
          <w:tcPr>
            <w:tcW w:w="2437" w:type="dxa"/>
            <w:tcBorders>
              <w:top w:val="single" w:sz="4" w:space="0" w:color="auto"/>
              <w:left w:val="nil"/>
              <w:bottom w:val="single" w:sz="4" w:space="0" w:color="auto"/>
              <w:right w:val="single" w:sz="4" w:space="0" w:color="auto"/>
            </w:tcBorders>
          </w:tcPr>
          <w:p w14:paraId="1EC4E4F1"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c>
          <w:tcPr>
            <w:tcW w:w="2329" w:type="dxa"/>
            <w:tcBorders>
              <w:top w:val="nil"/>
              <w:left w:val="single" w:sz="4" w:space="0" w:color="auto"/>
              <w:bottom w:val="single" w:sz="4" w:space="0" w:color="auto"/>
              <w:right w:val="single" w:sz="4" w:space="0" w:color="auto"/>
            </w:tcBorders>
          </w:tcPr>
          <w:p w14:paraId="028FC420"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r>
      <w:tr w:rsidR="00B24B98" w:rsidRPr="00B6751D" w14:paraId="4A47580F" w14:textId="77777777" w:rsidTr="00A94054">
        <w:trPr>
          <w:trHeight w:val="290"/>
        </w:trPr>
        <w:tc>
          <w:tcPr>
            <w:tcW w:w="3397" w:type="dxa"/>
            <w:tcBorders>
              <w:top w:val="nil"/>
              <w:left w:val="single" w:sz="4" w:space="0" w:color="auto"/>
              <w:bottom w:val="single" w:sz="4" w:space="0" w:color="auto"/>
              <w:right w:val="single" w:sz="4" w:space="0" w:color="auto"/>
            </w:tcBorders>
            <w:shd w:val="clear" w:color="auto" w:fill="auto"/>
            <w:vAlign w:val="bottom"/>
            <w:hideMark/>
          </w:tcPr>
          <w:p w14:paraId="6CD1F2FF" w14:textId="77777777" w:rsidR="00B24B98" w:rsidRPr="00B6751D" w:rsidRDefault="00B24B98" w:rsidP="00A94054">
            <w:pPr>
              <w:spacing w:after="0" w:line="240" w:lineRule="auto"/>
              <w:rPr>
                <w:rFonts w:ascii="Calibri" w:eastAsia="Times New Roman" w:hAnsi="Calibri" w:cs="Calibri"/>
                <w:color w:val="000000"/>
                <w:lang w:eastAsia="en-GB"/>
              </w:rPr>
            </w:pPr>
            <w:r w:rsidRPr="00B6751D">
              <w:rPr>
                <w:rFonts w:ascii="Calibri" w:eastAsia="Times New Roman" w:hAnsi="Calibri" w:cs="Calibri"/>
                <w:color w:val="000000"/>
                <w:lang w:eastAsia="en-GB"/>
              </w:rPr>
              <w:lastRenderedPageBreak/>
              <w:t>Pancytopaenia</w:t>
            </w:r>
          </w:p>
        </w:tc>
        <w:tc>
          <w:tcPr>
            <w:tcW w:w="1391" w:type="dxa"/>
            <w:tcBorders>
              <w:top w:val="nil"/>
              <w:left w:val="nil"/>
              <w:bottom w:val="single" w:sz="4" w:space="0" w:color="auto"/>
              <w:right w:val="single" w:sz="4" w:space="0" w:color="auto"/>
            </w:tcBorders>
            <w:shd w:val="clear" w:color="auto" w:fill="auto"/>
            <w:noWrap/>
            <w:vAlign w:val="bottom"/>
            <w:hideMark/>
          </w:tcPr>
          <w:p w14:paraId="4D6407E3" w14:textId="77777777" w:rsidR="00B24B98" w:rsidRPr="00B6751D" w:rsidRDefault="00B24B98" w:rsidP="00A94054">
            <w:pPr>
              <w:spacing w:after="0" w:line="240" w:lineRule="auto"/>
              <w:jc w:val="right"/>
              <w:rPr>
                <w:rFonts w:ascii="Calibri" w:eastAsia="Times New Roman" w:hAnsi="Calibri" w:cs="Calibri"/>
                <w:color w:val="000000"/>
                <w:lang w:eastAsia="en-GB"/>
              </w:rPr>
            </w:pPr>
            <w:r w:rsidRPr="00B6751D">
              <w:rPr>
                <w:rFonts w:ascii="Calibri" w:eastAsia="Times New Roman" w:hAnsi="Calibri" w:cs="Calibri"/>
                <w:color w:val="000000"/>
                <w:lang w:eastAsia="en-GB"/>
              </w:rPr>
              <w:t>1</w:t>
            </w:r>
          </w:p>
        </w:tc>
        <w:tc>
          <w:tcPr>
            <w:tcW w:w="2437" w:type="dxa"/>
            <w:tcBorders>
              <w:top w:val="single" w:sz="4" w:space="0" w:color="auto"/>
              <w:left w:val="nil"/>
              <w:bottom w:val="single" w:sz="4" w:space="0" w:color="auto"/>
              <w:right w:val="single" w:sz="4" w:space="0" w:color="auto"/>
            </w:tcBorders>
          </w:tcPr>
          <w:p w14:paraId="118F74FF"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c>
          <w:tcPr>
            <w:tcW w:w="2329" w:type="dxa"/>
            <w:tcBorders>
              <w:top w:val="nil"/>
              <w:left w:val="single" w:sz="4" w:space="0" w:color="auto"/>
              <w:bottom w:val="single" w:sz="4" w:space="0" w:color="auto"/>
              <w:right w:val="single" w:sz="4" w:space="0" w:color="auto"/>
            </w:tcBorders>
          </w:tcPr>
          <w:p w14:paraId="478812D5"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r>
      <w:tr w:rsidR="00B24B98" w:rsidRPr="00B6751D" w14:paraId="6EC042E1" w14:textId="77777777" w:rsidTr="00A94054">
        <w:trPr>
          <w:trHeight w:val="290"/>
        </w:trPr>
        <w:tc>
          <w:tcPr>
            <w:tcW w:w="3397" w:type="dxa"/>
            <w:tcBorders>
              <w:top w:val="nil"/>
              <w:left w:val="single" w:sz="4" w:space="0" w:color="auto"/>
              <w:bottom w:val="single" w:sz="4" w:space="0" w:color="auto"/>
              <w:right w:val="single" w:sz="4" w:space="0" w:color="auto"/>
            </w:tcBorders>
            <w:shd w:val="clear" w:color="auto" w:fill="auto"/>
            <w:noWrap/>
            <w:vAlign w:val="bottom"/>
            <w:hideMark/>
          </w:tcPr>
          <w:p w14:paraId="2E0A19C2" w14:textId="77777777" w:rsidR="00B24B98" w:rsidRPr="00B6751D" w:rsidRDefault="00B24B98" w:rsidP="00A94054">
            <w:pPr>
              <w:spacing w:after="0" w:line="240" w:lineRule="auto"/>
              <w:rPr>
                <w:rFonts w:ascii="Calibri" w:eastAsia="Times New Roman" w:hAnsi="Calibri" w:cs="Calibri"/>
                <w:color w:val="000000"/>
                <w:lang w:eastAsia="en-GB"/>
              </w:rPr>
            </w:pPr>
            <w:r w:rsidRPr="00B6751D">
              <w:rPr>
                <w:rFonts w:ascii="Calibri" w:eastAsia="Times New Roman" w:hAnsi="Calibri" w:cs="Calibri"/>
                <w:color w:val="000000"/>
                <w:lang w:eastAsia="en-GB"/>
              </w:rPr>
              <w:t>Seizure</w:t>
            </w:r>
          </w:p>
        </w:tc>
        <w:tc>
          <w:tcPr>
            <w:tcW w:w="1391" w:type="dxa"/>
            <w:tcBorders>
              <w:top w:val="nil"/>
              <w:left w:val="nil"/>
              <w:bottom w:val="single" w:sz="4" w:space="0" w:color="auto"/>
              <w:right w:val="single" w:sz="4" w:space="0" w:color="auto"/>
            </w:tcBorders>
            <w:shd w:val="clear" w:color="auto" w:fill="auto"/>
            <w:noWrap/>
            <w:vAlign w:val="bottom"/>
            <w:hideMark/>
          </w:tcPr>
          <w:p w14:paraId="548AE6F1" w14:textId="77777777" w:rsidR="00B24B98" w:rsidRPr="00B6751D" w:rsidRDefault="00B24B98" w:rsidP="00A94054">
            <w:pPr>
              <w:spacing w:after="0" w:line="240" w:lineRule="auto"/>
              <w:jc w:val="right"/>
              <w:rPr>
                <w:rFonts w:ascii="Calibri" w:eastAsia="Times New Roman" w:hAnsi="Calibri" w:cs="Calibri"/>
                <w:color w:val="000000"/>
                <w:lang w:eastAsia="en-GB"/>
              </w:rPr>
            </w:pPr>
            <w:r w:rsidRPr="00B6751D">
              <w:rPr>
                <w:rFonts w:ascii="Calibri" w:eastAsia="Times New Roman" w:hAnsi="Calibri" w:cs="Calibri"/>
                <w:color w:val="000000"/>
                <w:lang w:eastAsia="en-GB"/>
              </w:rPr>
              <w:t>1</w:t>
            </w:r>
          </w:p>
        </w:tc>
        <w:tc>
          <w:tcPr>
            <w:tcW w:w="2437" w:type="dxa"/>
            <w:tcBorders>
              <w:top w:val="single" w:sz="4" w:space="0" w:color="auto"/>
              <w:left w:val="nil"/>
              <w:bottom w:val="single" w:sz="4" w:space="0" w:color="auto"/>
              <w:right w:val="single" w:sz="4" w:space="0" w:color="auto"/>
            </w:tcBorders>
          </w:tcPr>
          <w:p w14:paraId="6FCA7F9E"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c>
          <w:tcPr>
            <w:tcW w:w="2329" w:type="dxa"/>
            <w:tcBorders>
              <w:top w:val="nil"/>
              <w:left w:val="single" w:sz="4" w:space="0" w:color="auto"/>
              <w:bottom w:val="single" w:sz="4" w:space="0" w:color="auto"/>
              <w:right w:val="single" w:sz="4" w:space="0" w:color="auto"/>
            </w:tcBorders>
          </w:tcPr>
          <w:p w14:paraId="468EC8F5"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r>
      <w:tr w:rsidR="00B24B98" w:rsidRPr="00B6751D" w14:paraId="6F663A6F" w14:textId="77777777" w:rsidTr="00A94054">
        <w:trPr>
          <w:trHeight w:val="290"/>
        </w:trPr>
        <w:tc>
          <w:tcPr>
            <w:tcW w:w="3397" w:type="dxa"/>
            <w:tcBorders>
              <w:top w:val="nil"/>
              <w:left w:val="single" w:sz="4" w:space="0" w:color="auto"/>
              <w:bottom w:val="single" w:sz="4" w:space="0" w:color="auto"/>
              <w:right w:val="single" w:sz="4" w:space="0" w:color="auto"/>
            </w:tcBorders>
            <w:shd w:val="clear" w:color="auto" w:fill="auto"/>
            <w:noWrap/>
            <w:vAlign w:val="bottom"/>
            <w:hideMark/>
          </w:tcPr>
          <w:p w14:paraId="60D2B6CF" w14:textId="77777777" w:rsidR="00B24B98" w:rsidRPr="00B6751D" w:rsidRDefault="00B24B98" w:rsidP="00A94054">
            <w:pPr>
              <w:spacing w:after="0" w:line="240" w:lineRule="auto"/>
              <w:rPr>
                <w:rFonts w:ascii="Calibri" w:eastAsia="Times New Roman" w:hAnsi="Calibri" w:cs="Calibri"/>
                <w:color w:val="000000"/>
                <w:lang w:eastAsia="en-GB"/>
              </w:rPr>
            </w:pPr>
            <w:r w:rsidRPr="00B6751D">
              <w:rPr>
                <w:rFonts w:ascii="Calibri" w:eastAsia="Times New Roman" w:hAnsi="Calibri" w:cs="Calibri"/>
                <w:color w:val="000000"/>
                <w:lang w:eastAsia="en-GB"/>
              </w:rPr>
              <w:t>signs of withdrawal</w:t>
            </w:r>
          </w:p>
        </w:tc>
        <w:tc>
          <w:tcPr>
            <w:tcW w:w="1391" w:type="dxa"/>
            <w:tcBorders>
              <w:top w:val="nil"/>
              <w:left w:val="nil"/>
              <w:bottom w:val="single" w:sz="4" w:space="0" w:color="auto"/>
              <w:right w:val="single" w:sz="4" w:space="0" w:color="auto"/>
            </w:tcBorders>
            <w:shd w:val="clear" w:color="auto" w:fill="auto"/>
            <w:noWrap/>
            <w:vAlign w:val="bottom"/>
            <w:hideMark/>
          </w:tcPr>
          <w:p w14:paraId="0EBC13D2" w14:textId="77777777" w:rsidR="00B24B98" w:rsidRPr="00B6751D" w:rsidRDefault="00B24B98" w:rsidP="00A94054">
            <w:pPr>
              <w:spacing w:after="0" w:line="240" w:lineRule="auto"/>
              <w:jc w:val="right"/>
              <w:rPr>
                <w:rFonts w:ascii="Calibri" w:eastAsia="Times New Roman" w:hAnsi="Calibri" w:cs="Calibri"/>
                <w:color w:val="000000"/>
                <w:lang w:eastAsia="en-GB"/>
              </w:rPr>
            </w:pPr>
            <w:r w:rsidRPr="00B6751D">
              <w:rPr>
                <w:rFonts w:ascii="Calibri" w:eastAsia="Times New Roman" w:hAnsi="Calibri" w:cs="Calibri"/>
                <w:color w:val="000000"/>
                <w:lang w:eastAsia="en-GB"/>
              </w:rPr>
              <w:t>1</w:t>
            </w:r>
          </w:p>
        </w:tc>
        <w:tc>
          <w:tcPr>
            <w:tcW w:w="2437" w:type="dxa"/>
            <w:tcBorders>
              <w:top w:val="single" w:sz="4" w:space="0" w:color="auto"/>
              <w:left w:val="nil"/>
              <w:bottom w:val="single" w:sz="4" w:space="0" w:color="auto"/>
              <w:right w:val="single" w:sz="4" w:space="0" w:color="auto"/>
            </w:tcBorders>
          </w:tcPr>
          <w:p w14:paraId="605112FD"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c>
          <w:tcPr>
            <w:tcW w:w="2329" w:type="dxa"/>
            <w:tcBorders>
              <w:top w:val="nil"/>
              <w:left w:val="single" w:sz="4" w:space="0" w:color="auto"/>
              <w:bottom w:val="single" w:sz="4" w:space="0" w:color="auto"/>
              <w:right w:val="single" w:sz="4" w:space="0" w:color="auto"/>
            </w:tcBorders>
          </w:tcPr>
          <w:p w14:paraId="21525A7D"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r>
      <w:tr w:rsidR="00B24B98" w:rsidRPr="00B6751D" w14:paraId="6FDC8A87" w14:textId="77777777" w:rsidTr="00A94054">
        <w:trPr>
          <w:trHeight w:val="290"/>
        </w:trPr>
        <w:tc>
          <w:tcPr>
            <w:tcW w:w="3397" w:type="dxa"/>
            <w:tcBorders>
              <w:top w:val="nil"/>
              <w:left w:val="single" w:sz="4" w:space="0" w:color="auto"/>
              <w:bottom w:val="single" w:sz="4" w:space="0" w:color="auto"/>
              <w:right w:val="single" w:sz="4" w:space="0" w:color="auto"/>
            </w:tcBorders>
            <w:shd w:val="clear" w:color="auto" w:fill="auto"/>
            <w:vAlign w:val="bottom"/>
            <w:hideMark/>
          </w:tcPr>
          <w:p w14:paraId="3FDCAA09" w14:textId="77777777" w:rsidR="00B24B98" w:rsidRPr="00B6751D" w:rsidRDefault="00B24B98" w:rsidP="00A94054">
            <w:pPr>
              <w:spacing w:after="0" w:line="240" w:lineRule="auto"/>
              <w:rPr>
                <w:rFonts w:ascii="Calibri" w:eastAsia="Times New Roman" w:hAnsi="Calibri" w:cs="Calibri"/>
                <w:color w:val="000000"/>
                <w:lang w:eastAsia="en-GB"/>
              </w:rPr>
            </w:pPr>
            <w:r w:rsidRPr="00B6751D">
              <w:rPr>
                <w:rFonts w:ascii="Calibri" w:eastAsia="Times New Roman" w:hAnsi="Calibri" w:cs="Calibri"/>
                <w:color w:val="000000"/>
                <w:lang w:eastAsia="en-GB"/>
              </w:rPr>
              <w:t>unconcious</w:t>
            </w:r>
          </w:p>
        </w:tc>
        <w:tc>
          <w:tcPr>
            <w:tcW w:w="1391" w:type="dxa"/>
            <w:tcBorders>
              <w:top w:val="nil"/>
              <w:left w:val="nil"/>
              <w:bottom w:val="single" w:sz="4" w:space="0" w:color="auto"/>
              <w:right w:val="single" w:sz="4" w:space="0" w:color="auto"/>
            </w:tcBorders>
            <w:shd w:val="clear" w:color="auto" w:fill="auto"/>
            <w:noWrap/>
            <w:vAlign w:val="bottom"/>
            <w:hideMark/>
          </w:tcPr>
          <w:p w14:paraId="0F7402E6" w14:textId="77777777" w:rsidR="00B24B98" w:rsidRPr="00B6751D" w:rsidRDefault="00B24B98" w:rsidP="00A94054">
            <w:pPr>
              <w:spacing w:after="0" w:line="240" w:lineRule="auto"/>
              <w:jc w:val="right"/>
              <w:rPr>
                <w:rFonts w:ascii="Calibri" w:eastAsia="Times New Roman" w:hAnsi="Calibri" w:cs="Calibri"/>
                <w:color w:val="000000"/>
                <w:lang w:eastAsia="en-GB"/>
              </w:rPr>
            </w:pPr>
            <w:r w:rsidRPr="00B6751D">
              <w:rPr>
                <w:rFonts w:ascii="Calibri" w:eastAsia="Times New Roman" w:hAnsi="Calibri" w:cs="Calibri"/>
                <w:color w:val="000000"/>
                <w:lang w:eastAsia="en-GB"/>
              </w:rPr>
              <w:t>1</w:t>
            </w:r>
          </w:p>
        </w:tc>
        <w:tc>
          <w:tcPr>
            <w:tcW w:w="2437" w:type="dxa"/>
            <w:tcBorders>
              <w:top w:val="single" w:sz="4" w:space="0" w:color="auto"/>
              <w:left w:val="nil"/>
              <w:bottom w:val="single" w:sz="4" w:space="0" w:color="auto"/>
              <w:right w:val="single" w:sz="4" w:space="0" w:color="auto"/>
            </w:tcBorders>
          </w:tcPr>
          <w:p w14:paraId="709FED0C"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c>
          <w:tcPr>
            <w:tcW w:w="2329" w:type="dxa"/>
            <w:tcBorders>
              <w:top w:val="nil"/>
              <w:left w:val="single" w:sz="4" w:space="0" w:color="auto"/>
              <w:bottom w:val="single" w:sz="4" w:space="0" w:color="auto"/>
              <w:right w:val="single" w:sz="4" w:space="0" w:color="auto"/>
            </w:tcBorders>
          </w:tcPr>
          <w:p w14:paraId="4255C7BE"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r>
      <w:tr w:rsidR="00B24B98" w:rsidRPr="00B6751D" w14:paraId="50F56E22" w14:textId="77777777" w:rsidTr="00A94054">
        <w:trPr>
          <w:trHeight w:val="290"/>
        </w:trPr>
        <w:tc>
          <w:tcPr>
            <w:tcW w:w="3397" w:type="dxa"/>
            <w:tcBorders>
              <w:top w:val="nil"/>
              <w:left w:val="single" w:sz="4" w:space="0" w:color="auto"/>
              <w:bottom w:val="single" w:sz="4" w:space="0" w:color="auto"/>
              <w:right w:val="single" w:sz="4" w:space="0" w:color="auto"/>
            </w:tcBorders>
            <w:shd w:val="clear" w:color="auto" w:fill="auto"/>
            <w:noWrap/>
            <w:vAlign w:val="bottom"/>
            <w:hideMark/>
          </w:tcPr>
          <w:p w14:paraId="7ABB5A52" w14:textId="77777777" w:rsidR="00B24B98" w:rsidRPr="00B6751D" w:rsidRDefault="00B24B98" w:rsidP="00A94054">
            <w:pPr>
              <w:spacing w:after="0" w:line="240" w:lineRule="auto"/>
              <w:rPr>
                <w:rFonts w:ascii="Calibri" w:eastAsia="Times New Roman" w:hAnsi="Calibri" w:cs="Calibri"/>
                <w:color w:val="000000"/>
                <w:lang w:eastAsia="en-GB"/>
              </w:rPr>
            </w:pPr>
            <w:r w:rsidRPr="00B6751D">
              <w:rPr>
                <w:rFonts w:ascii="Calibri" w:eastAsia="Times New Roman" w:hAnsi="Calibri" w:cs="Calibri"/>
                <w:color w:val="000000"/>
                <w:lang w:eastAsia="en-GB"/>
              </w:rPr>
              <w:t>coagulation</w:t>
            </w:r>
          </w:p>
        </w:tc>
        <w:tc>
          <w:tcPr>
            <w:tcW w:w="1391" w:type="dxa"/>
            <w:tcBorders>
              <w:top w:val="nil"/>
              <w:left w:val="nil"/>
              <w:bottom w:val="single" w:sz="4" w:space="0" w:color="auto"/>
              <w:right w:val="single" w:sz="4" w:space="0" w:color="auto"/>
            </w:tcBorders>
            <w:shd w:val="clear" w:color="auto" w:fill="auto"/>
            <w:noWrap/>
            <w:vAlign w:val="bottom"/>
            <w:hideMark/>
          </w:tcPr>
          <w:p w14:paraId="0084F09B" w14:textId="77777777" w:rsidR="00B24B98" w:rsidRPr="00B6751D" w:rsidRDefault="00B24B98" w:rsidP="00A94054">
            <w:pPr>
              <w:spacing w:after="0" w:line="240" w:lineRule="auto"/>
              <w:jc w:val="right"/>
              <w:rPr>
                <w:rFonts w:ascii="Calibri" w:eastAsia="Times New Roman" w:hAnsi="Calibri" w:cs="Calibri"/>
                <w:color w:val="000000"/>
                <w:lang w:eastAsia="en-GB"/>
              </w:rPr>
            </w:pPr>
            <w:r w:rsidRPr="00B6751D">
              <w:rPr>
                <w:rFonts w:ascii="Calibri" w:eastAsia="Times New Roman" w:hAnsi="Calibri" w:cs="Calibri"/>
                <w:color w:val="000000"/>
                <w:lang w:eastAsia="en-GB"/>
              </w:rPr>
              <w:t>1</w:t>
            </w:r>
          </w:p>
        </w:tc>
        <w:tc>
          <w:tcPr>
            <w:tcW w:w="2437" w:type="dxa"/>
            <w:tcBorders>
              <w:top w:val="single" w:sz="4" w:space="0" w:color="auto"/>
              <w:left w:val="nil"/>
              <w:bottom w:val="single" w:sz="4" w:space="0" w:color="auto"/>
              <w:right w:val="single" w:sz="4" w:space="0" w:color="auto"/>
            </w:tcBorders>
          </w:tcPr>
          <w:p w14:paraId="070F24AE"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c>
          <w:tcPr>
            <w:tcW w:w="2329" w:type="dxa"/>
            <w:tcBorders>
              <w:top w:val="nil"/>
              <w:left w:val="single" w:sz="4" w:space="0" w:color="auto"/>
              <w:bottom w:val="single" w:sz="4" w:space="0" w:color="auto"/>
              <w:right w:val="single" w:sz="4" w:space="0" w:color="auto"/>
            </w:tcBorders>
          </w:tcPr>
          <w:p w14:paraId="6AFEEDCB"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r>
      <w:tr w:rsidR="00B24B98" w:rsidRPr="00B6751D" w14:paraId="1AC60BE3" w14:textId="77777777" w:rsidTr="00A94054">
        <w:trPr>
          <w:trHeight w:val="290"/>
        </w:trPr>
        <w:tc>
          <w:tcPr>
            <w:tcW w:w="3397" w:type="dxa"/>
            <w:tcBorders>
              <w:top w:val="nil"/>
              <w:left w:val="single" w:sz="4" w:space="0" w:color="auto"/>
              <w:bottom w:val="single" w:sz="4" w:space="0" w:color="auto"/>
              <w:right w:val="single" w:sz="4" w:space="0" w:color="auto"/>
            </w:tcBorders>
            <w:shd w:val="clear" w:color="auto" w:fill="auto"/>
            <w:noWrap/>
            <w:vAlign w:val="bottom"/>
            <w:hideMark/>
          </w:tcPr>
          <w:p w14:paraId="728EE770" w14:textId="77777777" w:rsidR="00B24B98" w:rsidRPr="00B6751D" w:rsidRDefault="00B24B98" w:rsidP="00A94054">
            <w:pPr>
              <w:spacing w:after="0" w:line="240" w:lineRule="auto"/>
              <w:rPr>
                <w:rFonts w:ascii="Calibri" w:eastAsia="Times New Roman" w:hAnsi="Calibri" w:cs="Calibri"/>
                <w:color w:val="000000"/>
                <w:lang w:eastAsia="en-GB"/>
              </w:rPr>
            </w:pPr>
            <w:r w:rsidRPr="00B6751D">
              <w:rPr>
                <w:rFonts w:ascii="Calibri" w:eastAsia="Times New Roman" w:hAnsi="Calibri" w:cs="Calibri"/>
                <w:color w:val="000000"/>
                <w:lang w:eastAsia="en-GB"/>
              </w:rPr>
              <w:t>electrolyte abnormlaity or CNS</w:t>
            </w:r>
          </w:p>
        </w:tc>
        <w:tc>
          <w:tcPr>
            <w:tcW w:w="1391" w:type="dxa"/>
            <w:tcBorders>
              <w:top w:val="nil"/>
              <w:left w:val="nil"/>
              <w:bottom w:val="single" w:sz="4" w:space="0" w:color="auto"/>
              <w:right w:val="single" w:sz="4" w:space="0" w:color="auto"/>
            </w:tcBorders>
            <w:shd w:val="clear" w:color="auto" w:fill="auto"/>
            <w:noWrap/>
            <w:vAlign w:val="bottom"/>
            <w:hideMark/>
          </w:tcPr>
          <w:p w14:paraId="6F51B2C3" w14:textId="77777777" w:rsidR="00B24B98" w:rsidRPr="00B6751D" w:rsidRDefault="00B24B98" w:rsidP="00A94054">
            <w:pPr>
              <w:spacing w:after="0" w:line="240" w:lineRule="auto"/>
              <w:jc w:val="right"/>
              <w:rPr>
                <w:rFonts w:ascii="Calibri" w:eastAsia="Times New Roman" w:hAnsi="Calibri" w:cs="Calibri"/>
                <w:color w:val="000000"/>
                <w:lang w:eastAsia="en-GB"/>
              </w:rPr>
            </w:pPr>
            <w:r w:rsidRPr="00B6751D">
              <w:rPr>
                <w:rFonts w:ascii="Calibri" w:eastAsia="Times New Roman" w:hAnsi="Calibri" w:cs="Calibri"/>
                <w:color w:val="000000"/>
                <w:lang w:eastAsia="en-GB"/>
              </w:rPr>
              <w:t>1</w:t>
            </w:r>
          </w:p>
        </w:tc>
        <w:tc>
          <w:tcPr>
            <w:tcW w:w="2437" w:type="dxa"/>
            <w:tcBorders>
              <w:top w:val="single" w:sz="4" w:space="0" w:color="auto"/>
              <w:left w:val="nil"/>
              <w:bottom w:val="single" w:sz="4" w:space="0" w:color="auto"/>
              <w:right w:val="single" w:sz="4" w:space="0" w:color="auto"/>
            </w:tcBorders>
          </w:tcPr>
          <w:p w14:paraId="2C43E571"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c>
          <w:tcPr>
            <w:tcW w:w="2329" w:type="dxa"/>
            <w:tcBorders>
              <w:top w:val="nil"/>
              <w:left w:val="single" w:sz="4" w:space="0" w:color="auto"/>
              <w:bottom w:val="single" w:sz="4" w:space="0" w:color="auto"/>
              <w:right w:val="single" w:sz="4" w:space="0" w:color="auto"/>
            </w:tcBorders>
          </w:tcPr>
          <w:p w14:paraId="43C5EA9B"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r>
      <w:tr w:rsidR="00B24B98" w:rsidRPr="00B6751D" w14:paraId="141C9001" w14:textId="77777777" w:rsidTr="00A94054">
        <w:trPr>
          <w:trHeight w:val="290"/>
        </w:trPr>
        <w:tc>
          <w:tcPr>
            <w:tcW w:w="3397" w:type="dxa"/>
            <w:tcBorders>
              <w:top w:val="nil"/>
              <w:left w:val="single" w:sz="4" w:space="0" w:color="auto"/>
              <w:bottom w:val="single" w:sz="4" w:space="0" w:color="auto"/>
              <w:right w:val="single" w:sz="4" w:space="0" w:color="auto"/>
            </w:tcBorders>
            <w:shd w:val="clear" w:color="auto" w:fill="auto"/>
            <w:noWrap/>
            <w:vAlign w:val="bottom"/>
            <w:hideMark/>
          </w:tcPr>
          <w:p w14:paraId="3AC2B332" w14:textId="77777777" w:rsidR="00B24B98" w:rsidRPr="00B6751D" w:rsidRDefault="00B24B98" w:rsidP="00A94054">
            <w:pPr>
              <w:spacing w:after="0" w:line="240" w:lineRule="auto"/>
              <w:rPr>
                <w:rFonts w:ascii="Calibri" w:eastAsia="Times New Roman" w:hAnsi="Calibri" w:cs="Calibri"/>
                <w:color w:val="000000"/>
                <w:lang w:eastAsia="en-GB"/>
              </w:rPr>
            </w:pPr>
            <w:r w:rsidRPr="00B6751D">
              <w:rPr>
                <w:rFonts w:ascii="Calibri" w:eastAsia="Times New Roman" w:hAnsi="Calibri" w:cs="Calibri"/>
                <w:color w:val="000000"/>
                <w:lang w:eastAsia="en-GB"/>
              </w:rPr>
              <w:t>Haemat / resp</w:t>
            </w:r>
          </w:p>
        </w:tc>
        <w:tc>
          <w:tcPr>
            <w:tcW w:w="1391" w:type="dxa"/>
            <w:tcBorders>
              <w:top w:val="nil"/>
              <w:left w:val="nil"/>
              <w:bottom w:val="single" w:sz="4" w:space="0" w:color="auto"/>
              <w:right w:val="single" w:sz="4" w:space="0" w:color="auto"/>
            </w:tcBorders>
            <w:shd w:val="clear" w:color="auto" w:fill="auto"/>
            <w:noWrap/>
            <w:vAlign w:val="bottom"/>
            <w:hideMark/>
          </w:tcPr>
          <w:p w14:paraId="5A6153B0" w14:textId="77777777" w:rsidR="00B24B98" w:rsidRPr="00B6751D" w:rsidRDefault="00B24B98" w:rsidP="00A94054">
            <w:pPr>
              <w:spacing w:after="0" w:line="240" w:lineRule="auto"/>
              <w:jc w:val="right"/>
              <w:rPr>
                <w:rFonts w:ascii="Calibri" w:eastAsia="Times New Roman" w:hAnsi="Calibri" w:cs="Calibri"/>
                <w:color w:val="000000"/>
                <w:lang w:eastAsia="en-GB"/>
              </w:rPr>
            </w:pPr>
            <w:r w:rsidRPr="00B6751D">
              <w:rPr>
                <w:rFonts w:ascii="Calibri" w:eastAsia="Times New Roman" w:hAnsi="Calibri" w:cs="Calibri"/>
                <w:color w:val="000000"/>
                <w:lang w:eastAsia="en-GB"/>
              </w:rPr>
              <w:t>1</w:t>
            </w:r>
          </w:p>
        </w:tc>
        <w:tc>
          <w:tcPr>
            <w:tcW w:w="2437" w:type="dxa"/>
            <w:tcBorders>
              <w:top w:val="single" w:sz="4" w:space="0" w:color="auto"/>
              <w:left w:val="nil"/>
              <w:bottom w:val="single" w:sz="4" w:space="0" w:color="auto"/>
              <w:right w:val="single" w:sz="4" w:space="0" w:color="auto"/>
            </w:tcBorders>
          </w:tcPr>
          <w:p w14:paraId="62D46E90"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c>
          <w:tcPr>
            <w:tcW w:w="2329" w:type="dxa"/>
            <w:tcBorders>
              <w:top w:val="nil"/>
              <w:left w:val="single" w:sz="4" w:space="0" w:color="auto"/>
              <w:bottom w:val="single" w:sz="4" w:space="0" w:color="auto"/>
              <w:right w:val="single" w:sz="4" w:space="0" w:color="auto"/>
            </w:tcBorders>
          </w:tcPr>
          <w:p w14:paraId="0AA26C2C"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r>
      <w:tr w:rsidR="00B24B98" w:rsidRPr="00B6751D" w14:paraId="34FDD095" w14:textId="77777777" w:rsidTr="00A94054">
        <w:trPr>
          <w:trHeight w:val="290"/>
        </w:trPr>
        <w:tc>
          <w:tcPr>
            <w:tcW w:w="3397" w:type="dxa"/>
            <w:tcBorders>
              <w:top w:val="nil"/>
              <w:left w:val="single" w:sz="4" w:space="0" w:color="auto"/>
              <w:bottom w:val="single" w:sz="4" w:space="0" w:color="auto"/>
              <w:right w:val="single" w:sz="4" w:space="0" w:color="auto"/>
            </w:tcBorders>
            <w:shd w:val="clear" w:color="auto" w:fill="auto"/>
            <w:noWrap/>
            <w:vAlign w:val="bottom"/>
            <w:hideMark/>
          </w:tcPr>
          <w:p w14:paraId="26CD3CCC" w14:textId="77777777" w:rsidR="00B24B98" w:rsidRPr="00B6751D" w:rsidRDefault="00B24B98" w:rsidP="00A94054">
            <w:pPr>
              <w:spacing w:after="0" w:line="240" w:lineRule="auto"/>
              <w:rPr>
                <w:rFonts w:ascii="Calibri" w:eastAsia="Times New Roman" w:hAnsi="Calibri" w:cs="Calibri"/>
                <w:color w:val="000000"/>
                <w:lang w:eastAsia="en-GB"/>
              </w:rPr>
            </w:pPr>
            <w:r w:rsidRPr="00B6751D">
              <w:rPr>
                <w:rFonts w:ascii="Calibri" w:eastAsia="Times New Roman" w:hAnsi="Calibri" w:cs="Calibri"/>
                <w:color w:val="000000"/>
                <w:lang w:eastAsia="en-GB"/>
              </w:rPr>
              <w:t>Failure</w:t>
            </w:r>
          </w:p>
        </w:tc>
        <w:tc>
          <w:tcPr>
            <w:tcW w:w="1391" w:type="dxa"/>
            <w:tcBorders>
              <w:top w:val="nil"/>
              <w:left w:val="nil"/>
              <w:bottom w:val="single" w:sz="4" w:space="0" w:color="auto"/>
              <w:right w:val="single" w:sz="4" w:space="0" w:color="auto"/>
            </w:tcBorders>
            <w:shd w:val="clear" w:color="auto" w:fill="auto"/>
            <w:noWrap/>
            <w:vAlign w:val="bottom"/>
            <w:hideMark/>
          </w:tcPr>
          <w:p w14:paraId="2AA22E0F" w14:textId="77777777" w:rsidR="00B24B98" w:rsidRPr="00B6751D" w:rsidRDefault="00B24B98" w:rsidP="00A94054">
            <w:pPr>
              <w:spacing w:after="0" w:line="240" w:lineRule="auto"/>
              <w:jc w:val="right"/>
              <w:rPr>
                <w:rFonts w:ascii="Calibri" w:eastAsia="Times New Roman" w:hAnsi="Calibri" w:cs="Calibri"/>
                <w:color w:val="000000"/>
                <w:lang w:eastAsia="en-GB"/>
              </w:rPr>
            </w:pPr>
            <w:r w:rsidRPr="00B6751D">
              <w:rPr>
                <w:rFonts w:ascii="Calibri" w:eastAsia="Times New Roman" w:hAnsi="Calibri" w:cs="Calibri"/>
                <w:color w:val="000000"/>
                <w:lang w:eastAsia="en-GB"/>
              </w:rPr>
              <w:t>1</w:t>
            </w:r>
          </w:p>
        </w:tc>
        <w:tc>
          <w:tcPr>
            <w:tcW w:w="2437" w:type="dxa"/>
            <w:tcBorders>
              <w:top w:val="single" w:sz="4" w:space="0" w:color="auto"/>
              <w:left w:val="nil"/>
              <w:bottom w:val="single" w:sz="4" w:space="0" w:color="auto"/>
              <w:right w:val="single" w:sz="4" w:space="0" w:color="auto"/>
            </w:tcBorders>
          </w:tcPr>
          <w:p w14:paraId="2ACDC806"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c>
          <w:tcPr>
            <w:tcW w:w="2329" w:type="dxa"/>
            <w:tcBorders>
              <w:top w:val="nil"/>
              <w:left w:val="single" w:sz="4" w:space="0" w:color="auto"/>
              <w:bottom w:val="single" w:sz="4" w:space="0" w:color="auto"/>
              <w:right w:val="single" w:sz="4" w:space="0" w:color="auto"/>
            </w:tcBorders>
          </w:tcPr>
          <w:p w14:paraId="337F481A"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r>
      <w:tr w:rsidR="00B24B98" w:rsidRPr="00B6751D" w14:paraId="6DD97EEF" w14:textId="77777777" w:rsidTr="00A94054">
        <w:trPr>
          <w:trHeight w:val="290"/>
        </w:trPr>
        <w:tc>
          <w:tcPr>
            <w:tcW w:w="3397" w:type="dxa"/>
            <w:tcBorders>
              <w:top w:val="nil"/>
              <w:left w:val="single" w:sz="4" w:space="0" w:color="auto"/>
              <w:bottom w:val="single" w:sz="4" w:space="0" w:color="auto"/>
              <w:right w:val="single" w:sz="4" w:space="0" w:color="auto"/>
            </w:tcBorders>
            <w:shd w:val="clear" w:color="auto" w:fill="auto"/>
            <w:vAlign w:val="bottom"/>
            <w:hideMark/>
          </w:tcPr>
          <w:p w14:paraId="0837B461" w14:textId="77777777" w:rsidR="00B24B98" w:rsidRPr="00B6751D" w:rsidRDefault="00B24B98" w:rsidP="00A94054">
            <w:pPr>
              <w:spacing w:after="0" w:line="240" w:lineRule="auto"/>
              <w:rPr>
                <w:rFonts w:ascii="Calibri" w:eastAsia="Times New Roman" w:hAnsi="Calibri" w:cs="Calibri"/>
                <w:color w:val="000000"/>
                <w:lang w:eastAsia="en-GB"/>
              </w:rPr>
            </w:pPr>
            <w:r w:rsidRPr="00B6751D">
              <w:rPr>
                <w:rFonts w:ascii="Calibri" w:eastAsia="Times New Roman" w:hAnsi="Calibri" w:cs="Calibri"/>
                <w:color w:val="000000"/>
                <w:lang w:eastAsia="en-GB"/>
              </w:rPr>
              <w:t>Metabolic or toxic</w:t>
            </w:r>
          </w:p>
        </w:tc>
        <w:tc>
          <w:tcPr>
            <w:tcW w:w="1391" w:type="dxa"/>
            <w:tcBorders>
              <w:top w:val="nil"/>
              <w:left w:val="nil"/>
              <w:bottom w:val="single" w:sz="4" w:space="0" w:color="auto"/>
              <w:right w:val="single" w:sz="4" w:space="0" w:color="auto"/>
            </w:tcBorders>
            <w:shd w:val="clear" w:color="auto" w:fill="auto"/>
            <w:noWrap/>
            <w:vAlign w:val="bottom"/>
            <w:hideMark/>
          </w:tcPr>
          <w:p w14:paraId="5C0FB551" w14:textId="77777777" w:rsidR="00B24B98" w:rsidRPr="00B6751D" w:rsidRDefault="00B24B98" w:rsidP="00A94054">
            <w:pPr>
              <w:spacing w:after="0" w:line="240" w:lineRule="auto"/>
              <w:jc w:val="right"/>
              <w:rPr>
                <w:rFonts w:ascii="Calibri" w:eastAsia="Times New Roman" w:hAnsi="Calibri" w:cs="Calibri"/>
                <w:color w:val="000000"/>
                <w:lang w:eastAsia="en-GB"/>
              </w:rPr>
            </w:pPr>
            <w:r w:rsidRPr="00B6751D">
              <w:rPr>
                <w:rFonts w:ascii="Calibri" w:eastAsia="Times New Roman" w:hAnsi="Calibri" w:cs="Calibri"/>
                <w:color w:val="000000"/>
                <w:lang w:eastAsia="en-GB"/>
              </w:rPr>
              <w:t>0</w:t>
            </w:r>
          </w:p>
        </w:tc>
        <w:tc>
          <w:tcPr>
            <w:tcW w:w="2437" w:type="dxa"/>
            <w:tcBorders>
              <w:top w:val="single" w:sz="4" w:space="0" w:color="auto"/>
              <w:left w:val="nil"/>
              <w:bottom w:val="single" w:sz="4" w:space="0" w:color="auto"/>
              <w:right w:val="single" w:sz="4" w:space="0" w:color="auto"/>
            </w:tcBorders>
          </w:tcPr>
          <w:p w14:paraId="61ABDA96"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c>
          <w:tcPr>
            <w:tcW w:w="2329" w:type="dxa"/>
            <w:tcBorders>
              <w:top w:val="nil"/>
              <w:left w:val="single" w:sz="4" w:space="0" w:color="auto"/>
              <w:bottom w:val="single" w:sz="4" w:space="0" w:color="auto"/>
              <w:right w:val="single" w:sz="4" w:space="0" w:color="auto"/>
            </w:tcBorders>
          </w:tcPr>
          <w:p w14:paraId="18ED977E" w14:textId="77777777" w:rsidR="00B24B98" w:rsidRPr="00B6751D" w:rsidRDefault="00B24B98" w:rsidP="00A94054">
            <w:pPr>
              <w:spacing w:after="0" w:line="240" w:lineRule="auto"/>
              <w:jc w:val="right"/>
              <w:rPr>
                <w:rFonts w:ascii="Calibri" w:eastAsia="Times New Roman" w:hAnsi="Calibri" w:cs="Calibri"/>
                <w:color w:val="000000"/>
                <w:lang w:eastAsia="en-GB"/>
              </w:rPr>
            </w:pPr>
          </w:p>
        </w:tc>
      </w:tr>
    </w:tbl>
    <w:p w14:paraId="5E823022" w14:textId="77777777" w:rsidR="00B24B98" w:rsidRPr="005A6058" w:rsidRDefault="00B24B98" w:rsidP="00C36689">
      <w:pPr>
        <w:spacing w:line="360" w:lineRule="auto"/>
        <w:jc w:val="both"/>
        <w:rPr>
          <w:i/>
          <w:color w:val="FF0000"/>
        </w:rPr>
      </w:pPr>
    </w:p>
    <w:p w14:paraId="7B8B25C4" w14:textId="77777777" w:rsidR="00D974A5" w:rsidRDefault="00D974A5" w:rsidP="00C36689">
      <w:pPr>
        <w:spacing w:line="360" w:lineRule="auto"/>
        <w:jc w:val="both"/>
        <w:rPr>
          <w:b/>
          <w:bCs/>
          <w:i/>
          <w:iCs/>
        </w:rPr>
      </w:pPr>
    </w:p>
    <w:p w14:paraId="1CF3025C" w14:textId="128DAA23" w:rsidR="00C36689" w:rsidRPr="00C36689" w:rsidRDefault="000D6DAB" w:rsidP="00C36689">
      <w:pPr>
        <w:spacing w:line="360" w:lineRule="auto"/>
        <w:jc w:val="both"/>
      </w:pPr>
      <w:r>
        <w:rPr>
          <w:b/>
          <w:bCs/>
          <w:i/>
          <w:iCs/>
        </w:rPr>
        <w:t xml:space="preserve">3.7 </w:t>
      </w:r>
      <w:r w:rsidR="00C36689" w:rsidRPr="00C36689">
        <w:rPr>
          <w:b/>
          <w:bCs/>
          <w:i/>
          <w:iCs/>
        </w:rPr>
        <w:t>ADR Drugs</w:t>
      </w:r>
    </w:p>
    <w:p w14:paraId="7AF31E97" w14:textId="017F6CBB" w:rsidR="00316392" w:rsidRDefault="002C254A" w:rsidP="007202F3">
      <w:pPr>
        <w:spacing w:line="360" w:lineRule="auto"/>
        <w:jc w:val="both"/>
      </w:pPr>
      <w:r>
        <w:t>17 studies</w:t>
      </w:r>
      <w:r w:rsidR="0044014A">
        <w:t xml:space="preserve"> </w:t>
      </w:r>
      <w:r>
        <w:rPr>
          <w:noProof/>
        </w:rPr>
        <w:t>[22, 24-26, 29, 32, 33, 35, 37, 39, 42, 43, 45-47, 49-51]</w:t>
      </w:r>
      <w:r w:rsidR="0044014A">
        <w:t xml:space="preserve"> reported on drugs associated with ADRs in those aged 65 years</w:t>
      </w:r>
      <w:r w:rsidR="007A242A">
        <w:t xml:space="preserve"> or above occurring in hospital.</w:t>
      </w:r>
      <w:r w:rsidR="00316392" w:rsidRPr="00316392">
        <w:t xml:space="preserve"> </w:t>
      </w:r>
      <w:r w:rsidR="00316392">
        <w:t xml:space="preserve">Reporting varied across the papers, with some reporting by drug name, drug group and ATC code subgroup. Additionally some papers only reported if the drug was suspected in cohorts of patients and not single cases (i.e ≥ 3 cases). </w:t>
      </w:r>
      <w:commentRangeStart w:id="23"/>
      <w:r w:rsidR="00316392">
        <w:t xml:space="preserve">We extracted all available details on drugs deemed accountable for the assessed ADRs. We then sub-grouped the reported drugs by common ATC groups and reported the numbers as percentages of reported drug number. Given the lack of common methodology between studies we could not report as percentage of overall ADRs. </w:t>
      </w:r>
      <w:r w:rsidR="00316392" w:rsidRPr="00C80E5E">
        <w:t>*REPORTED AS % OF N DRUGS PER INCLUDED STUDIES; Some papers reported # pts and others # ADRs so hence only constant to make comparable statements is proportion by number of reported drugs</w:t>
      </w:r>
      <w:r w:rsidR="00316392">
        <w:t>.</w:t>
      </w:r>
      <w:commentRangeEnd w:id="23"/>
      <w:r w:rsidR="00316392">
        <w:rPr>
          <w:rStyle w:val="CommentReference"/>
        </w:rPr>
        <w:commentReference w:id="23"/>
      </w:r>
    </w:p>
    <w:p w14:paraId="7BEEC507" w14:textId="4B6CC911" w:rsidR="007545AA" w:rsidRDefault="007A242A" w:rsidP="007202F3">
      <w:pPr>
        <w:spacing w:line="360" w:lineRule="auto"/>
        <w:jc w:val="both"/>
      </w:pPr>
      <w:r>
        <w:t xml:space="preserve">A total of </w:t>
      </w:r>
      <w:r w:rsidR="002C254A">
        <w:t>count of 2</w:t>
      </w:r>
      <w:r w:rsidR="00B73198">
        <w:t>,</w:t>
      </w:r>
      <w:r w:rsidR="002C254A">
        <w:t xml:space="preserve">425 causative entities were reported. </w:t>
      </w:r>
      <w:r w:rsidR="007202F3">
        <w:t xml:space="preserve">In </w:t>
      </w:r>
      <w:r w:rsidR="002C254A">
        <w:t>2</w:t>
      </w:r>
      <w:r w:rsidR="007202F3">
        <w:t>,</w:t>
      </w:r>
      <w:r w:rsidR="002C254A">
        <w:t xml:space="preserve">382 </w:t>
      </w:r>
      <w:r w:rsidR="007202F3">
        <w:t xml:space="preserve">cases </w:t>
      </w:r>
      <w:r w:rsidR="002C254A">
        <w:t xml:space="preserve">ATC </w:t>
      </w:r>
      <w:r w:rsidR="007202F3">
        <w:t xml:space="preserve">classification could be applied, </w:t>
      </w:r>
      <w:r w:rsidR="00B73198">
        <w:t>spanning</w:t>
      </w:r>
      <w:r w:rsidR="00150A3B">
        <w:t xml:space="preserve"> 49</w:t>
      </w:r>
      <w:r w:rsidR="002C254A">
        <w:t xml:space="preserve"> therapeutic subgroups</w:t>
      </w:r>
      <w:r w:rsidR="00A376FE">
        <w:t xml:space="preserve">. </w:t>
      </w:r>
      <w:r w:rsidR="002C254A">
        <w:t>By anatomical (1</w:t>
      </w:r>
      <w:r w:rsidR="002C254A" w:rsidRPr="002C254A">
        <w:rPr>
          <w:vertAlign w:val="superscript"/>
        </w:rPr>
        <w:t>st</w:t>
      </w:r>
      <w:r w:rsidR="002C254A">
        <w:t xml:space="preserve"> level ATC) grouping cardiovascular system agents were most frequently reported as being causative of ADRs, accounting for almost one-in-three ADR</w:t>
      </w:r>
      <w:r w:rsidR="00B73198">
        <w:t>s 769 (32.28%</w:t>
      </w:r>
      <w:r w:rsidR="008D481C">
        <w:t>; diuretics 473 19.86%</w:t>
      </w:r>
      <w:r w:rsidR="00B73198">
        <w:t>)</w:t>
      </w:r>
      <w:r w:rsidR="002C254A">
        <w:t xml:space="preserve">. </w:t>
      </w:r>
      <w:r w:rsidR="007202F3">
        <w:t xml:space="preserve">Followed by central nervous system 415 </w:t>
      </w:r>
      <w:r w:rsidR="00B73198">
        <w:t>(</w:t>
      </w:r>
      <w:r w:rsidR="007202F3">
        <w:t>17.42%</w:t>
      </w:r>
      <w:r w:rsidR="008D481C">
        <w:t>; analgesics 260 10.92%</w:t>
      </w:r>
      <w:r w:rsidR="00B73198">
        <w:t>)</w:t>
      </w:r>
      <w:r w:rsidR="007202F3">
        <w:t>, gen</w:t>
      </w:r>
      <w:r w:rsidR="008D481C">
        <w:t>eral anti-infectives systemic</w:t>
      </w:r>
      <w:r w:rsidR="00B73198">
        <w:t xml:space="preserve"> </w:t>
      </w:r>
      <w:r w:rsidR="007202F3">
        <w:t xml:space="preserve">409 </w:t>
      </w:r>
      <w:r w:rsidR="00B73198">
        <w:t>(</w:t>
      </w:r>
      <w:r w:rsidR="007202F3">
        <w:t>17.17%</w:t>
      </w:r>
      <w:r w:rsidR="008D481C">
        <w:t>; antibacterials for systemic use 353 14.82%</w:t>
      </w:r>
      <w:r w:rsidR="00B73198">
        <w:t>)</w:t>
      </w:r>
      <w:r w:rsidR="007202F3">
        <w:t xml:space="preserve">, blood and blood forming organs 327 </w:t>
      </w:r>
      <w:r w:rsidR="00B73198">
        <w:t>(</w:t>
      </w:r>
      <w:r w:rsidR="007202F3">
        <w:t>13.73%</w:t>
      </w:r>
      <w:r w:rsidR="008D481C">
        <w:t>; antithrombotic agents 290 12.17%</w:t>
      </w:r>
      <w:r w:rsidR="00B73198">
        <w:t>)</w:t>
      </w:r>
      <w:r w:rsidR="007202F3">
        <w:t xml:space="preserve">, alimentary tract and metabolism 169 </w:t>
      </w:r>
      <w:r w:rsidR="00B73198">
        <w:t>(</w:t>
      </w:r>
      <w:r w:rsidR="007202F3">
        <w:t>7.09%</w:t>
      </w:r>
      <w:r w:rsidR="008D481C">
        <w:t>; drugs used in diabetes 61 2.56%</w:t>
      </w:r>
      <w:r w:rsidR="00B73198">
        <w:t>)</w:t>
      </w:r>
      <w:r w:rsidR="007202F3">
        <w:t xml:space="preserve">, respiratory system 132 </w:t>
      </w:r>
      <w:r w:rsidR="00B73198">
        <w:t>(</w:t>
      </w:r>
      <w:r w:rsidR="007202F3">
        <w:t>5.54%</w:t>
      </w:r>
      <w:r w:rsidR="008D481C">
        <w:t>; drugs used for obstructive airway disease 113 4.74%</w:t>
      </w:r>
      <w:r w:rsidR="00B73198">
        <w:t>)</w:t>
      </w:r>
      <w:r w:rsidR="007202F3">
        <w:t>, systemic horm</w:t>
      </w:r>
      <w:r w:rsidR="008D481C">
        <w:t>onal preparations</w:t>
      </w:r>
      <w:r w:rsidR="007202F3">
        <w:t xml:space="preserve"> excl. sex hormones 78 </w:t>
      </w:r>
      <w:r w:rsidR="00B73198">
        <w:t>(</w:t>
      </w:r>
      <w:r w:rsidR="007202F3">
        <w:t>3.27%</w:t>
      </w:r>
      <w:r w:rsidR="008D481C">
        <w:t>; corticosteroids for systemic use 77 3.23%</w:t>
      </w:r>
      <w:r w:rsidR="00B73198">
        <w:t>)</w:t>
      </w:r>
      <w:r w:rsidR="008D481C">
        <w:t xml:space="preserve">, </w:t>
      </w:r>
      <w:r w:rsidR="007202F3">
        <w:t xml:space="preserve">musculo-skeletal system 58 </w:t>
      </w:r>
      <w:r w:rsidR="00B73198">
        <w:t>(</w:t>
      </w:r>
      <w:r w:rsidR="007202F3">
        <w:t>2.43%</w:t>
      </w:r>
      <w:r w:rsidR="008D481C">
        <w:t>; NSAIDs 40 1.68%</w:t>
      </w:r>
      <w:r w:rsidR="00B73198">
        <w:t>)</w:t>
      </w:r>
      <w:r w:rsidR="007202F3">
        <w:t xml:space="preserve">, sensory organs 11 </w:t>
      </w:r>
      <w:r w:rsidR="00B73198">
        <w:t>(</w:t>
      </w:r>
      <w:r w:rsidR="007202F3">
        <w:t>0.46%</w:t>
      </w:r>
      <w:r w:rsidR="00B73198">
        <w:t>)</w:t>
      </w:r>
      <w:r w:rsidR="007202F3">
        <w:t xml:space="preserve">, antineoplastic and immunomodulating agents 6 </w:t>
      </w:r>
      <w:r w:rsidR="00B73198">
        <w:t>(</w:t>
      </w:r>
      <w:r w:rsidR="007202F3">
        <w:t>0.25%</w:t>
      </w:r>
      <w:r w:rsidR="00B73198">
        <w:t>)</w:t>
      </w:r>
      <w:r w:rsidR="007202F3">
        <w:t>, gentino-u</w:t>
      </w:r>
      <w:r w:rsidR="008D481C">
        <w:t xml:space="preserve">rinary system and sex hormones </w:t>
      </w:r>
      <w:r w:rsidR="007202F3">
        <w:t xml:space="preserve">3 </w:t>
      </w:r>
      <w:r w:rsidR="00B73198">
        <w:t>(</w:t>
      </w:r>
      <w:r w:rsidR="007202F3">
        <w:t>0.13%</w:t>
      </w:r>
      <w:r w:rsidR="008D481C">
        <w:t>; urologicals 3 0.13%</w:t>
      </w:r>
      <w:r w:rsidR="00B73198">
        <w:t>)</w:t>
      </w:r>
      <w:r w:rsidR="007202F3">
        <w:t xml:space="preserve">, dermatologics 2 </w:t>
      </w:r>
      <w:r w:rsidR="00B73198">
        <w:t>(</w:t>
      </w:r>
      <w:r w:rsidR="007202F3">
        <w:t>0.08%</w:t>
      </w:r>
      <w:r w:rsidR="008D481C">
        <w:t xml:space="preserve">; </w:t>
      </w:r>
      <w:r w:rsidR="00B73198">
        <w:t>)</w:t>
      </w:r>
      <w:r w:rsidR="007202F3">
        <w:t xml:space="preserve">, antiparasitic products, insecticides and repellents 2 </w:t>
      </w:r>
      <w:r w:rsidR="00B73198">
        <w:t>(</w:t>
      </w:r>
      <w:r w:rsidR="007202F3">
        <w:t>0.08%</w:t>
      </w:r>
      <w:r w:rsidR="00B73198">
        <w:t>)</w:t>
      </w:r>
      <w:r w:rsidR="007202F3">
        <w:t xml:space="preserve">, various 1 </w:t>
      </w:r>
      <w:r w:rsidR="00B73198">
        <w:t>(</w:t>
      </w:r>
      <w:r w:rsidR="007202F3">
        <w:t>0.04%</w:t>
      </w:r>
      <w:r w:rsidR="00B73198">
        <w:t>)</w:t>
      </w:r>
      <w:r w:rsidR="007202F3">
        <w:t>.</w:t>
      </w:r>
    </w:p>
    <w:p w14:paraId="6C72ECC1" w14:textId="4BFEE976" w:rsidR="00B24B98" w:rsidRDefault="002C254A" w:rsidP="0078596E">
      <w:pPr>
        <w:spacing w:line="360" w:lineRule="auto"/>
        <w:jc w:val="both"/>
      </w:pPr>
      <w:r>
        <w:lastRenderedPageBreak/>
        <w:t>79</w:t>
      </w:r>
      <w:r w:rsidR="0044014A" w:rsidRPr="00C36689">
        <w:t>%</w:t>
      </w:r>
      <w:r w:rsidR="00A376FE">
        <w:t xml:space="preserve"> of ADRs were associated with </w:t>
      </w:r>
      <w:r>
        <w:t xml:space="preserve">the ten most </w:t>
      </w:r>
      <w:r w:rsidR="0044014A" w:rsidRPr="00C36689">
        <w:t>commonly</w:t>
      </w:r>
      <w:r>
        <w:t xml:space="preserve"> reported therapeutic subgroups (2</w:t>
      </w:r>
      <w:r w:rsidRPr="002C254A">
        <w:rPr>
          <w:vertAlign w:val="superscript"/>
        </w:rPr>
        <w:t>nd</w:t>
      </w:r>
      <w:r>
        <w:t xml:space="preserve"> level ATC)</w:t>
      </w:r>
      <w:r w:rsidR="0044014A" w:rsidRPr="00C36689">
        <w:t xml:space="preserve">. </w:t>
      </w:r>
    </w:p>
    <w:p w14:paraId="0D4F2325" w14:textId="77777777" w:rsidR="00B24B98" w:rsidRDefault="00B24B98" w:rsidP="0078596E">
      <w:pPr>
        <w:spacing w:line="360" w:lineRule="auto"/>
        <w:jc w:val="both"/>
      </w:pPr>
    </w:p>
    <w:tbl>
      <w:tblPr>
        <w:tblW w:w="7934" w:type="dxa"/>
        <w:tblLook w:val="04A0" w:firstRow="1" w:lastRow="0" w:firstColumn="1" w:lastColumn="0" w:noHBand="0" w:noVBand="1"/>
      </w:tblPr>
      <w:tblGrid>
        <w:gridCol w:w="1062"/>
        <w:gridCol w:w="1180"/>
        <w:gridCol w:w="4521"/>
        <w:gridCol w:w="600"/>
        <w:gridCol w:w="960"/>
      </w:tblGrid>
      <w:tr w:rsidR="00B24B98" w:rsidRPr="00B24B98" w14:paraId="5102CBEB" w14:textId="77777777" w:rsidTr="00B24B98">
        <w:trPr>
          <w:trHeight w:val="580"/>
        </w:trPr>
        <w:tc>
          <w:tcPr>
            <w:tcW w:w="673" w:type="dxa"/>
            <w:tcBorders>
              <w:top w:val="single" w:sz="4" w:space="0" w:color="auto"/>
              <w:left w:val="single" w:sz="4" w:space="0" w:color="auto"/>
              <w:bottom w:val="single" w:sz="4" w:space="0" w:color="auto"/>
              <w:right w:val="single" w:sz="4" w:space="0" w:color="auto"/>
            </w:tcBorders>
            <w:shd w:val="clear" w:color="000000" w:fill="E7E6E6"/>
            <w:vAlign w:val="bottom"/>
            <w:hideMark/>
          </w:tcPr>
          <w:p w14:paraId="7431DC76" w14:textId="77777777" w:rsidR="00B24B98" w:rsidRPr="00B24B98" w:rsidRDefault="00B24B98" w:rsidP="00B24B98">
            <w:pPr>
              <w:spacing w:after="0" w:line="240" w:lineRule="auto"/>
              <w:jc w:val="center"/>
              <w:rPr>
                <w:rFonts w:ascii="Calibri" w:eastAsia="Times New Roman" w:hAnsi="Calibri" w:cs="Calibri"/>
                <w:b/>
                <w:bCs/>
                <w:color w:val="000000"/>
                <w:lang w:eastAsia="en-GB"/>
              </w:rPr>
            </w:pPr>
            <w:commentRangeStart w:id="24"/>
            <w:r w:rsidRPr="00B24B98">
              <w:rPr>
                <w:rFonts w:ascii="Calibri" w:eastAsia="Times New Roman" w:hAnsi="Calibri" w:cs="Calibri"/>
                <w:b/>
                <w:bCs/>
                <w:color w:val="000000"/>
                <w:lang w:eastAsia="en-GB"/>
              </w:rPr>
              <w:t>Ran</w:t>
            </w:r>
            <w:commentRangeEnd w:id="24"/>
            <w:r>
              <w:rPr>
                <w:rStyle w:val="CommentReference"/>
              </w:rPr>
              <w:commentReference w:id="24"/>
            </w:r>
            <w:r w:rsidRPr="00B24B98">
              <w:rPr>
                <w:rFonts w:ascii="Calibri" w:eastAsia="Times New Roman" w:hAnsi="Calibri" w:cs="Calibri"/>
                <w:b/>
                <w:bCs/>
                <w:color w:val="000000"/>
                <w:lang w:eastAsia="en-GB"/>
              </w:rPr>
              <w:t>k</w:t>
            </w:r>
          </w:p>
        </w:tc>
        <w:tc>
          <w:tcPr>
            <w:tcW w:w="1180" w:type="dxa"/>
            <w:tcBorders>
              <w:top w:val="single" w:sz="4" w:space="0" w:color="auto"/>
              <w:left w:val="nil"/>
              <w:bottom w:val="single" w:sz="4" w:space="0" w:color="auto"/>
              <w:right w:val="single" w:sz="4" w:space="0" w:color="auto"/>
            </w:tcBorders>
            <w:shd w:val="clear" w:color="000000" w:fill="E7E6E6"/>
            <w:vAlign w:val="center"/>
            <w:hideMark/>
          </w:tcPr>
          <w:p w14:paraId="37E38677" w14:textId="77777777" w:rsidR="00B24B98" w:rsidRPr="00B24B98" w:rsidRDefault="00B24B98" w:rsidP="00B24B98">
            <w:pPr>
              <w:spacing w:after="0" w:line="240" w:lineRule="auto"/>
              <w:rPr>
                <w:rFonts w:ascii="Calibri" w:eastAsia="Times New Roman" w:hAnsi="Calibri" w:cs="Calibri"/>
                <w:b/>
                <w:bCs/>
                <w:color w:val="000000"/>
                <w:lang w:eastAsia="en-GB"/>
              </w:rPr>
            </w:pPr>
            <w:r w:rsidRPr="00B24B98">
              <w:rPr>
                <w:rFonts w:ascii="Calibri" w:eastAsia="Times New Roman" w:hAnsi="Calibri" w:cs="Calibri"/>
                <w:b/>
                <w:bCs/>
                <w:color w:val="000000"/>
                <w:lang w:eastAsia="en-GB"/>
              </w:rPr>
              <w:t xml:space="preserve"> ATC 2nd </w:t>
            </w:r>
          </w:p>
        </w:tc>
        <w:tc>
          <w:tcPr>
            <w:tcW w:w="4521" w:type="dxa"/>
            <w:tcBorders>
              <w:top w:val="single" w:sz="4" w:space="0" w:color="auto"/>
              <w:left w:val="nil"/>
              <w:bottom w:val="single" w:sz="4" w:space="0" w:color="auto"/>
              <w:right w:val="single" w:sz="4" w:space="0" w:color="auto"/>
            </w:tcBorders>
            <w:shd w:val="clear" w:color="000000" w:fill="E7E6E6"/>
            <w:vAlign w:val="center"/>
            <w:hideMark/>
          </w:tcPr>
          <w:p w14:paraId="2EAA56C7" w14:textId="77777777" w:rsidR="00B24B98" w:rsidRPr="00B24B98" w:rsidRDefault="00B24B98" w:rsidP="00B24B98">
            <w:pPr>
              <w:spacing w:after="0" w:line="240" w:lineRule="auto"/>
              <w:rPr>
                <w:rFonts w:ascii="Calibri" w:eastAsia="Times New Roman" w:hAnsi="Calibri" w:cs="Calibri"/>
                <w:b/>
                <w:bCs/>
                <w:color w:val="000000"/>
                <w:lang w:eastAsia="en-GB"/>
              </w:rPr>
            </w:pPr>
            <w:r w:rsidRPr="00B24B98">
              <w:rPr>
                <w:rFonts w:ascii="Calibri" w:eastAsia="Times New Roman" w:hAnsi="Calibri" w:cs="Calibri"/>
                <w:b/>
                <w:bCs/>
                <w:color w:val="000000"/>
                <w:lang w:eastAsia="en-GB"/>
              </w:rPr>
              <w:t>therapeutic subgroup</w:t>
            </w:r>
          </w:p>
        </w:tc>
        <w:tc>
          <w:tcPr>
            <w:tcW w:w="600" w:type="dxa"/>
            <w:tcBorders>
              <w:top w:val="single" w:sz="4" w:space="0" w:color="auto"/>
              <w:left w:val="nil"/>
              <w:bottom w:val="single" w:sz="4" w:space="0" w:color="auto"/>
              <w:right w:val="single" w:sz="4" w:space="0" w:color="auto"/>
            </w:tcBorders>
            <w:shd w:val="clear" w:color="000000" w:fill="E7E6E6"/>
            <w:vAlign w:val="center"/>
            <w:hideMark/>
          </w:tcPr>
          <w:p w14:paraId="57CFD813" w14:textId="77777777" w:rsidR="00B24B98" w:rsidRPr="00B24B98" w:rsidRDefault="00B24B98" w:rsidP="00B24B98">
            <w:pPr>
              <w:spacing w:after="0" w:line="240" w:lineRule="auto"/>
              <w:rPr>
                <w:rFonts w:ascii="Calibri" w:eastAsia="Times New Roman" w:hAnsi="Calibri" w:cs="Calibri"/>
                <w:b/>
                <w:bCs/>
                <w:color w:val="000000"/>
                <w:lang w:eastAsia="en-GB"/>
              </w:rPr>
            </w:pPr>
            <w:r w:rsidRPr="00B24B98">
              <w:rPr>
                <w:rFonts w:ascii="Calibri" w:eastAsia="Times New Roman" w:hAnsi="Calibri" w:cs="Calibri"/>
                <w:b/>
                <w:bCs/>
                <w:color w:val="000000"/>
                <w:lang w:eastAsia="en-GB"/>
              </w:rPr>
              <w:t>n</w:t>
            </w:r>
          </w:p>
        </w:tc>
        <w:tc>
          <w:tcPr>
            <w:tcW w:w="960" w:type="dxa"/>
            <w:tcBorders>
              <w:top w:val="single" w:sz="4" w:space="0" w:color="auto"/>
              <w:left w:val="nil"/>
              <w:bottom w:val="single" w:sz="4" w:space="0" w:color="auto"/>
              <w:right w:val="single" w:sz="4" w:space="0" w:color="auto"/>
            </w:tcBorders>
            <w:shd w:val="clear" w:color="000000" w:fill="E7E6E6"/>
            <w:vAlign w:val="bottom"/>
            <w:hideMark/>
          </w:tcPr>
          <w:p w14:paraId="5BA12B31" w14:textId="77777777" w:rsidR="00B24B98" w:rsidRPr="00B24B98" w:rsidRDefault="00B24B98" w:rsidP="00B24B98">
            <w:pPr>
              <w:spacing w:after="0" w:line="240" w:lineRule="auto"/>
              <w:jc w:val="center"/>
              <w:rPr>
                <w:rFonts w:ascii="Calibri" w:eastAsia="Times New Roman" w:hAnsi="Calibri" w:cs="Calibri"/>
                <w:b/>
                <w:bCs/>
                <w:color w:val="000000"/>
                <w:lang w:eastAsia="en-GB"/>
              </w:rPr>
            </w:pPr>
            <w:r w:rsidRPr="00B24B98">
              <w:rPr>
                <w:rFonts w:ascii="Calibri" w:eastAsia="Times New Roman" w:hAnsi="Calibri" w:cs="Calibri"/>
                <w:b/>
                <w:bCs/>
                <w:color w:val="000000"/>
                <w:lang w:eastAsia="en-GB"/>
              </w:rPr>
              <w:t>% of 2382</w:t>
            </w:r>
          </w:p>
        </w:tc>
      </w:tr>
      <w:tr w:rsidR="00B24B98" w:rsidRPr="00B24B98" w14:paraId="3055BEAE" w14:textId="77777777" w:rsidTr="00B24B98">
        <w:trPr>
          <w:trHeight w:val="290"/>
        </w:trPr>
        <w:tc>
          <w:tcPr>
            <w:tcW w:w="673" w:type="dxa"/>
            <w:tcBorders>
              <w:top w:val="nil"/>
              <w:left w:val="single" w:sz="4" w:space="0" w:color="auto"/>
              <w:bottom w:val="single" w:sz="4" w:space="0" w:color="auto"/>
              <w:right w:val="single" w:sz="4" w:space="0" w:color="auto"/>
            </w:tcBorders>
            <w:shd w:val="clear" w:color="auto" w:fill="auto"/>
            <w:noWrap/>
            <w:vAlign w:val="bottom"/>
            <w:hideMark/>
          </w:tcPr>
          <w:p w14:paraId="7355DD65" w14:textId="77777777" w:rsidR="00B24B98" w:rsidRPr="00B24B98" w:rsidRDefault="00B24B98" w:rsidP="00B24B98">
            <w:pPr>
              <w:spacing w:after="0" w:line="240" w:lineRule="auto"/>
              <w:jc w:val="right"/>
              <w:rPr>
                <w:rFonts w:ascii="Calibri" w:eastAsia="Times New Roman" w:hAnsi="Calibri" w:cs="Calibri"/>
                <w:color w:val="000000"/>
                <w:lang w:eastAsia="en-GB"/>
              </w:rPr>
            </w:pPr>
            <w:r w:rsidRPr="00B24B98">
              <w:rPr>
                <w:rFonts w:ascii="Calibri" w:eastAsia="Times New Roman" w:hAnsi="Calibri" w:cs="Calibri"/>
                <w:color w:val="000000"/>
                <w:lang w:eastAsia="en-GB"/>
              </w:rPr>
              <w:t>1</w:t>
            </w:r>
          </w:p>
        </w:tc>
        <w:tc>
          <w:tcPr>
            <w:tcW w:w="1180" w:type="dxa"/>
            <w:tcBorders>
              <w:top w:val="nil"/>
              <w:left w:val="nil"/>
              <w:bottom w:val="single" w:sz="4" w:space="0" w:color="auto"/>
              <w:right w:val="single" w:sz="4" w:space="0" w:color="auto"/>
            </w:tcBorders>
            <w:shd w:val="clear" w:color="auto" w:fill="auto"/>
            <w:noWrap/>
            <w:vAlign w:val="center"/>
            <w:hideMark/>
          </w:tcPr>
          <w:p w14:paraId="401B6287" w14:textId="77777777" w:rsidR="00B24B98" w:rsidRPr="00B24B98" w:rsidRDefault="00B24B98" w:rsidP="00B24B98">
            <w:pPr>
              <w:spacing w:after="0" w:line="240" w:lineRule="auto"/>
              <w:rPr>
                <w:rFonts w:ascii="Calibri" w:eastAsia="Times New Roman" w:hAnsi="Calibri" w:cs="Calibri"/>
                <w:color w:val="000000"/>
                <w:lang w:eastAsia="en-GB"/>
              </w:rPr>
            </w:pPr>
            <w:r w:rsidRPr="00B24B98">
              <w:rPr>
                <w:rFonts w:ascii="Calibri" w:eastAsia="Times New Roman" w:hAnsi="Calibri" w:cs="Calibri"/>
                <w:color w:val="000000"/>
                <w:lang w:eastAsia="en-GB"/>
              </w:rPr>
              <w:t>C03</w:t>
            </w:r>
          </w:p>
        </w:tc>
        <w:tc>
          <w:tcPr>
            <w:tcW w:w="4521" w:type="dxa"/>
            <w:tcBorders>
              <w:top w:val="nil"/>
              <w:left w:val="nil"/>
              <w:bottom w:val="single" w:sz="4" w:space="0" w:color="auto"/>
              <w:right w:val="single" w:sz="4" w:space="0" w:color="auto"/>
            </w:tcBorders>
            <w:shd w:val="clear" w:color="auto" w:fill="auto"/>
            <w:noWrap/>
            <w:vAlign w:val="center"/>
            <w:hideMark/>
          </w:tcPr>
          <w:p w14:paraId="759FB22D" w14:textId="77777777" w:rsidR="00B24B98" w:rsidRPr="00B24B98" w:rsidRDefault="00B24B98" w:rsidP="00B24B98">
            <w:pPr>
              <w:spacing w:after="0" w:line="240" w:lineRule="auto"/>
              <w:rPr>
                <w:rFonts w:ascii="Calibri" w:eastAsia="Times New Roman" w:hAnsi="Calibri" w:cs="Calibri"/>
                <w:color w:val="000000"/>
                <w:lang w:eastAsia="en-GB"/>
              </w:rPr>
            </w:pPr>
            <w:r w:rsidRPr="00B24B98">
              <w:rPr>
                <w:rFonts w:ascii="Calibri" w:eastAsia="Times New Roman" w:hAnsi="Calibri" w:cs="Calibri"/>
                <w:color w:val="000000"/>
                <w:lang w:eastAsia="en-GB"/>
              </w:rPr>
              <w:t>DIURETICS</w:t>
            </w:r>
          </w:p>
        </w:tc>
        <w:tc>
          <w:tcPr>
            <w:tcW w:w="600" w:type="dxa"/>
            <w:tcBorders>
              <w:top w:val="nil"/>
              <w:left w:val="nil"/>
              <w:bottom w:val="single" w:sz="4" w:space="0" w:color="auto"/>
              <w:right w:val="single" w:sz="4" w:space="0" w:color="auto"/>
            </w:tcBorders>
            <w:shd w:val="clear" w:color="auto" w:fill="auto"/>
            <w:noWrap/>
            <w:vAlign w:val="center"/>
            <w:hideMark/>
          </w:tcPr>
          <w:p w14:paraId="0A836016" w14:textId="77777777" w:rsidR="00B24B98" w:rsidRPr="00B24B98" w:rsidRDefault="00B24B98" w:rsidP="00B24B98">
            <w:pPr>
              <w:spacing w:after="0" w:line="240" w:lineRule="auto"/>
              <w:jc w:val="right"/>
              <w:rPr>
                <w:rFonts w:ascii="Calibri" w:eastAsia="Times New Roman" w:hAnsi="Calibri" w:cs="Calibri"/>
                <w:color w:val="000000"/>
                <w:lang w:eastAsia="en-GB"/>
              </w:rPr>
            </w:pPr>
            <w:r w:rsidRPr="00B24B98">
              <w:rPr>
                <w:rFonts w:ascii="Calibri" w:eastAsia="Times New Roman" w:hAnsi="Calibri" w:cs="Calibri"/>
                <w:color w:val="000000"/>
                <w:lang w:eastAsia="en-GB"/>
              </w:rPr>
              <w:t>473</w:t>
            </w:r>
          </w:p>
        </w:tc>
        <w:tc>
          <w:tcPr>
            <w:tcW w:w="960" w:type="dxa"/>
            <w:tcBorders>
              <w:top w:val="nil"/>
              <w:left w:val="nil"/>
              <w:bottom w:val="single" w:sz="4" w:space="0" w:color="auto"/>
              <w:right w:val="single" w:sz="4" w:space="0" w:color="auto"/>
            </w:tcBorders>
            <w:shd w:val="clear" w:color="auto" w:fill="auto"/>
            <w:noWrap/>
            <w:vAlign w:val="bottom"/>
            <w:hideMark/>
          </w:tcPr>
          <w:p w14:paraId="6D09E9A8" w14:textId="77777777" w:rsidR="00B24B98" w:rsidRPr="00B24B98" w:rsidRDefault="00B24B98" w:rsidP="00B24B98">
            <w:pPr>
              <w:spacing w:after="0" w:line="240" w:lineRule="auto"/>
              <w:jc w:val="right"/>
              <w:rPr>
                <w:rFonts w:ascii="Calibri" w:eastAsia="Times New Roman" w:hAnsi="Calibri" w:cs="Calibri"/>
                <w:color w:val="000000"/>
                <w:lang w:eastAsia="en-GB"/>
              </w:rPr>
            </w:pPr>
            <w:r w:rsidRPr="00B24B98">
              <w:rPr>
                <w:rFonts w:ascii="Calibri" w:eastAsia="Times New Roman" w:hAnsi="Calibri" w:cs="Calibri"/>
                <w:color w:val="000000"/>
                <w:lang w:eastAsia="en-GB"/>
              </w:rPr>
              <w:t>19.86%</w:t>
            </w:r>
          </w:p>
        </w:tc>
      </w:tr>
      <w:tr w:rsidR="00B24B98" w:rsidRPr="00B24B98" w14:paraId="3CD5ED9B" w14:textId="77777777" w:rsidTr="00B24B98">
        <w:trPr>
          <w:trHeight w:val="290"/>
        </w:trPr>
        <w:tc>
          <w:tcPr>
            <w:tcW w:w="673" w:type="dxa"/>
            <w:tcBorders>
              <w:top w:val="nil"/>
              <w:left w:val="single" w:sz="4" w:space="0" w:color="auto"/>
              <w:bottom w:val="single" w:sz="4" w:space="0" w:color="auto"/>
              <w:right w:val="single" w:sz="4" w:space="0" w:color="auto"/>
            </w:tcBorders>
            <w:shd w:val="clear" w:color="auto" w:fill="auto"/>
            <w:noWrap/>
            <w:vAlign w:val="bottom"/>
            <w:hideMark/>
          </w:tcPr>
          <w:p w14:paraId="6480DB5F" w14:textId="77777777" w:rsidR="00B24B98" w:rsidRPr="00B24B98" w:rsidRDefault="00B24B98" w:rsidP="00B24B98">
            <w:pPr>
              <w:spacing w:after="0" w:line="240" w:lineRule="auto"/>
              <w:jc w:val="right"/>
              <w:rPr>
                <w:rFonts w:ascii="Calibri" w:eastAsia="Times New Roman" w:hAnsi="Calibri" w:cs="Calibri"/>
                <w:color w:val="000000"/>
                <w:lang w:eastAsia="en-GB"/>
              </w:rPr>
            </w:pPr>
            <w:r w:rsidRPr="00B24B98">
              <w:rPr>
                <w:rFonts w:ascii="Calibri" w:eastAsia="Times New Roman" w:hAnsi="Calibri" w:cs="Calibri"/>
                <w:color w:val="000000"/>
                <w:lang w:eastAsia="en-GB"/>
              </w:rPr>
              <w:t>2</w:t>
            </w:r>
          </w:p>
        </w:tc>
        <w:tc>
          <w:tcPr>
            <w:tcW w:w="1180" w:type="dxa"/>
            <w:tcBorders>
              <w:top w:val="nil"/>
              <w:left w:val="nil"/>
              <w:bottom w:val="single" w:sz="4" w:space="0" w:color="auto"/>
              <w:right w:val="single" w:sz="4" w:space="0" w:color="auto"/>
            </w:tcBorders>
            <w:shd w:val="clear" w:color="auto" w:fill="auto"/>
            <w:noWrap/>
            <w:vAlign w:val="center"/>
            <w:hideMark/>
          </w:tcPr>
          <w:p w14:paraId="3E6CB443" w14:textId="77777777" w:rsidR="00B24B98" w:rsidRPr="00B24B98" w:rsidRDefault="00B24B98" w:rsidP="00B24B98">
            <w:pPr>
              <w:spacing w:after="0" w:line="240" w:lineRule="auto"/>
              <w:rPr>
                <w:rFonts w:ascii="Calibri" w:eastAsia="Times New Roman" w:hAnsi="Calibri" w:cs="Calibri"/>
                <w:color w:val="000000"/>
                <w:lang w:eastAsia="en-GB"/>
              </w:rPr>
            </w:pPr>
            <w:r w:rsidRPr="00B24B98">
              <w:rPr>
                <w:rFonts w:ascii="Calibri" w:eastAsia="Times New Roman" w:hAnsi="Calibri" w:cs="Calibri"/>
                <w:color w:val="000000"/>
                <w:lang w:eastAsia="en-GB"/>
              </w:rPr>
              <w:t>J01</w:t>
            </w:r>
          </w:p>
        </w:tc>
        <w:tc>
          <w:tcPr>
            <w:tcW w:w="4521" w:type="dxa"/>
            <w:tcBorders>
              <w:top w:val="nil"/>
              <w:left w:val="nil"/>
              <w:bottom w:val="single" w:sz="4" w:space="0" w:color="auto"/>
              <w:right w:val="single" w:sz="4" w:space="0" w:color="auto"/>
            </w:tcBorders>
            <w:shd w:val="clear" w:color="auto" w:fill="auto"/>
            <w:noWrap/>
            <w:vAlign w:val="center"/>
            <w:hideMark/>
          </w:tcPr>
          <w:p w14:paraId="6B4C45A1" w14:textId="77777777" w:rsidR="00B24B98" w:rsidRPr="00B24B98" w:rsidRDefault="00B24B98" w:rsidP="00B24B98">
            <w:pPr>
              <w:spacing w:after="0" w:line="240" w:lineRule="auto"/>
              <w:rPr>
                <w:rFonts w:ascii="Calibri" w:eastAsia="Times New Roman" w:hAnsi="Calibri" w:cs="Calibri"/>
                <w:color w:val="000000"/>
                <w:lang w:eastAsia="en-GB"/>
              </w:rPr>
            </w:pPr>
            <w:r w:rsidRPr="00B24B98">
              <w:rPr>
                <w:rFonts w:ascii="Calibri" w:eastAsia="Times New Roman" w:hAnsi="Calibri" w:cs="Calibri"/>
                <w:color w:val="000000"/>
                <w:lang w:eastAsia="en-GB"/>
              </w:rPr>
              <w:t>ANTIBACTERIALS FOR SYSTEMIC USE</w:t>
            </w:r>
          </w:p>
        </w:tc>
        <w:tc>
          <w:tcPr>
            <w:tcW w:w="600" w:type="dxa"/>
            <w:tcBorders>
              <w:top w:val="nil"/>
              <w:left w:val="nil"/>
              <w:bottom w:val="single" w:sz="4" w:space="0" w:color="auto"/>
              <w:right w:val="single" w:sz="4" w:space="0" w:color="auto"/>
            </w:tcBorders>
            <w:shd w:val="clear" w:color="auto" w:fill="auto"/>
            <w:noWrap/>
            <w:vAlign w:val="center"/>
            <w:hideMark/>
          </w:tcPr>
          <w:p w14:paraId="681822C7" w14:textId="77777777" w:rsidR="00B24B98" w:rsidRPr="00B24B98" w:rsidRDefault="00B24B98" w:rsidP="00B24B98">
            <w:pPr>
              <w:spacing w:after="0" w:line="240" w:lineRule="auto"/>
              <w:jc w:val="right"/>
              <w:rPr>
                <w:rFonts w:ascii="Calibri" w:eastAsia="Times New Roman" w:hAnsi="Calibri" w:cs="Calibri"/>
                <w:color w:val="000000"/>
                <w:lang w:eastAsia="en-GB"/>
              </w:rPr>
            </w:pPr>
            <w:r w:rsidRPr="00B24B98">
              <w:rPr>
                <w:rFonts w:ascii="Calibri" w:eastAsia="Times New Roman" w:hAnsi="Calibri" w:cs="Calibri"/>
                <w:color w:val="000000"/>
                <w:lang w:eastAsia="en-GB"/>
              </w:rPr>
              <w:t>353</w:t>
            </w:r>
          </w:p>
        </w:tc>
        <w:tc>
          <w:tcPr>
            <w:tcW w:w="960" w:type="dxa"/>
            <w:tcBorders>
              <w:top w:val="nil"/>
              <w:left w:val="nil"/>
              <w:bottom w:val="single" w:sz="4" w:space="0" w:color="auto"/>
              <w:right w:val="single" w:sz="4" w:space="0" w:color="auto"/>
            </w:tcBorders>
            <w:shd w:val="clear" w:color="auto" w:fill="auto"/>
            <w:noWrap/>
            <w:vAlign w:val="bottom"/>
            <w:hideMark/>
          </w:tcPr>
          <w:p w14:paraId="00FB1EB6" w14:textId="77777777" w:rsidR="00B24B98" w:rsidRPr="00B24B98" w:rsidRDefault="00B24B98" w:rsidP="00B24B98">
            <w:pPr>
              <w:spacing w:after="0" w:line="240" w:lineRule="auto"/>
              <w:jc w:val="right"/>
              <w:rPr>
                <w:rFonts w:ascii="Calibri" w:eastAsia="Times New Roman" w:hAnsi="Calibri" w:cs="Calibri"/>
                <w:color w:val="000000"/>
                <w:lang w:eastAsia="en-GB"/>
              </w:rPr>
            </w:pPr>
            <w:r w:rsidRPr="00B24B98">
              <w:rPr>
                <w:rFonts w:ascii="Calibri" w:eastAsia="Times New Roman" w:hAnsi="Calibri" w:cs="Calibri"/>
                <w:color w:val="000000"/>
                <w:lang w:eastAsia="en-GB"/>
              </w:rPr>
              <w:t>14.82%</w:t>
            </w:r>
          </w:p>
        </w:tc>
      </w:tr>
      <w:tr w:rsidR="00B24B98" w:rsidRPr="00B24B98" w14:paraId="0DEEC2A3" w14:textId="77777777" w:rsidTr="00B24B98">
        <w:trPr>
          <w:trHeight w:val="290"/>
        </w:trPr>
        <w:tc>
          <w:tcPr>
            <w:tcW w:w="673" w:type="dxa"/>
            <w:tcBorders>
              <w:top w:val="nil"/>
              <w:left w:val="single" w:sz="4" w:space="0" w:color="auto"/>
              <w:bottom w:val="single" w:sz="4" w:space="0" w:color="auto"/>
              <w:right w:val="single" w:sz="4" w:space="0" w:color="auto"/>
            </w:tcBorders>
            <w:shd w:val="clear" w:color="auto" w:fill="auto"/>
            <w:noWrap/>
            <w:vAlign w:val="bottom"/>
            <w:hideMark/>
          </w:tcPr>
          <w:p w14:paraId="760923B4" w14:textId="77777777" w:rsidR="00B24B98" w:rsidRPr="00B24B98" w:rsidRDefault="00B24B98" w:rsidP="00B24B98">
            <w:pPr>
              <w:spacing w:after="0" w:line="240" w:lineRule="auto"/>
              <w:jc w:val="right"/>
              <w:rPr>
                <w:rFonts w:ascii="Calibri" w:eastAsia="Times New Roman" w:hAnsi="Calibri" w:cs="Calibri"/>
                <w:color w:val="000000"/>
                <w:lang w:eastAsia="en-GB"/>
              </w:rPr>
            </w:pPr>
            <w:r w:rsidRPr="00B24B98">
              <w:rPr>
                <w:rFonts w:ascii="Calibri" w:eastAsia="Times New Roman" w:hAnsi="Calibri" w:cs="Calibri"/>
                <w:color w:val="000000"/>
                <w:lang w:eastAsia="en-GB"/>
              </w:rPr>
              <w:t>3</w:t>
            </w:r>
          </w:p>
        </w:tc>
        <w:tc>
          <w:tcPr>
            <w:tcW w:w="1180" w:type="dxa"/>
            <w:tcBorders>
              <w:top w:val="nil"/>
              <w:left w:val="nil"/>
              <w:bottom w:val="single" w:sz="4" w:space="0" w:color="auto"/>
              <w:right w:val="single" w:sz="4" w:space="0" w:color="auto"/>
            </w:tcBorders>
            <w:shd w:val="clear" w:color="auto" w:fill="auto"/>
            <w:noWrap/>
            <w:vAlign w:val="center"/>
            <w:hideMark/>
          </w:tcPr>
          <w:p w14:paraId="57ABB83C" w14:textId="77777777" w:rsidR="00B24B98" w:rsidRPr="00B24B98" w:rsidRDefault="00B24B98" w:rsidP="00B24B98">
            <w:pPr>
              <w:spacing w:after="0" w:line="240" w:lineRule="auto"/>
              <w:rPr>
                <w:rFonts w:ascii="Calibri" w:eastAsia="Times New Roman" w:hAnsi="Calibri" w:cs="Calibri"/>
                <w:color w:val="000000"/>
                <w:lang w:eastAsia="en-GB"/>
              </w:rPr>
            </w:pPr>
            <w:r w:rsidRPr="00B24B98">
              <w:rPr>
                <w:rFonts w:ascii="Calibri" w:eastAsia="Times New Roman" w:hAnsi="Calibri" w:cs="Calibri"/>
                <w:color w:val="000000"/>
                <w:lang w:eastAsia="en-GB"/>
              </w:rPr>
              <w:t>B01</w:t>
            </w:r>
          </w:p>
        </w:tc>
        <w:tc>
          <w:tcPr>
            <w:tcW w:w="4521" w:type="dxa"/>
            <w:tcBorders>
              <w:top w:val="nil"/>
              <w:left w:val="nil"/>
              <w:bottom w:val="single" w:sz="4" w:space="0" w:color="auto"/>
              <w:right w:val="single" w:sz="4" w:space="0" w:color="auto"/>
            </w:tcBorders>
            <w:shd w:val="clear" w:color="auto" w:fill="auto"/>
            <w:noWrap/>
            <w:vAlign w:val="center"/>
            <w:hideMark/>
          </w:tcPr>
          <w:p w14:paraId="71C7BBC6" w14:textId="77777777" w:rsidR="00B24B98" w:rsidRPr="00B24B98" w:rsidRDefault="00B24B98" w:rsidP="00B24B98">
            <w:pPr>
              <w:spacing w:after="0" w:line="240" w:lineRule="auto"/>
              <w:rPr>
                <w:rFonts w:ascii="Calibri" w:eastAsia="Times New Roman" w:hAnsi="Calibri" w:cs="Calibri"/>
                <w:color w:val="000000"/>
                <w:lang w:eastAsia="en-GB"/>
              </w:rPr>
            </w:pPr>
            <w:r w:rsidRPr="00B24B98">
              <w:rPr>
                <w:rFonts w:ascii="Calibri" w:eastAsia="Times New Roman" w:hAnsi="Calibri" w:cs="Calibri"/>
                <w:color w:val="000000"/>
                <w:lang w:eastAsia="en-GB"/>
              </w:rPr>
              <w:t>ANTITHROMBOTIC AGENTS</w:t>
            </w:r>
          </w:p>
        </w:tc>
        <w:tc>
          <w:tcPr>
            <w:tcW w:w="600" w:type="dxa"/>
            <w:tcBorders>
              <w:top w:val="nil"/>
              <w:left w:val="nil"/>
              <w:bottom w:val="single" w:sz="4" w:space="0" w:color="auto"/>
              <w:right w:val="single" w:sz="4" w:space="0" w:color="auto"/>
            </w:tcBorders>
            <w:shd w:val="clear" w:color="auto" w:fill="auto"/>
            <w:noWrap/>
            <w:vAlign w:val="center"/>
            <w:hideMark/>
          </w:tcPr>
          <w:p w14:paraId="167B7CF0" w14:textId="77777777" w:rsidR="00B24B98" w:rsidRPr="00B24B98" w:rsidRDefault="00B24B98" w:rsidP="00B24B98">
            <w:pPr>
              <w:spacing w:after="0" w:line="240" w:lineRule="auto"/>
              <w:jc w:val="right"/>
              <w:rPr>
                <w:rFonts w:ascii="Calibri" w:eastAsia="Times New Roman" w:hAnsi="Calibri" w:cs="Calibri"/>
                <w:color w:val="000000"/>
                <w:lang w:eastAsia="en-GB"/>
              </w:rPr>
            </w:pPr>
            <w:r w:rsidRPr="00B24B98">
              <w:rPr>
                <w:rFonts w:ascii="Calibri" w:eastAsia="Times New Roman" w:hAnsi="Calibri" w:cs="Calibri"/>
                <w:color w:val="000000"/>
                <w:lang w:eastAsia="en-GB"/>
              </w:rPr>
              <w:t>290</w:t>
            </w:r>
          </w:p>
        </w:tc>
        <w:tc>
          <w:tcPr>
            <w:tcW w:w="960" w:type="dxa"/>
            <w:tcBorders>
              <w:top w:val="nil"/>
              <w:left w:val="nil"/>
              <w:bottom w:val="single" w:sz="4" w:space="0" w:color="auto"/>
              <w:right w:val="single" w:sz="4" w:space="0" w:color="auto"/>
            </w:tcBorders>
            <w:shd w:val="clear" w:color="auto" w:fill="auto"/>
            <w:noWrap/>
            <w:vAlign w:val="bottom"/>
            <w:hideMark/>
          </w:tcPr>
          <w:p w14:paraId="1A74CD25" w14:textId="77777777" w:rsidR="00B24B98" w:rsidRPr="00B24B98" w:rsidRDefault="00B24B98" w:rsidP="00B24B98">
            <w:pPr>
              <w:spacing w:after="0" w:line="240" w:lineRule="auto"/>
              <w:jc w:val="right"/>
              <w:rPr>
                <w:rFonts w:ascii="Calibri" w:eastAsia="Times New Roman" w:hAnsi="Calibri" w:cs="Calibri"/>
                <w:color w:val="000000"/>
                <w:lang w:eastAsia="en-GB"/>
              </w:rPr>
            </w:pPr>
            <w:r w:rsidRPr="00B24B98">
              <w:rPr>
                <w:rFonts w:ascii="Calibri" w:eastAsia="Times New Roman" w:hAnsi="Calibri" w:cs="Calibri"/>
                <w:color w:val="000000"/>
                <w:lang w:eastAsia="en-GB"/>
              </w:rPr>
              <w:t>12.17%</w:t>
            </w:r>
          </w:p>
        </w:tc>
      </w:tr>
      <w:tr w:rsidR="00B24B98" w:rsidRPr="00B24B98" w14:paraId="7D86AE2B" w14:textId="77777777" w:rsidTr="00B24B98">
        <w:trPr>
          <w:trHeight w:val="290"/>
        </w:trPr>
        <w:tc>
          <w:tcPr>
            <w:tcW w:w="673" w:type="dxa"/>
            <w:tcBorders>
              <w:top w:val="nil"/>
              <w:left w:val="single" w:sz="4" w:space="0" w:color="auto"/>
              <w:bottom w:val="single" w:sz="4" w:space="0" w:color="auto"/>
              <w:right w:val="single" w:sz="4" w:space="0" w:color="auto"/>
            </w:tcBorders>
            <w:shd w:val="clear" w:color="auto" w:fill="auto"/>
            <w:noWrap/>
            <w:vAlign w:val="bottom"/>
            <w:hideMark/>
          </w:tcPr>
          <w:p w14:paraId="1BAD918D" w14:textId="77777777" w:rsidR="00B24B98" w:rsidRPr="00B24B98" w:rsidRDefault="00B24B98" w:rsidP="00B24B98">
            <w:pPr>
              <w:spacing w:after="0" w:line="240" w:lineRule="auto"/>
              <w:jc w:val="right"/>
              <w:rPr>
                <w:rFonts w:ascii="Calibri" w:eastAsia="Times New Roman" w:hAnsi="Calibri" w:cs="Calibri"/>
                <w:color w:val="000000"/>
                <w:lang w:eastAsia="en-GB"/>
              </w:rPr>
            </w:pPr>
            <w:r w:rsidRPr="00B24B98">
              <w:rPr>
                <w:rFonts w:ascii="Calibri" w:eastAsia="Times New Roman" w:hAnsi="Calibri" w:cs="Calibri"/>
                <w:color w:val="000000"/>
                <w:lang w:eastAsia="en-GB"/>
              </w:rPr>
              <w:t>4</w:t>
            </w:r>
          </w:p>
        </w:tc>
        <w:tc>
          <w:tcPr>
            <w:tcW w:w="1180" w:type="dxa"/>
            <w:tcBorders>
              <w:top w:val="nil"/>
              <w:left w:val="nil"/>
              <w:bottom w:val="single" w:sz="4" w:space="0" w:color="auto"/>
              <w:right w:val="single" w:sz="4" w:space="0" w:color="auto"/>
            </w:tcBorders>
            <w:shd w:val="clear" w:color="auto" w:fill="auto"/>
            <w:noWrap/>
            <w:vAlign w:val="center"/>
            <w:hideMark/>
          </w:tcPr>
          <w:p w14:paraId="6CB599BF" w14:textId="77777777" w:rsidR="00B24B98" w:rsidRPr="00B24B98" w:rsidRDefault="00B24B98" w:rsidP="00B24B98">
            <w:pPr>
              <w:spacing w:after="0" w:line="240" w:lineRule="auto"/>
              <w:rPr>
                <w:rFonts w:ascii="Calibri" w:eastAsia="Times New Roman" w:hAnsi="Calibri" w:cs="Calibri"/>
                <w:color w:val="000000"/>
                <w:lang w:eastAsia="en-GB"/>
              </w:rPr>
            </w:pPr>
            <w:r w:rsidRPr="00B24B98">
              <w:rPr>
                <w:rFonts w:ascii="Calibri" w:eastAsia="Times New Roman" w:hAnsi="Calibri" w:cs="Calibri"/>
                <w:color w:val="000000"/>
                <w:lang w:eastAsia="en-GB"/>
              </w:rPr>
              <w:t>N02</w:t>
            </w:r>
          </w:p>
        </w:tc>
        <w:tc>
          <w:tcPr>
            <w:tcW w:w="4521" w:type="dxa"/>
            <w:tcBorders>
              <w:top w:val="nil"/>
              <w:left w:val="nil"/>
              <w:bottom w:val="single" w:sz="4" w:space="0" w:color="auto"/>
              <w:right w:val="single" w:sz="4" w:space="0" w:color="auto"/>
            </w:tcBorders>
            <w:shd w:val="clear" w:color="auto" w:fill="auto"/>
            <w:noWrap/>
            <w:vAlign w:val="center"/>
            <w:hideMark/>
          </w:tcPr>
          <w:p w14:paraId="0DD83830" w14:textId="77777777" w:rsidR="00B24B98" w:rsidRPr="00B24B98" w:rsidRDefault="00B24B98" w:rsidP="00B24B98">
            <w:pPr>
              <w:spacing w:after="0" w:line="240" w:lineRule="auto"/>
              <w:rPr>
                <w:rFonts w:ascii="Calibri" w:eastAsia="Times New Roman" w:hAnsi="Calibri" w:cs="Calibri"/>
                <w:color w:val="000000"/>
                <w:lang w:eastAsia="en-GB"/>
              </w:rPr>
            </w:pPr>
            <w:r w:rsidRPr="00B24B98">
              <w:rPr>
                <w:rFonts w:ascii="Calibri" w:eastAsia="Times New Roman" w:hAnsi="Calibri" w:cs="Calibri"/>
                <w:color w:val="000000"/>
                <w:lang w:eastAsia="en-GB"/>
              </w:rPr>
              <w:t>ANALGESICS</w:t>
            </w:r>
          </w:p>
        </w:tc>
        <w:tc>
          <w:tcPr>
            <w:tcW w:w="600" w:type="dxa"/>
            <w:tcBorders>
              <w:top w:val="nil"/>
              <w:left w:val="nil"/>
              <w:bottom w:val="single" w:sz="4" w:space="0" w:color="auto"/>
              <w:right w:val="single" w:sz="4" w:space="0" w:color="auto"/>
            </w:tcBorders>
            <w:shd w:val="clear" w:color="auto" w:fill="auto"/>
            <w:noWrap/>
            <w:vAlign w:val="center"/>
            <w:hideMark/>
          </w:tcPr>
          <w:p w14:paraId="3AF05065" w14:textId="77777777" w:rsidR="00B24B98" w:rsidRPr="00B24B98" w:rsidRDefault="00B24B98" w:rsidP="00B24B98">
            <w:pPr>
              <w:spacing w:after="0" w:line="240" w:lineRule="auto"/>
              <w:jc w:val="right"/>
              <w:rPr>
                <w:rFonts w:ascii="Calibri" w:eastAsia="Times New Roman" w:hAnsi="Calibri" w:cs="Calibri"/>
                <w:color w:val="000000"/>
                <w:lang w:eastAsia="en-GB"/>
              </w:rPr>
            </w:pPr>
            <w:r w:rsidRPr="00B24B98">
              <w:rPr>
                <w:rFonts w:ascii="Calibri" w:eastAsia="Times New Roman" w:hAnsi="Calibri" w:cs="Calibri"/>
                <w:color w:val="000000"/>
                <w:lang w:eastAsia="en-GB"/>
              </w:rPr>
              <w:t>260</w:t>
            </w:r>
          </w:p>
        </w:tc>
        <w:tc>
          <w:tcPr>
            <w:tcW w:w="960" w:type="dxa"/>
            <w:tcBorders>
              <w:top w:val="nil"/>
              <w:left w:val="nil"/>
              <w:bottom w:val="single" w:sz="4" w:space="0" w:color="auto"/>
              <w:right w:val="single" w:sz="4" w:space="0" w:color="auto"/>
            </w:tcBorders>
            <w:shd w:val="clear" w:color="auto" w:fill="auto"/>
            <w:noWrap/>
            <w:vAlign w:val="bottom"/>
            <w:hideMark/>
          </w:tcPr>
          <w:p w14:paraId="30490D0E" w14:textId="77777777" w:rsidR="00B24B98" w:rsidRPr="00B24B98" w:rsidRDefault="00B24B98" w:rsidP="00B24B98">
            <w:pPr>
              <w:spacing w:after="0" w:line="240" w:lineRule="auto"/>
              <w:jc w:val="right"/>
              <w:rPr>
                <w:rFonts w:ascii="Calibri" w:eastAsia="Times New Roman" w:hAnsi="Calibri" w:cs="Calibri"/>
                <w:color w:val="000000"/>
                <w:lang w:eastAsia="en-GB"/>
              </w:rPr>
            </w:pPr>
            <w:r w:rsidRPr="00B24B98">
              <w:rPr>
                <w:rFonts w:ascii="Calibri" w:eastAsia="Times New Roman" w:hAnsi="Calibri" w:cs="Calibri"/>
                <w:color w:val="000000"/>
                <w:lang w:eastAsia="en-GB"/>
              </w:rPr>
              <w:t>10.92%</w:t>
            </w:r>
          </w:p>
        </w:tc>
      </w:tr>
      <w:tr w:rsidR="00B24B98" w:rsidRPr="00B24B98" w14:paraId="7439E705" w14:textId="77777777" w:rsidTr="00B24B98">
        <w:trPr>
          <w:trHeight w:val="290"/>
        </w:trPr>
        <w:tc>
          <w:tcPr>
            <w:tcW w:w="673" w:type="dxa"/>
            <w:tcBorders>
              <w:top w:val="nil"/>
              <w:left w:val="single" w:sz="4" w:space="0" w:color="auto"/>
              <w:bottom w:val="single" w:sz="4" w:space="0" w:color="auto"/>
              <w:right w:val="single" w:sz="4" w:space="0" w:color="auto"/>
            </w:tcBorders>
            <w:shd w:val="clear" w:color="auto" w:fill="auto"/>
            <w:noWrap/>
            <w:vAlign w:val="bottom"/>
            <w:hideMark/>
          </w:tcPr>
          <w:p w14:paraId="32D4B0E4" w14:textId="77777777" w:rsidR="00B24B98" w:rsidRPr="00B24B98" w:rsidRDefault="00B24B98" w:rsidP="00B24B98">
            <w:pPr>
              <w:spacing w:after="0" w:line="240" w:lineRule="auto"/>
              <w:jc w:val="right"/>
              <w:rPr>
                <w:rFonts w:ascii="Calibri" w:eastAsia="Times New Roman" w:hAnsi="Calibri" w:cs="Calibri"/>
                <w:color w:val="000000"/>
                <w:lang w:eastAsia="en-GB"/>
              </w:rPr>
            </w:pPr>
            <w:r w:rsidRPr="00B24B98">
              <w:rPr>
                <w:rFonts w:ascii="Calibri" w:eastAsia="Times New Roman" w:hAnsi="Calibri" w:cs="Calibri"/>
                <w:color w:val="000000"/>
                <w:lang w:eastAsia="en-GB"/>
              </w:rPr>
              <w:t>5</w:t>
            </w:r>
          </w:p>
        </w:tc>
        <w:tc>
          <w:tcPr>
            <w:tcW w:w="1180" w:type="dxa"/>
            <w:tcBorders>
              <w:top w:val="nil"/>
              <w:left w:val="nil"/>
              <w:bottom w:val="single" w:sz="4" w:space="0" w:color="auto"/>
              <w:right w:val="single" w:sz="4" w:space="0" w:color="auto"/>
            </w:tcBorders>
            <w:shd w:val="clear" w:color="auto" w:fill="auto"/>
            <w:noWrap/>
            <w:vAlign w:val="center"/>
            <w:hideMark/>
          </w:tcPr>
          <w:p w14:paraId="2492EBAE" w14:textId="77777777" w:rsidR="00B24B98" w:rsidRPr="00B24B98" w:rsidRDefault="00B24B98" w:rsidP="00B24B98">
            <w:pPr>
              <w:spacing w:after="0" w:line="240" w:lineRule="auto"/>
              <w:rPr>
                <w:rFonts w:ascii="Calibri" w:eastAsia="Times New Roman" w:hAnsi="Calibri" w:cs="Calibri"/>
                <w:color w:val="000000"/>
                <w:lang w:eastAsia="en-GB"/>
              </w:rPr>
            </w:pPr>
            <w:r w:rsidRPr="00B24B98">
              <w:rPr>
                <w:rFonts w:ascii="Calibri" w:eastAsia="Times New Roman" w:hAnsi="Calibri" w:cs="Calibri"/>
                <w:color w:val="000000"/>
                <w:lang w:eastAsia="en-GB"/>
              </w:rPr>
              <w:t>R03</w:t>
            </w:r>
          </w:p>
        </w:tc>
        <w:tc>
          <w:tcPr>
            <w:tcW w:w="4521" w:type="dxa"/>
            <w:tcBorders>
              <w:top w:val="nil"/>
              <w:left w:val="nil"/>
              <w:bottom w:val="single" w:sz="4" w:space="0" w:color="auto"/>
              <w:right w:val="single" w:sz="4" w:space="0" w:color="auto"/>
            </w:tcBorders>
            <w:shd w:val="clear" w:color="auto" w:fill="auto"/>
            <w:noWrap/>
            <w:vAlign w:val="center"/>
            <w:hideMark/>
          </w:tcPr>
          <w:p w14:paraId="33682550" w14:textId="77777777" w:rsidR="00B24B98" w:rsidRPr="00B24B98" w:rsidRDefault="00B24B98" w:rsidP="00B24B98">
            <w:pPr>
              <w:spacing w:after="0" w:line="240" w:lineRule="auto"/>
              <w:rPr>
                <w:rFonts w:ascii="Calibri" w:eastAsia="Times New Roman" w:hAnsi="Calibri" w:cs="Calibri"/>
                <w:color w:val="000000"/>
                <w:lang w:eastAsia="en-GB"/>
              </w:rPr>
            </w:pPr>
            <w:r w:rsidRPr="00B24B98">
              <w:rPr>
                <w:rFonts w:ascii="Calibri" w:eastAsia="Times New Roman" w:hAnsi="Calibri" w:cs="Calibri"/>
                <w:color w:val="000000"/>
                <w:lang w:eastAsia="en-GB"/>
              </w:rPr>
              <w:t>DRUGS FOR OBSTRUCTIVE AIRWAY DISEASES</w:t>
            </w:r>
          </w:p>
        </w:tc>
        <w:tc>
          <w:tcPr>
            <w:tcW w:w="600" w:type="dxa"/>
            <w:tcBorders>
              <w:top w:val="nil"/>
              <w:left w:val="nil"/>
              <w:bottom w:val="single" w:sz="4" w:space="0" w:color="auto"/>
              <w:right w:val="single" w:sz="4" w:space="0" w:color="auto"/>
            </w:tcBorders>
            <w:shd w:val="clear" w:color="auto" w:fill="auto"/>
            <w:noWrap/>
            <w:vAlign w:val="center"/>
            <w:hideMark/>
          </w:tcPr>
          <w:p w14:paraId="3D6C4342" w14:textId="77777777" w:rsidR="00B24B98" w:rsidRPr="00B24B98" w:rsidRDefault="00B24B98" w:rsidP="00B24B98">
            <w:pPr>
              <w:spacing w:after="0" w:line="240" w:lineRule="auto"/>
              <w:jc w:val="right"/>
              <w:rPr>
                <w:rFonts w:ascii="Calibri" w:eastAsia="Times New Roman" w:hAnsi="Calibri" w:cs="Calibri"/>
                <w:color w:val="000000"/>
                <w:lang w:eastAsia="en-GB"/>
              </w:rPr>
            </w:pPr>
            <w:r w:rsidRPr="00B24B98">
              <w:rPr>
                <w:rFonts w:ascii="Calibri" w:eastAsia="Times New Roman" w:hAnsi="Calibri" w:cs="Calibri"/>
                <w:color w:val="000000"/>
                <w:lang w:eastAsia="en-GB"/>
              </w:rPr>
              <w:t>113</w:t>
            </w:r>
          </w:p>
        </w:tc>
        <w:tc>
          <w:tcPr>
            <w:tcW w:w="960" w:type="dxa"/>
            <w:tcBorders>
              <w:top w:val="nil"/>
              <w:left w:val="nil"/>
              <w:bottom w:val="single" w:sz="4" w:space="0" w:color="auto"/>
              <w:right w:val="single" w:sz="4" w:space="0" w:color="auto"/>
            </w:tcBorders>
            <w:shd w:val="clear" w:color="auto" w:fill="auto"/>
            <w:noWrap/>
            <w:vAlign w:val="bottom"/>
            <w:hideMark/>
          </w:tcPr>
          <w:p w14:paraId="7D5D029B" w14:textId="77777777" w:rsidR="00B24B98" w:rsidRPr="00B24B98" w:rsidRDefault="00B24B98" w:rsidP="00B24B98">
            <w:pPr>
              <w:spacing w:after="0" w:line="240" w:lineRule="auto"/>
              <w:jc w:val="right"/>
              <w:rPr>
                <w:rFonts w:ascii="Calibri" w:eastAsia="Times New Roman" w:hAnsi="Calibri" w:cs="Calibri"/>
                <w:color w:val="000000"/>
                <w:lang w:eastAsia="en-GB"/>
              </w:rPr>
            </w:pPr>
            <w:r w:rsidRPr="00B24B98">
              <w:rPr>
                <w:rFonts w:ascii="Calibri" w:eastAsia="Times New Roman" w:hAnsi="Calibri" w:cs="Calibri"/>
                <w:color w:val="000000"/>
                <w:lang w:eastAsia="en-GB"/>
              </w:rPr>
              <w:t>4.74%</w:t>
            </w:r>
          </w:p>
        </w:tc>
      </w:tr>
      <w:tr w:rsidR="00B24B98" w:rsidRPr="00B24B98" w14:paraId="4FF1A7B7" w14:textId="77777777" w:rsidTr="00B24B98">
        <w:trPr>
          <w:trHeight w:val="290"/>
        </w:trPr>
        <w:tc>
          <w:tcPr>
            <w:tcW w:w="673" w:type="dxa"/>
            <w:tcBorders>
              <w:top w:val="nil"/>
              <w:left w:val="single" w:sz="4" w:space="0" w:color="auto"/>
              <w:bottom w:val="single" w:sz="4" w:space="0" w:color="auto"/>
              <w:right w:val="single" w:sz="4" w:space="0" w:color="auto"/>
            </w:tcBorders>
            <w:shd w:val="clear" w:color="auto" w:fill="auto"/>
            <w:noWrap/>
            <w:vAlign w:val="bottom"/>
            <w:hideMark/>
          </w:tcPr>
          <w:p w14:paraId="6C60AE9D" w14:textId="77777777" w:rsidR="00B24B98" w:rsidRPr="00B24B98" w:rsidRDefault="00B24B98" w:rsidP="00B24B98">
            <w:pPr>
              <w:spacing w:after="0" w:line="240" w:lineRule="auto"/>
              <w:jc w:val="right"/>
              <w:rPr>
                <w:rFonts w:ascii="Calibri" w:eastAsia="Times New Roman" w:hAnsi="Calibri" w:cs="Calibri"/>
                <w:color w:val="000000"/>
                <w:lang w:eastAsia="en-GB"/>
              </w:rPr>
            </w:pPr>
            <w:r w:rsidRPr="00B24B98">
              <w:rPr>
                <w:rFonts w:ascii="Calibri" w:eastAsia="Times New Roman" w:hAnsi="Calibri" w:cs="Calibri"/>
                <w:color w:val="000000"/>
                <w:lang w:eastAsia="en-GB"/>
              </w:rPr>
              <w:t>6</w:t>
            </w:r>
          </w:p>
        </w:tc>
        <w:tc>
          <w:tcPr>
            <w:tcW w:w="1180" w:type="dxa"/>
            <w:tcBorders>
              <w:top w:val="nil"/>
              <w:left w:val="nil"/>
              <w:bottom w:val="single" w:sz="4" w:space="0" w:color="auto"/>
              <w:right w:val="single" w:sz="4" w:space="0" w:color="auto"/>
            </w:tcBorders>
            <w:shd w:val="clear" w:color="auto" w:fill="auto"/>
            <w:noWrap/>
            <w:vAlign w:val="center"/>
            <w:hideMark/>
          </w:tcPr>
          <w:p w14:paraId="5417AA5B" w14:textId="77777777" w:rsidR="00B24B98" w:rsidRPr="00B24B98" w:rsidRDefault="00B24B98" w:rsidP="00B24B98">
            <w:pPr>
              <w:spacing w:after="0" w:line="240" w:lineRule="auto"/>
              <w:rPr>
                <w:rFonts w:ascii="Calibri" w:eastAsia="Times New Roman" w:hAnsi="Calibri" w:cs="Calibri"/>
                <w:color w:val="000000"/>
                <w:lang w:eastAsia="en-GB"/>
              </w:rPr>
            </w:pPr>
            <w:r w:rsidRPr="00B24B98">
              <w:rPr>
                <w:rFonts w:ascii="Calibri" w:eastAsia="Times New Roman" w:hAnsi="Calibri" w:cs="Calibri"/>
                <w:color w:val="000000"/>
                <w:lang w:eastAsia="en-GB"/>
              </w:rPr>
              <w:t>C09</w:t>
            </w:r>
          </w:p>
        </w:tc>
        <w:tc>
          <w:tcPr>
            <w:tcW w:w="4521" w:type="dxa"/>
            <w:tcBorders>
              <w:top w:val="nil"/>
              <w:left w:val="nil"/>
              <w:bottom w:val="single" w:sz="4" w:space="0" w:color="auto"/>
              <w:right w:val="single" w:sz="4" w:space="0" w:color="auto"/>
            </w:tcBorders>
            <w:shd w:val="clear" w:color="auto" w:fill="auto"/>
            <w:noWrap/>
            <w:vAlign w:val="center"/>
            <w:hideMark/>
          </w:tcPr>
          <w:p w14:paraId="2AEF3F80" w14:textId="77777777" w:rsidR="00B24B98" w:rsidRPr="00B24B98" w:rsidRDefault="00B24B98" w:rsidP="00B24B98">
            <w:pPr>
              <w:spacing w:after="0" w:line="240" w:lineRule="auto"/>
              <w:rPr>
                <w:rFonts w:ascii="Calibri" w:eastAsia="Times New Roman" w:hAnsi="Calibri" w:cs="Calibri"/>
                <w:color w:val="000000"/>
                <w:lang w:eastAsia="en-GB"/>
              </w:rPr>
            </w:pPr>
            <w:r w:rsidRPr="00B24B98">
              <w:rPr>
                <w:rFonts w:ascii="Calibri" w:eastAsia="Times New Roman" w:hAnsi="Calibri" w:cs="Calibri"/>
                <w:color w:val="000000"/>
                <w:lang w:eastAsia="en-GB"/>
              </w:rPr>
              <w:t>AGENTS ACTING ON THE RENIN-ANGIOTENSIN SYSTEM</w:t>
            </w:r>
          </w:p>
        </w:tc>
        <w:tc>
          <w:tcPr>
            <w:tcW w:w="600" w:type="dxa"/>
            <w:tcBorders>
              <w:top w:val="nil"/>
              <w:left w:val="nil"/>
              <w:bottom w:val="single" w:sz="4" w:space="0" w:color="auto"/>
              <w:right w:val="single" w:sz="4" w:space="0" w:color="auto"/>
            </w:tcBorders>
            <w:shd w:val="clear" w:color="auto" w:fill="auto"/>
            <w:noWrap/>
            <w:vAlign w:val="center"/>
            <w:hideMark/>
          </w:tcPr>
          <w:p w14:paraId="3763CE31" w14:textId="77777777" w:rsidR="00B24B98" w:rsidRPr="00B24B98" w:rsidRDefault="00B24B98" w:rsidP="00B24B98">
            <w:pPr>
              <w:spacing w:after="0" w:line="240" w:lineRule="auto"/>
              <w:jc w:val="right"/>
              <w:rPr>
                <w:rFonts w:ascii="Calibri" w:eastAsia="Times New Roman" w:hAnsi="Calibri" w:cs="Calibri"/>
                <w:color w:val="000000"/>
                <w:lang w:eastAsia="en-GB"/>
              </w:rPr>
            </w:pPr>
            <w:r w:rsidRPr="00B24B98">
              <w:rPr>
                <w:rFonts w:ascii="Calibri" w:eastAsia="Times New Roman" w:hAnsi="Calibri" w:cs="Calibri"/>
                <w:color w:val="000000"/>
                <w:lang w:eastAsia="en-GB"/>
              </w:rPr>
              <w:t>98</w:t>
            </w:r>
          </w:p>
        </w:tc>
        <w:tc>
          <w:tcPr>
            <w:tcW w:w="960" w:type="dxa"/>
            <w:tcBorders>
              <w:top w:val="nil"/>
              <w:left w:val="nil"/>
              <w:bottom w:val="single" w:sz="4" w:space="0" w:color="auto"/>
              <w:right w:val="single" w:sz="4" w:space="0" w:color="auto"/>
            </w:tcBorders>
            <w:shd w:val="clear" w:color="auto" w:fill="auto"/>
            <w:noWrap/>
            <w:vAlign w:val="bottom"/>
            <w:hideMark/>
          </w:tcPr>
          <w:p w14:paraId="0AEA0C97" w14:textId="77777777" w:rsidR="00B24B98" w:rsidRPr="00B24B98" w:rsidRDefault="00B24B98" w:rsidP="00B24B98">
            <w:pPr>
              <w:spacing w:after="0" w:line="240" w:lineRule="auto"/>
              <w:jc w:val="right"/>
              <w:rPr>
                <w:rFonts w:ascii="Calibri" w:eastAsia="Times New Roman" w:hAnsi="Calibri" w:cs="Calibri"/>
                <w:color w:val="000000"/>
                <w:lang w:eastAsia="en-GB"/>
              </w:rPr>
            </w:pPr>
            <w:r w:rsidRPr="00B24B98">
              <w:rPr>
                <w:rFonts w:ascii="Calibri" w:eastAsia="Times New Roman" w:hAnsi="Calibri" w:cs="Calibri"/>
                <w:color w:val="000000"/>
                <w:lang w:eastAsia="en-GB"/>
              </w:rPr>
              <w:t>4.11%</w:t>
            </w:r>
          </w:p>
        </w:tc>
      </w:tr>
      <w:tr w:rsidR="00B24B98" w:rsidRPr="00B24B98" w14:paraId="6788FEC8" w14:textId="77777777" w:rsidTr="00B24B98">
        <w:trPr>
          <w:trHeight w:val="290"/>
        </w:trPr>
        <w:tc>
          <w:tcPr>
            <w:tcW w:w="673" w:type="dxa"/>
            <w:tcBorders>
              <w:top w:val="nil"/>
              <w:left w:val="single" w:sz="4" w:space="0" w:color="auto"/>
              <w:bottom w:val="single" w:sz="4" w:space="0" w:color="auto"/>
              <w:right w:val="single" w:sz="4" w:space="0" w:color="auto"/>
            </w:tcBorders>
            <w:shd w:val="clear" w:color="auto" w:fill="auto"/>
            <w:noWrap/>
            <w:vAlign w:val="bottom"/>
            <w:hideMark/>
          </w:tcPr>
          <w:p w14:paraId="04BBED6D" w14:textId="77777777" w:rsidR="00B24B98" w:rsidRPr="00B24B98" w:rsidRDefault="00B24B98" w:rsidP="00B24B98">
            <w:pPr>
              <w:spacing w:after="0" w:line="240" w:lineRule="auto"/>
              <w:jc w:val="right"/>
              <w:rPr>
                <w:rFonts w:ascii="Calibri" w:eastAsia="Times New Roman" w:hAnsi="Calibri" w:cs="Calibri"/>
                <w:color w:val="000000"/>
                <w:lang w:eastAsia="en-GB"/>
              </w:rPr>
            </w:pPr>
            <w:r w:rsidRPr="00B24B98">
              <w:rPr>
                <w:rFonts w:ascii="Calibri" w:eastAsia="Times New Roman" w:hAnsi="Calibri" w:cs="Calibri"/>
                <w:color w:val="000000"/>
                <w:lang w:eastAsia="en-GB"/>
              </w:rPr>
              <w:t>7</w:t>
            </w:r>
          </w:p>
        </w:tc>
        <w:tc>
          <w:tcPr>
            <w:tcW w:w="1180" w:type="dxa"/>
            <w:tcBorders>
              <w:top w:val="nil"/>
              <w:left w:val="nil"/>
              <w:bottom w:val="single" w:sz="4" w:space="0" w:color="auto"/>
              <w:right w:val="single" w:sz="4" w:space="0" w:color="auto"/>
            </w:tcBorders>
            <w:shd w:val="clear" w:color="auto" w:fill="auto"/>
            <w:noWrap/>
            <w:vAlign w:val="center"/>
            <w:hideMark/>
          </w:tcPr>
          <w:p w14:paraId="38902F30" w14:textId="77777777" w:rsidR="00B24B98" w:rsidRPr="00B24B98" w:rsidRDefault="00B24B98" w:rsidP="00B24B98">
            <w:pPr>
              <w:spacing w:after="0" w:line="240" w:lineRule="auto"/>
              <w:rPr>
                <w:rFonts w:ascii="Calibri" w:eastAsia="Times New Roman" w:hAnsi="Calibri" w:cs="Calibri"/>
                <w:color w:val="000000"/>
                <w:lang w:eastAsia="en-GB"/>
              </w:rPr>
            </w:pPr>
            <w:r w:rsidRPr="00B24B98">
              <w:rPr>
                <w:rFonts w:ascii="Calibri" w:eastAsia="Times New Roman" w:hAnsi="Calibri" w:cs="Calibri"/>
                <w:color w:val="000000"/>
                <w:lang w:eastAsia="en-GB"/>
              </w:rPr>
              <w:t>N05</w:t>
            </w:r>
          </w:p>
        </w:tc>
        <w:tc>
          <w:tcPr>
            <w:tcW w:w="4521" w:type="dxa"/>
            <w:tcBorders>
              <w:top w:val="nil"/>
              <w:left w:val="nil"/>
              <w:bottom w:val="single" w:sz="4" w:space="0" w:color="auto"/>
              <w:right w:val="single" w:sz="4" w:space="0" w:color="auto"/>
            </w:tcBorders>
            <w:shd w:val="clear" w:color="auto" w:fill="auto"/>
            <w:noWrap/>
            <w:vAlign w:val="center"/>
            <w:hideMark/>
          </w:tcPr>
          <w:p w14:paraId="0E6F0DF2" w14:textId="77777777" w:rsidR="00B24B98" w:rsidRPr="00B24B98" w:rsidRDefault="00B24B98" w:rsidP="00B24B98">
            <w:pPr>
              <w:spacing w:after="0" w:line="240" w:lineRule="auto"/>
              <w:rPr>
                <w:rFonts w:ascii="Calibri" w:eastAsia="Times New Roman" w:hAnsi="Calibri" w:cs="Calibri"/>
                <w:color w:val="000000"/>
                <w:lang w:eastAsia="en-GB"/>
              </w:rPr>
            </w:pPr>
            <w:r w:rsidRPr="00B24B98">
              <w:rPr>
                <w:rFonts w:ascii="Calibri" w:eastAsia="Times New Roman" w:hAnsi="Calibri" w:cs="Calibri"/>
                <w:color w:val="000000"/>
                <w:lang w:eastAsia="en-GB"/>
              </w:rPr>
              <w:t>PSYCHOLEPTICS</w:t>
            </w:r>
          </w:p>
        </w:tc>
        <w:tc>
          <w:tcPr>
            <w:tcW w:w="600" w:type="dxa"/>
            <w:tcBorders>
              <w:top w:val="nil"/>
              <w:left w:val="nil"/>
              <w:bottom w:val="single" w:sz="4" w:space="0" w:color="auto"/>
              <w:right w:val="single" w:sz="4" w:space="0" w:color="auto"/>
            </w:tcBorders>
            <w:shd w:val="clear" w:color="auto" w:fill="auto"/>
            <w:noWrap/>
            <w:vAlign w:val="center"/>
            <w:hideMark/>
          </w:tcPr>
          <w:p w14:paraId="5576B7A8" w14:textId="77777777" w:rsidR="00B24B98" w:rsidRPr="00B24B98" w:rsidRDefault="00B24B98" w:rsidP="00B24B98">
            <w:pPr>
              <w:spacing w:after="0" w:line="240" w:lineRule="auto"/>
              <w:jc w:val="right"/>
              <w:rPr>
                <w:rFonts w:ascii="Calibri" w:eastAsia="Times New Roman" w:hAnsi="Calibri" w:cs="Calibri"/>
                <w:color w:val="000000"/>
                <w:lang w:eastAsia="en-GB"/>
              </w:rPr>
            </w:pPr>
            <w:r w:rsidRPr="00B24B98">
              <w:rPr>
                <w:rFonts w:ascii="Calibri" w:eastAsia="Times New Roman" w:hAnsi="Calibri" w:cs="Calibri"/>
                <w:color w:val="000000"/>
                <w:lang w:eastAsia="en-GB"/>
              </w:rPr>
              <w:t>92</w:t>
            </w:r>
          </w:p>
        </w:tc>
        <w:tc>
          <w:tcPr>
            <w:tcW w:w="960" w:type="dxa"/>
            <w:tcBorders>
              <w:top w:val="nil"/>
              <w:left w:val="nil"/>
              <w:bottom w:val="single" w:sz="4" w:space="0" w:color="auto"/>
              <w:right w:val="single" w:sz="4" w:space="0" w:color="auto"/>
            </w:tcBorders>
            <w:shd w:val="clear" w:color="auto" w:fill="auto"/>
            <w:noWrap/>
            <w:vAlign w:val="bottom"/>
            <w:hideMark/>
          </w:tcPr>
          <w:p w14:paraId="46709175" w14:textId="77777777" w:rsidR="00B24B98" w:rsidRPr="00B24B98" w:rsidRDefault="00B24B98" w:rsidP="00B24B98">
            <w:pPr>
              <w:spacing w:after="0" w:line="240" w:lineRule="auto"/>
              <w:jc w:val="right"/>
              <w:rPr>
                <w:rFonts w:ascii="Calibri" w:eastAsia="Times New Roman" w:hAnsi="Calibri" w:cs="Calibri"/>
                <w:color w:val="000000"/>
                <w:lang w:eastAsia="en-GB"/>
              </w:rPr>
            </w:pPr>
            <w:r w:rsidRPr="00B24B98">
              <w:rPr>
                <w:rFonts w:ascii="Calibri" w:eastAsia="Times New Roman" w:hAnsi="Calibri" w:cs="Calibri"/>
                <w:color w:val="000000"/>
                <w:lang w:eastAsia="en-GB"/>
              </w:rPr>
              <w:t>3.86%</w:t>
            </w:r>
          </w:p>
        </w:tc>
      </w:tr>
      <w:tr w:rsidR="00B24B98" w:rsidRPr="00B24B98" w14:paraId="7C7B25B3" w14:textId="77777777" w:rsidTr="00B24B98">
        <w:trPr>
          <w:trHeight w:val="290"/>
        </w:trPr>
        <w:tc>
          <w:tcPr>
            <w:tcW w:w="673" w:type="dxa"/>
            <w:tcBorders>
              <w:top w:val="nil"/>
              <w:left w:val="single" w:sz="4" w:space="0" w:color="auto"/>
              <w:bottom w:val="single" w:sz="4" w:space="0" w:color="auto"/>
              <w:right w:val="single" w:sz="4" w:space="0" w:color="auto"/>
            </w:tcBorders>
            <w:shd w:val="clear" w:color="auto" w:fill="auto"/>
            <w:noWrap/>
            <w:vAlign w:val="bottom"/>
            <w:hideMark/>
          </w:tcPr>
          <w:p w14:paraId="0DA3313A" w14:textId="77777777" w:rsidR="00B24B98" w:rsidRPr="00B24B98" w:rsidRDefault="00B24B98" w:rsidP="00B24B98">
            <w:pPr>
              <w:spacing w:after="0" w:line="240" w:lineRule="auto"/>
              <w:jc w:val="right"/>
              <w:rPr>
                <w:rFonts w:ascii="Calibri" w:eastAsia="Times New Roman" w:hAnsi="Calibri" w:cs="Calibri"/>
                <w:color w:val="000000"/>
                <w:lang w:eastAsia="en-GB"/>
              </w:rPr>
            </w:pPr>
            <w:r w:rsidRPr="00B24B98">
              <w:rPr>
                <w:rFonts w:ascii="Calibri" w:eastAsia="Times New Roman" w:hAnsi="Calibri" w:cs="Calibri"/>
                <w:color w:val="000000"/>
                <w:lang w:eastAsia="en-GB"/>
              </w:rPr>
              <w:t>8</w:t>
            </w:r>
          </w:p>
        </w:tc>
        <w:tc>
          <w:tcPr>
            <w:tcW w:w="1180" w:type="dxa"/>
            <w:tcBorders>
              <w:top w:val="nil"/>
              <w:left w:val="nil"/>
              <w:bottom w:val="single" w:sz="4" w:space="0" w:color="auto"/>
              <w:right w:val="single" w:sz="4" w:space="0" w:color="auto"/>
            </w:tcBorders>
            <w:shd w:val="clear" w:color="auto" w:fill="auto"/>
            <w:noWrap/>
            <w:vAlign w:val="center"/>
            <w:hideMark/>
          </w:tcPr>
          <w:p w14:paraId="48A42721" w14:textId="77777777" w:rsidR="00B24B98" w:rsidRPr="00B24B98" w:rsidRDefault="00B24B98" w:rsidP="00B24B98">
            <w:pPr>
              <w:spacing w:after="0" w:line="240" w:lineRule="auto"/>
              <w:rPr>
                <w:rFonts w:ascii="Calibri" w:eastAsia="Times New Roman" w:hAnsi="Calibri" w:cs="Calibri"/>
                <w:color w:val="000000"/>
                <w:lang w:eastAsia="en-GB"/>
              </w:rPr>
            </w:pPr>
            <w:r w:rsidRPr="00B24B98">
              <w:rPr>
                <w:rFonts w:ascii="Calibri" w:eastAsia="Times New Roman" w:hAnsi="Calibri" w:cs="Calibri"/>
                <w:color w:val="000000"/>
                <w:lang w:eastAsia="en-GB"/>
              </w:rPr>
              <w:t>H02</w:t>
            </w:r>
          </w:p>
        </w:tc>
        <w:tc>
          <w:tcPr>
            <w:tcW w:w="4521" w:type="dxa"/>
            <w:tcBorders>
              <w:top w:val="nil"/>
              <w:left w:val="nil"/>
              <w:bottom w:val="single" w:sz="4" w:space="0" w:color="auto"/>
              <w:right w:val="single" w:sz="4" w:space="0" w:color="auto"/>
            </w:tcBorders>
            <w:shd w:val="clear" w:color="auto" w:fill="auto"/>
            <w:noWrap/>
            <w:vAlign w:val="center"/>
            <w:hideMark/>
          </w:tcPr>
          <w:p w14:paraId="5C7E0B82" w14:textId="77777777" w:rsidR="00B24B98" w:rsidRPr="00B24B98" w:rsidRDefault="00B24B98" w:rsidP="00B24B98">
            <w:pPr>
              <w:spacing w:after="0" w:line="240" w:lineRule="auto"/>
              <w:rPr>
                <w:rFonts w:ascii="Calibri" w:eastAsia="Times New Roman" w:hAnsi="Calibri" w:cs="Calibri"/>
                <w:color w:val="000000"/>
                <w:lang w:eastAsia="en-GB"/>
              </w:rPr>
            </w:pPr>
            <w:r w:rsidRPr="00B24B98">
              <w:rPr>
                <w:rFonts w:ascii="Calibri" w:eastAsia="Times New Roman" w:hAnsi="Calibri" w:cs="Calibri"/>
                <w:color w:val="000000"/>
                <w:lang w:eastAsia="en-GB"/>
              </w:rPr>
              <w:t>CORTICOSTEROIDS FOR SYSTEMIC USE</w:t>
            </w:r>
          </w:p>
        </w:tc>
        <w:tc>
          <w:tcPr>
            <w:tcW w:w="600" w:type="dxa"/>
            <w:tcBorders>
              <w:top w:val="nil"/>
              <w:left w:val="nil"/>
              <w:bottom w:val="single" w:sz="4" w:space="0" w:color="auto"/>
              <w:right w:val="single" w:sz="4" w:space="0" w:color="auto"/>
            </w:tcBorders>
            <w:shd w:val="clear" w:color="auto" w:fill="auto"/>
            <w:noWrap/>
            <w:vAlign w:val="center"/>
            <w:hideMark/>
          </w:tcPr>
          <w:p w14:paraId="6A8C50FE" w14:textId="77777777" w:rsidR="00B24B98" w:rsidRPr="00B24B98" w:rsidRDefault="00B24B98" w:rsidP="00B24B98">
            <w:pPr>
              <w:spacing w:after="0" w:line="240" w:lineRule="auto"/>
              <w:jc w:val="right"/>
              <w:rPr>
                <w:rFonts w:ascii="Calibri" w:eastAsia="Times New Roman" w:hAnsi="Calibri" w:cs="Calibri"/>
                <w:color w:val="000000"/>
                <w:lang w:eastAsia="en-GB"/>
              </w:rPr>
            </w:pPr>
            <w:r w:rsidRPr="00B24B98">
              <w:rPr>
                <w:rFonts w:ascii="Calibri" w:eastAsia="Times New Roman" w:hAnsi="Calibri" w:cs="Calibri"/>
                <w:color w:val="000000"/>
                <w:lang w:eastAsia="en-GB"/>
              </w:rPr>
              <w:t>77</w:t>
            </w:r>
          </w:p>
        </w:tc>
        <w:tc>
          <w:tcPr>
            <w:tcW w:w="960" w:type="dxa"/>
            <w:tcBorders>
              <w:top w:val="nil"/>
              <w:left w:val="nil"/>
              <w:bottom w:val="single" w:sz="4" w:space="0" w:color="auto"/>
              <w:right w:val="single" w:sz="4" w:space="0" w:color="auto"/>
            </w:tcBorders>
            <w:shd w:val="clear" w:color="auto" w:fill="auto"/>
            <w:noWrap/>
            <w:vAlign w:val="bottom"/>
            <w:hideMark/>
          </w:tcPr>
          <w:p w14:paraId="240C0727" w14:textId="77777777" w:rsidR="00B24B98" w:rsidRPr="00B24B98" w:rsidRDefault="00B24B98" w:rsidP="00B24B98">
            <w:pPr>
              <w:spacing w:after="0" w:line="240" w:lineRule="auto"/>
              <w:jc w:val="right"/>
              <w:rPr>
                <w:rFonts w:ascii="Calibri" w:eastAsia="Times New Roman" w:hAnsi="Calibri" w:cs="Calibri"/>
                <w:color w:val="000000"/>
                <w:lang w:eastAsia="en-GB"/>
              </w:rPr>
            </w:pPr>
            <w:r w:rsidRPr="00B24B98">
              <w:rPr>
                <w:rFonts w:ascii="Calibri" w:eastAsia="Times New Roman" w:hAnsi="Calibri" w:cs="Calibri"/>
                <w:color w:val="000000"/>
                <w:lang w:eastAsia="en-GB"/>
              </w:rPr>
              <w:t>3.23%</w:t>
            </w:r>
          </w:p>
        </w:tc>
      </w:tr>
      <w:tr w:rsidR="00B24B98" w:rsidRPr="00B24B98" w14:paraId="3FE5E4A5" w14:textId="77777777" w:rsidTr="00B24B98">
        <w:trPr>
          <w:trHeight w:val="290"/>
        </w:trPr>
        <w:tc>
          <w:tcPr>
            <w:tcW w:w="673" w:type="dxa"/>
            <w:tcBorders>
              <w:top w:val="nil"/>
              <w:left w:val="single" w:sz="4" w:space="0" w:color="auto"/>
              <w:bottom w:val="single" w:sz="4" w:space="0" w:color="auto"/>
              <w:right w:val="single" w:sz="4" w:space="0" w:color="auto"/>
            </w:tcBorders>
            <w:shd w:val="clear" w:color="auto" w:fill="auto"/>
            <w:noWrap/>
            <w:vAlign w:val="bottom"/>
            <w:hideMark/>
          </w:tcPr>
          <w:p w14:paraId="1B624F9F" w14:textId="77777777" w:rsidR="00B24B98" w:rsidRPr="00B24B98" w:rsidRDefault="00B24B98" w:rsidP="00B24B98">
            <w:pPr>
              <w:spacing w:after="0" w:line="240" w:lineRule="auto"/>
              <w:jc w:val="right"/>
              <w:rPr>
                <w:rFonts w:ascii="Calibri" w:eastAsia="Times New Roman" w:hAnsi="Calibri" w:cs="Calibri"/>
                <w:color w:val="000000"/>
                <w:lang w:eastAsia="en-GB"/>
              </w:rPr>
            </w:pPr>
            <w:r w:rsidRPr="00B24B98">
              <w:rPr>
                <w:rFonts w:ascii="Calibri" w:eastAsia="Times New Roman" w:hAnsi="Calibri" w:cs="Calibri"/>
                <w:color w:val="000000"/>
                <w:lang w:eastAsia="en-GB"/>
              </w:rPr>
              <w:t>9</w:t>
            </w:r>
          </w:p>
        </w:tc>
        <w:tc>
          <w:tcPr>
            <w:tcW w:w="1180" w:type="dxa"/>
            <w:tcBorders>
              <w:top w:val="nil"/>
              <w:left w:val="nil"/>
              <w:bottom w:val="single" w:sz="4" w:space="0" w:color="auto"/>
              <w:right w:val="single" w:sz="4" w:space="0" w:color="auto"/>
            </w:tcBorders>
            <w:shd w:val="clear" w:color="auto" w:fill="auto"/>
            <w:noWrap/>
            <w:vAlign w:val="center"/>
            <w:hideMark/>
          </w:tcPr>
          <w:p w14:paraId="25954986" w14:textId="77777777" w:rsidR="00B24B98" w:rsidRPr="00B24B98" w:rsidRDefault="00B24B98" w:rsidP="00B24B98">
            <w:pPr>
              <w:spacing w:after="0" w:line="240" w:lineRule="auto"/>
              <w:rPr>
                <w:rFonts w:ascii="Calibri" w:eastAsia="Times New Roman" w:hAnsi="Calibri" w:cs="Calibri"/>
                <w:color w:val="000000"/>
                <w:lang w:eastAsia="en-GB"/>
              </w:rPr>
            </w:pPr>
            <w:r w:rsidRPr="00B24B98">
              <w:rPr>
                <w:rFonts w:ascii="Calibri" w:eastAsia="Times New Roman" w:hAnsi="Calibri" w:cs="Calibri"/>
                <w:color w:val="000000"/>
                <w:lang w:eastAsia="en-GB"/>
              </w:rPr>
              <w:t>C01</w:t>
            </w:r>
          </w:p>
        </w:tc>
        <w:tc>
          <w:tcPr>
            <w:tcW w:w="4521" w:type="dxa"/>
            <w:tcBorders>
              <w:top w:val="nil"/>
              <w:left w:val="nil"/>
              <w:bottom w:val="single" w:sz="4" w:space="0" w:color="auto"/>
              <w:right w:val="single" w:sz="4" w:space="0" w:color="auto"/>
            </w:tcBorders>
            <w:shd w:val="clear" w:color="auto" w:fill="auto"/>
            <w:noWrap/>
            <w:vAlign w:val="center"/>
            <w:hideMark/>
          </w:tcPr>
          <w:p w14:paraId="6B326D72" w14:textId="77777777" w:rsidR="00B24B98" w:rsidRPr="00B24B98" w:rsidRDefault="00B24B98" w:rsidP="00B24B98">
            <w:pPr>
              <w:spacing w:after="0" w:line="240" w:lineRule="auto"/>
              <w:rPr>
                <w:rFonts w:ascii="Calibri" w:eastAsia="Times New Roman" w:hAnsi="Calibri" w:cs="Calibri"/>
                <w:color w:val="000000"/>
                <w:lang w:eastAsia="en-GB"/>
              </w:rPr>
            </w:pPr>
            <w:r w:rsidRPr="00B24B98">
              <w:rPr>
                <w:rFonts w:ascii="Calibri" w:eastAsia="Times New Roman" w:hAnsi="Calibri" w:cs="Calibri"/>
                <w:color w:val="000000"/>
                <w:lang w:eastAsia="en-GB"/>
              </w:rPr>
              <w:t>CARDIAC THERAPY</w:t>
            </w:r>
          </w:p>
        </w:tc>
        <w:tc>
          <w:tcPr>
            <w:tcW w:w="600" w:type="dxa"/>
            <w:tcBorders>
              <w:top w:val="nil"/>
              <w:left w:val="nil"/>
              <w:bottom w:val="single" w:sz="4" w:space="0" w:color="auto"/>
              <w:right w:val="single" w:sz="4" w:space="0" w:color="auto"/>
            </w:tcBorders>
            <w:shd w:val="clear" w:color="auto" w:fill="auto"/>
            <w:noWrap/>
            <w:vAlign w:val="center"/>
            <w:hideMark/>
          </w:tcPr>
          <w:p w14:paraId="089DB178" w14:textId="77777777" w:rsidR="00B24B98" w:rsidRPr="00B24B98" w:rsidRDefault="00B24B98" w:rsidP="00B24B98">
            <w:pPr>
              <w:spacing w:after="0" w:line="240" w:lineRule="auto"/>
              <w:jc w:val="right"/>
              <w:rPr>
                <w:rFonts w:ascii="Calibri" w:eastAsia="Times New Roman" w:hAnsi="Calibri" w:cs="Calibri"/>
                <w:color w:val="000000"/>
                <w:lang w:eastAsia="en-GB"/>
              </w:rPr>
            </w:pPr>
            <w:r w:rsidRPr="00B24B98">
              <w:rPr>
                <w:rFonts w:ascii="Calibri" w:eastAsia="Times New Roman" w:hAnsi="Calibri" w:cs="Calibri"/>
                <w:color w:val="000000"/>
                <w:lang w:eastAsia="en-GB"/>
              </w:rPr>
              <w:t>71</w:t>
            </w:r>
          </w:p>
        </w:tc>
        <w:tc>
          <w:tcPr>
            <w:tcW w:w="960" w:type="dxa"/>
            <w:tcBorders>
              <w:top w:val="nil"/>
              <w:left w:val="nil"/>
              <w:bottom w:val="single" w:sz="4" w:space="0" w:color="auto"/>
              <w:right w:val="single" w:sz="4" w:space="0" w:color="auto"/>
            </w:tcBorders>
            <w:shd w:val="clear" w:color="auto" w:fill="auto"/>
            <w:noWrap/>
            <w:vAlign w:val="bottom"/>
            <w:hideMark/>
          </w:tcPr>
          <w:p w14:paraId="24ADF03C" w14:textId="77777777" w:rsidR="00B24B98" w:rsidRPr="00B24B98" w:rsidRDefault="00B24B98" w:rsidP="00B24B98">
            <w:pPr>
              <w:spacing w:after="0" w:line="240" w:lineRule="auto"/>
              <w:jc w:val="right"/>
              <w:rPr>
                <w:rFonts w:ascii="Calibri" w:eastAsia="Times New Roman" w:hAnsi="Calibri" w:cs="Calibri"/>
                <w:color w:val="000000"/>
                <w:lang w:eastAsia="en-GB"/>
              </w:rPr>
            </w:pPr>
            <w:r w:rsidRPr="00B24B98">
              <w:rPr>
                <w:rFonts w:ascii="Calibri" w:eastAsia="Times New Roman" w:hAnsi="Calibri" w:cs="Calibri"/>
                <w:color w:val="000000"/>
                <w:lang w:eastAsia="en-GB"/>
              </w:rPr>
              <w:t>2.98%</w:t>
            </w:r>
          </w:p>
        </w:tc>
      </w:tr>
      <w:tr w:rsidR="00B24B98" w:rsidRPr="00B24B98" w14:paraId="2AEB4F70" w14:textId="77777777" w:rsidTr="00B24B98">
        <w:trPr>
          <w:trHeight w:val="290"/>
        </w:trPr>
        <w:tc>
          <w:tcPr>
            <w:tcW w:w="673" w:type="dxa"/>
            <w:tcBorders>
              <w:top w:val="nil"/>
              <w:left w:val="single" w:sz="4" w:space="0" w:color="auto"/>
              <w:bottom w:val="single" w:sz="4" w:space="0" w:color="auto"/>
              <w:right w:val="single" w:sz="4" w:space="0" w:color="auto"/>
            </w:tcBorders>
            <w:shd w:val="clear" w:color="auto" w:fill="auto"/>
            <w:noWrap/>
            <w:vAlign w:val="bottom"/>
            <w:hideMark/>
          </w:tcPr>
          <w:p w14:paraId="71816647" w14:textId="77777777" w:rsidR="00B24B98" w:rsidRPr="00B24B98" w:rsidRDefault="00B24B98" w:rsidP="00B24B98">
            <w:pPr>
              <w:spacing w:after="0" w:line="240" w:lineRule="auto"/>
              <w:jc w:val="right"/>
              <w:rPr>
                <w:rFonts w:ascii="Calibri" w:eastAsia="Times New Roman" w:hAnsi="Calibri" w:cs="Calibri"/>
                <w:color w:val="000000"/>
                <w:lang w:eastAsia="en-GB"/>
              </w:rPr>
            </w:pPr>
            <w:r w:rsidRPr="00B24B98">
              <w:rPr>
                <w:rFonts w:ascii="Calibri" w:eastAsia="Times New Roman" w:hAnsi="Calibri" w:cs="Calibri"/>
                <w:color w:val="000000"/>
                <w:lang w:eastAsia="en-GB"/>
              </w:rPr>
              <w:t>10</w:t>
            </w:r>
          </w:p>
        </w:tc>
        <w:tc>
          <w:tcPr>
            <w:tcW w:w="1180" w:type="dxa"/>
            <w:tcBorders>
              <w:top w:val="nil"/>
              <w:left w:val="nil"/>
              <w:bottom w:val="single" w:sz="4" w:space="0" w:color="auto"/>
              <w:right w:val="single" w:sz="4" w:space="0" w:color="auto"/>
            </w:tcBorders>
            <w:shd w:val="clear" w:color="auto" w:fill="auto"/>
            <w:noWrap/>
            <w:vAlign w:val="center"/>
            <w:hideMark/>
          </w:tcPr>
          <w:p w14:paraId="0C3DB7EB" w14:textId="77777777" w:rsidR="00B24B98" w:rsidRPr="00B24B98" w:rsidRDefault="00B24B98" w:rsidP="00B24B98">
            <w:pPr>
              <w:spacing w:after="0" w:line="240" w:lineRule="auto"/>
              <w:rPr>
                <w:rFonts w:ascii="Calibri" w:eastAsia="Times New Roman" w:hAnsi="Calibri" w:cs="Calibri"/>
                <w:color w:val="000000"/>
                <w:lang w:eastAsia="en-GB"/>
              </w:rPr>
            </w:pPr>
            <w:r w:rsidRPr="00B24B98">
              <w:rPr>
                <w:rFonts w:ascii="Calibri" w:eastAsia="Times New Roman" w:hAnsi="Calibri" w:cs="Calibri"/>
                <w:color w:val="000000"/>
                <w:lang w:eastAsia="en-GB"/>
              </w:rPr>
              <w:t>A10</w:t>
            </w:r>
          </w:p>
        </w:tc>
        <w:tc>
          <w:tcPr>
            <w:tcW w:w="4521" w:type="dxa"/>
            <w:tcBorders>
              <w:top w:val="nil"/>
              <w:left w:val="nil"/>
              <w:bottom w:val="single" w:sz="4" w:space="0" w:color="auto"/>
              <w:right w:val="single" w:sz="4" w:space="0" w:color="auto"/>
            </w:tcBorders>
            <w:shd w:val="clear" w:color="auto" w:fill="auto"/>
            <w:noWrap/>
            <w:vAlign w:val="center"/>
            <w:hideMark/>
          </w:tcPr>
          <w:p w14:paraId="36C56B3E" w14:textId="77777777" w:rsidR="00B24B98" w:rsidRPr="00B24B98" w:rsidRDefault="00B24B98" w:rsidP="00B24B98">
            <w:pPr>
              <w:spacing w:after="0" w:line="240" w:lineRule="auto"/>
              <w:rPr>
                <w:rFonts w:ascii="Calibri" w:eastAsia="Times New Roman" w:hAnsi="Calibri" w:cs="Calibri"/>
                <w:color w:val="000000"/>
                <w:lang w:eastAsia="en-GB"/>
              </w:rPr>
            </w:pPr>
            <w:r w:rsidRPr="00B24B98">
              <w:rPr>
                <w:rFonts w:ascii="Calibri" w:eastAsia="Times New Roman" w:hAnsi="Calibri" w:cs="Calibri"/>
                <w:color w:val="000000"/>
                <w:lang w:eastAsia="en-GB"/>
              </w:rPr>
              <w:t xml:space="preserve">DRUGS USED IN DIABETES </w:t>
            </w:r>
          </w:p>
        </w:tc>
        <w:tc>
          <w:tcPr>
            <w:tcW w:w="600" w:type="dxa"/>
            <w:tcBorders>
              <w:top w:val="nil"/>
              <w:left w:val="nil"/>
              <w:bottom w:val="single" w:sz="4" w:space="0" w:color="auto"/>
              <w:right w:val="single" w:sz="4" w:space="0" w:color="auto"/>
            </w:tcBorders>
            <w:shd w:val="clear" w:color="auto" w:fill="auto"/>
            <w:noWrap/>
            <w:vAlign w:val="center"/>
            <w:hideMark/>
          </w:tcPr>
          <w:p w14:paraId="4EAFFE31" w14:textId="77777777" w:rsidR="00B24B98" w:rsidRPr="00B24B98" w:rsidRDefault="00B24B98" w:rsidP="00B24B98">
            <w:pPr>
              <w:spacing w:after="0" w:line="240" w:lineRule="auto"/>
              <w:jc w:val="right"/>
              <w:rPr>
                <w:rFonts w:ascii="Calibri" w:eastAsia="Times New Roman" w:hAnsi="Calibri" w:cs="Calibri"/>
                <w:color w:val="000000"/>
                <w:lang w:eastAsia="en-GB"/>
              </w:rPr>
            </w:pPr>
            <w:r w:rsidRPr="00B24B98">
              <w:rPr>
                <w:rFonts w:ascii="Calibri" w:eastAsia="Times New Roman" w:hAnsi="Calibri" w:cs="Calibri"/>
                <w:color w:val="000000"/>
                <w:lang w:eastAsia="en-GB"/>
              </w:rPr>
              <w:t>61</w:t>
            </w:r>
          </w:p>
        </w:tc>
        <w:tc>
          <w:tcPr>
            <w:tcW w:w="960" w:type="dxa"/>
            <w:tcBorders>
              <w:top w:val="nil"/>
              <w:left w:val="nil"/>
              <w:bottom w:val="single" w:sz="4" w:space="0" w:color="auto"/>
              <w:right w:val="single" w:sz="4" w:space="0" w:color="auto"/>
            </w:tcBorders>
            <w:shd w:val="clear" w:color="auto" w:fill="auto"/>
            <w:noWrap/>
            <w:vAlign w:val="bottom"/>
            <w:hideMark/>
          </w:tcPr>
          <w:p w14:paraId="50B78161" w14:textId="77777777" w:rsidR="00B24B98" w:rsidRPr="00B24B98" w:rsidRDefault="00B24B98" w:rsidP="00B24B98">
            <w:pPr>
              <w:spacing w:after="0" w:line="240" w:lineRule="auto"/>
              <w:jc w:val="right"/>
              <w:rPr>
                <w:rFonts w:ascii="Calibri" w:eastAsia="Times New Roman" w:hAnsi="Calibri" w:cs="Calibri"/>
                <w:color w:val="000000"/>
                <w:lang w:eastAsia="en-GB"/>
              </w:rPr>
            </w:pPr>
            <w:r w:rsidRPr="00B24B98">
              <w:rPr>
                <w:rFonts w:ascii="Calibri" w:eastAsia="Times New Roman" w:hAnsi="Calibri" w:cs="Calibri"/>
                <w:color w:val="000000"/>
                <w:lang w:eastAsia="en-GB"/>
              </w:rPr>
              <w:t>2.56%</w:t>
            </w:r>
          </w:p>
        </w:tc>
      </w:tr>
      <w:tr w:rsidR="00B24B98" w:rsidRPr="00B24B98" w14:paraId="4ADE69DD" w14:textId="77777777" w:rsidTr="00B24B98">
        <w:trPr>
          <w:trHeight w:val="290"/>
        </w:trPr>
        <w:tc>
          <w:tcPr>
            <w:tcW w:w="673" w:type="dxa"/>
            <w:tcBorders>
              <w:top w:val="nil"/>
              <w:left w:val="single" w:sz="4" w:space="0" w:color="auto"/>
              <w:bottom w:val="single" w:sz="4" w:space="0" w:color="auto"/>
              <w:right w:val="single" w:sz="4" w:space="0" w:color="auto"/>
            </w:tcBorders>
            <w:shd w:val="clear" w:color="auto" w:fill="auto"/>
            <w:noWrap/>
            <w:vAlign w:val="bottom"/>
            <w:hideMark/>
          </w:tcPr>
          <w:p w14:paraId="2053566E" w14:textId="77777777" w:rsidR="00B24B98" w:rsidRPr="00B24B98" w:rsidRDefault="00B24B98" w:rsidP="00B24B98">
            <w:pPr>
              <w:spacing w:after="0" w:line="240" w:lineRule="auto"/>
              <w:jc w:val="right"/>
              <w:rPr>
                <w:rFonts w:ascii="Calibri" w:eastAsia="Times New Roman" w:hAnsi="Calibri" w:cs="Calibri"/>
                <w:color w:val="000000"/>
                <w:lang w:eastAsia="en-GB"/>
              </w:rPr>
            </w:pPr>
            <w:r w:rsidRPr="00B24B98">
              <w:rPr>
                <w:rFonts w:ascii="Calibri" w:eastAsia="Times New Roman" w:hAnsi="Calibri" w:cs="Calibri"/>
                <w:color w:val="000000"/>
                <w:lang w:eastAsia="en-GB"/>
              </w:rPr>
              <w:t>11</w:t>
            </w:r>
          </w:p>
        </w:tc>
        <w:tc>
          <w:tcPr>
            <w:tcW w:w="1180" w:type="dxa"/>
            <w:tcBorders>
              <w:top w:val="nil"/>
              <w:left w:val="nil"/>
              <w:bottom w:val="single" w:sz="4" w:space="0" w:color="auto"/>
              <w:right w:val="single" w:sz="4" w:space="0" w:color="auto"/>
            </w:tcBorders>
            <w:shd w:val="clear" w:color="auto" w:fill="auto"/>
            <w:noWrap/>
            <w:vAlign w:val="center"/>
            <w:hideMark/>
          </w:tcPr>
          <w:p w14:paraId="38276C2A" w14:textId="77777777" w:rsidR="00B24B98" w:rsidRPr="00B24B98" w:rsidRDefault="00B24B98" w:rsidP="00B24B98">
            <w:pPr>
              <w:spacing w:after="0" w:line="240" w:lineRule="auto"/>
              <w:rPr>
                <w:rFonts w:ascii="Calibri" w:eastAsia="Times New Roman" w:hAnsi="Calibri" w:cs="Calibri"/>
                <w:color w:val="000000"/>
                <w:lang w:eastAsia="en-GB"/>
              </w:rPr>
            </w:pPr>
            <w:r w:rsidRPr="00B24B98">
              <w:rPr>
                <w:rFonts w:ascii="Calibri" w:eastAsia="Times New Roman" w:hAnsi="Calibri" w:cs="Calibri"/>
                <w:color w:val="000000"/>
                <w:lang w:eastAsia="en-GB"/>
              </w:rPr>
              <w:t>J04</w:t>
            </w:r>
          </w:p>
        </w:tc>
        <w:tc>
          <w:tcPr>
            <w:tcW w:w="4521" w:type="dxa"/>
            <w:tcBorders>
              <w:top w:val="nil"/>
              <w:left w:val="nil"/>
              <w:bottom w:val="single" w:sz="4" w:space="0" w:color="auto"/>
              <w:right w:val="single" w:sz="4" w:space="0" w:color="auto"/>
            </w:tcBorders>
            <w:shd w:val="clear" w:color="auto" w:fill="auto"/>
            <w:noWrap/>
            <w:vAlign w:val="center"/>
            <w:hideMark/>
          </w:tcPr>
          <w:p w14:paraId="5B6D558E" w14:textId="77777777" w:rsidR="00B24B98" w:rsidRPr="00B24B98" w:rsidRDefault="00B24B98" w:rsidP="00B24B98">
            <w:pPr>
              <w:spacing w:after="0" w:line="240" w:lineRule="auto"/>
              <w:rPr>
                <w:rFonts w:ascii="Calibri" w:eastAsia="Times New Roman" w:hAnsi="Calibri" w:cs="Calibri"/>
                <w:color w:val="000000"/>
                <w:lang w:eastAsia="en-GB"/>
              </w:rPr>
            </w:pPr>
            <w:r w:rsidRPr="00B24B98">
              <w:rPr>
                <w:rFonts w:ascii="Calibri" w:eastAsia="Times New Roman" w:hAnsi="Calibri" w:cs="Calibri"/>
                <w:color w:val="000000"/>
                <w:lang w:eastAsia="en-GB"/>
              </w:rPr>
              <w:t>ANTIMYCOBACTERIALS</w:t>
            </w:r>
          </w:p>
        </w:tc>
        <w:tc>
          <w:tcPr>
            <w:tcW w:w="600" w:type="dxa"/>
            <w:tcBorders>
              <w:top w:val="nil"/>
              <w:left w:val="nil"/>
              <w:bottom w:val="single" w:sz="4" w:space="0" w:color="auto"/>
              <w:right w:val="single" w:sz="4" w:space="0" w:color="auto"/>
            </w:tcBorders>
            <w:shd w:val="clear" w:color="auto" w:fill="auto"/>
            <w:noWrap/>
            <w:vAlign w:val="center"/>
            <w:hideMark/>
          </w:tcPr>
          <w:p w14:paraId="0C7821AC" w14:textId="77777777" w:rsidR="00B24B98" w:rsidRPr="00B24B98" w:rsidRDefault="00B24B98" w:rsidP="00B24B98">
            <w:pPr>
              <w:spacing w:after="0" w:line="240" w:lineRule="auto"/>
              <w:jc w:val="right"/>
              <w:rPr>
                <w:rFonts w:ascii="Calibri" w:eastAsia="Times New Roman" w:hAnsi="Calibri" w:cs="Calibri"/>
                <w:color w:val="000000"/>
                <w:lang w:eastAsia="en-GB"/>
              </w:rPr>
            </w:pPr>
            <w:r w:rsidRPr="00B24B98">
              <w:rPr>
                <w:rFonts w:ascii="Calibri" w:eastAsia="Times New Roman" w:hAnsi="Calibri" w:cs="Calibri"/>
                <w:color w:val="000000"/>
                <w:lang w:eastAsia="en-GB"/>
              </w:rPr>
              <w:t>54</w:t>
            </w:r>
          </w:p>
        </w:tc>
        <w:tc>
          <w:tcPr>
            <w:tcW w:w="960" w:type="dxa"/>
            <w:tcBorders>
              <w:top w:val="nil"/>
              <w:left w:val="nil"/>
              <w:bottom w:val="single" w:sz="4" w:space="0" w:color="auto"/>
              <w:right w:val="single" w:sz="4" w:space="0" w:color="auto"/>
            </w:tcBorders>
            <w:shd w:val="clear" w:color="auto" w:fill="auto"/>
            <w:noWrap/>
            <w:vAlign w:val="bottom"/>
            <w:hideMark/>
          </w:tcPr>
          <w:p w14:paraId="77B08B56" w14:textId="77777777" w:rsidR="00B24B98" w:rsidRPr="00B24B98" w:rsidRDefault="00B24B98" w:rsidP="00B24B98">
            <w:pPr>
              <w:spacing w:after="0" w:line="240" w:lineRule="auto"/>
              <w:jc w:val="right"/>
              <w:rPr>
                <w:rFonts w:ascii="Calibri" w:eastAsia="Times New Roman" w:hAnsi="Calibri" w:cs="Calibri"/>
                <w:color w:val="000000"/>
                <w:lang w:eastAsia="en-GB"/>
              </w:rPr>
            </w:pPr>
            <w:r w:rsidRPr="00B24B98">
              <w:rPr>
                <w:rFonts w:ascii="Calibri" w:eastAsia="Times New Roman" w:hAnsi="Calibri" w:cs="Calibri"/>
                <w:color w:val="000000"/>
                <w:lang w:eastAsia="en-GB"/>
              </w:rPr>
              <w:t>2.27%</w:t>
            </w:r>
          </w:p>
        </w:tc>
      </w:tr>
      <w:tr w:rsidR="00B24B98" w:rsidRPr="00B24B98" w14:paraId="52941A7B" w14:textId="77777777" w:rsidTr="00B24B98">
        <w:trPr>
          <w:trHeight w:val="290"/>
        </w:trPr>
        <w:tc>
          <w:tcPr>
            <w:tcW w:w="673" w:type="dxa"/>
            <w:tcBorders>
              <w:top w:val="nil"/>
              <w:left w:val="single" w:sz="4" w:space="0" w:color="auto"/>
              <w:bottom w:val="single" w:sz="4" w:space="0" w:color="auto"/>
              <w:right w:val="single" w:sz="4" w:space="0" w:color="auto"/>
            </w:tcBorders>
            <w:shd w:val="clear" w:color="auto" w:fill="auto"/>
            <w:noWrap/>
            <w:vAlign w:val="bottom"/>
            <w:hideMark/>
          </w:tcPr>
          <w:p w14:paraId="5190146F" w14:textId="77777777" w:rsidR="00B24B98" w:rsidRPr="00B24B98" w:rsidRDefault="00B24B98" w:rsidP="00B24B98">
            <w:pPr>
              <w:spacing w:after="0" w:line="240" w:lineRule="auto"/>
              <w:jc w:val="right"/>
              <w:rPr>
                <w:rFonts w:ascii="Calibri" w:eastAsia="Times New Roman" w:hAnsi="Calibri" w:cs="Calibri"/>
                <w:color w:val="000000"/>
                <w:lang w:eastAsia="en-GB"/>
              </w:rPr>
            </w:pPr>
            <w:r w:rsidRPr="00B24B98">
              <w:rPr>
                <w:rFonts w:ascii="Calibri" w:eastAsia="Times New Roman" w:hAnsi="Calibri" w:cs="Calibri"/>
                <w:color w:val="000000"/>
                <w:lang w:eastAsia="en-GB"/>
              </w:rPr>
              <w:t>12</w:t>
            </w:r>
          </w:p>
        </w:tc>
        <w:tc>
          <w:tcPr>
            <w:tcW w:w="1180" w:type="dxa"/>
            <w:tcBorders>
              <w:top w:val="nil"/>
              <w:left w:val="nil"/>
              <w:bottom w:val="single" w:sz="4" w:space="0" w:color="auto"/>
              <w:right w:val="single" w:sz="4" w:space="0" w:color="auto"/>
            </w:tcBorders>
            <w:shd w:val="clear" w:color="auto" w:fill="auto"/>
            <w:noWrap/>
            <w:vAlign w:val="center"/>
            <w:hideMark/>
          </w:tcPr>
          <w:p w14:paraId="1F6CB54D" w14:textId="77777777" w:rsidR="00B24B98" w:rsidRPr="00B24B98" w:rsidRDefault="00B24B98" w:rsidP="00B24B98">
            <w:pPr>
              <w:spacing w:after="0" w:line="240" w:lineRule="auto"/>
              <w:rPr>
                <w:rFonts w:ascii="Calibri" w:eastAsia="Times New Roman" w:hAnsi="Calibri" w:cs="Calibri"/>
                <w:color w:val="000000"/>
                <w:lang w:eastAsia="en-GB"/>
              </w:rPr>
            </w:pPr>
            <w:r w:rsidRPr="00B24B98">
              <w:rPr>
                <w:rFonts w:ascii="Calibri" w:eastAsia="Times New Roman" w:hAnsi="Calibri" w:cs="Calibri"/>
                <w:color w:val="000000"/>
                <w:lang w:eastAsia="en-GB"/>
              </w:rPr>
              <w:t>C02</w:t>
            </w:r>
          </w:p>
        </w:tc>
        <w:tc>
          <w:tcPr>
            <w:tcW w:w="4521" w:type="dxa"/>
            <w:tcBorders>
              <w:top w:val="nil"/>
              <w:left w:val="nil"/>
              <w:bottom w:val="single" w:sz="4" w:space="0" w:color="auto"/>
              <w:right w:val="single" w:sz="4" w:space="0" w:color="auto"/>
            </w:tcBorders>
            <w:shd w:val="clear" w:color="auto" w:fill="auto"/>
            <w:noWrap/>
            <w:vAlign w:val="center"/>
            <w:hideMark/>
          </w:tcPr>
          <w:p w14:paraId="28740FAF" w14:textId="77777777" w:rsidR="00B24B98" w:rsidRPr="00B24B98" w:rsidRDefault="00B24B98" w:rsidP="00B24B98">
            <w:pPr>
              <w:spacing w:after="0" w:line="240" w:lineRule="auto"/>
              <w:rPr>
                <w:rFonts w:ascii="Calibri" w:eastAsia="Times New Roman" w:hAnsi="Calibri" w:cs="Calibri"/>
                <w:color w:val="000000"/>
                <w:lang w:eastAsia="en-GB"/>
              </w:rPr>
            </w:pPr>
            <w:r w:rsidRPr="00B24B98">
              <w:rPr>
                <w:rFonts w:ascii="Calibri" w:eastAsia="Times New Roman" w:hAnsi="Calibri" w:cs="Calibri"/>
                <w:color w:val="000000"/>
                <w:lang w:eastAsia="en-GB"/>
              </w:rPr>
              <w:t>ANTIHYPERTENSIVES</w:t>
            </w:r>
          </w:p>
        </w:tc>
        <w:tc>
          <w:tcPr>
            <w:tcW w:w="600" w:type="dxa"/>
            <w:tcBorders>
              <w:top w:val="nil"/>
              <w:left w:val="nil"/>
              <w:bottom w:val="single" w:sz="4" w:space="0" w:color="auto"/>
              <w:right w:val="single" w:sz="4" w:space="0" w:color="auto"/>
            </w:tcBorders>
            <w:shd w:val="clear" w:color="auto" w:fill="auto"/>
            <w:noWrap/>
            <w:vAlign w:val="center"/>
            <w:hideMark/>
          </w:tcPr>
          <w:p w14:paraId="078A75B5" w14:textId="77777777" w:rsidR="00B24B98" w:rsidRPr="00B24B98" w:rsidRDefault="00B24B98" w:rsidP="00B24B98">
            <w:pPr>
              <w:spacing w:after="0" w:line="240" w:lineRule="auto"/>
              <w:jc w:val="right"/>
              <w:rPr>
                <w:rFonts w:ascii="Calibri" w:eastAsia="Times New Roman" w:hAnsi="Calibri" w:cs="Calibri"/>
                <w:color w:val="000000"/>
                <w:lang w:eastAsia="en-GB"/>
              </w:rPr>
            </w:pPr>
            <w:r w:rsidRPr="00B24B98">
              <w:rPr>
                <w:rFonts w:ascii="Calibri" w:eastAsia="Times New Roman" w:hAnsi="Calibri" w:cs="Calibri"/>
                <w:color w:val="000000"/>
                <w:lang w:eastAsia="en-GB"/>
              </w:rPr>
              <w:t>52</w:t>
            </w:r>
          </w:p>
        </w:tc>
        <w:tc>
          <w:tcPr>
            <w:tcW w:w="960" w:type="dxa"/>
            <w:tcBorders>
              <w:top w:val="nil"/>
              <w:left w:val="nil"/>
              <w:bottom w:val="single" w:sz="4" w:space="0" w:color="auto"/>
              <w:right w:val="single" w:sz="4" w:space="0" w:color="auto"/>
            </w:tcBorders>
            <w:shd w:val="clear" w:color="auto" w:fill="auto"/>
            <w:noWrap/>
            <w:vAlign w:val="bottom"/>
            <w:hideMark/>
          </w:tcPr>
          <w:p w14:paraId="65D25F04" w14:textId="77777777" w:rsidR="00B24B98" w:rsidRPr="00B24B98" w:rsidRDefault="00B24B98" w:rsidP="00B24B98">
            <w:pPr>
              <w:spacing w:after="0" w:line="240" w:lineRule="auto"/>
              <w:jc w:val="right"/>
              <w:rPr>
                <w:rFonts w:ascii="Calibri" w:eastAsia="Times New Roman" w:hAnsi="Calibri" w:cs="Calibri"/>
                <w:color w:val="000000"/>
                <w:lang w:eastAsia="en-GB"/>
              </w:rPr>
            </w:pPr>
            <w:r w:rsidRPr="00B24B98">
              <w:rPr>
                <w:rFonts w:ascii="Calibri" w:eastAsia="Times New Roman" w:hAnsi="Calibri" w:cs="Calibri"/>
                <w:color w:val="000000"/>
                <w:lang w:eastAsia="en-GB"/>
              </w:rPr>
              <w:t>2.18%</w:t>
            </w:r>
          </w:p>
        </w:tc>
      </w:tr>
      <w:tr w:rsidR="00B24B98" w:rsidRPr="00B24B98" w14:paraId="6580902C" w14:textId="77777777" w:rsidTr="00B24B98">
        <w:trPr>
          <w:trHeight w:val="290"/>
        </w:trPr>
        <w:tc>
          <w:tcPr>
            <w:tcW w:w="673" w:type="dxa"/>
            <w:tcBorders>
              <w:top w:val="nil"/>
              <w:left w:val="single" w:sz="4" w:space="0" w:color="auto"/>
              <w:bottom w:val="single" w:sz="4" w:space="0" w:color="auto"/>
              <w:right w:val="single" w:sz="4" w:space="0" w:color="auto"/>
            </w:tcBorders>
            <w:shd w:val="clear" w:color="auto" w:fill="auto"/>
            <w:noWrap/>
            <w:vAlign w:val="bottom"/>
            <w:hideMark/>
          </w:tcPr>
          <w:p w14:paraId="16C8CE75" w14:textId="77777777" w:rsidR="00B24B98" w:rsidRPr="00B24B98" w:rsidRDefault="00B24B98" w:rsidP="00B24B98">
            <w:pPr>
              <w:spacing w:after="0" w:line="240" w:lineRule="auto"/>
              <w:jc w:val="right"/>
              <w:rPr>
                <w:rFonts w:ascii="Calibri" w:eastAsia="Times New Roman" w:hAnsi="Calibri" w:cs="Calibri"/>
                <w:color w:val="000000"/>
                <w:lang w:eastAsia="en-GB"/>
              </w:rPr>
            </w:pPr>
            <w:r w:rsidRPr="00B24B98">
              <w:rPr>
                <w:rFonts w:ascii="Calibri" w:eastAsia="Times New Roman" w:hAnsi="Calibri" w:cs="Calibri"/>
                <w:color w:val="000000"/>
                <w:lang w:eastAsia="en-GB"/>
              </w:rPr>
              <w:t>13</w:t>
            </w:r>
          </w:p>
        </w:tc>
        <w:tc>
          <w:tcPr>
            <w:tcW w:w="1180" w:type="dxa"/>
            <w:tcBorders>
              <w:top w:val="nil"/>
              <w:left w:val="nil"/>
              <w:bottom w:val="single" w:sz="4" w:space="0" w:color="auto"/>
              <w:right w:val="single" w:sz="4" w:space="0" w:color="auto"/>
            </w:tcBorders>
            <w:shd w:val="clear" w:color="auto" w:fill="auto"/>
            <w:noWrap/>
            <w:vAlign w:val="center"/>
            <w:hideMark/>
          </w:tcPr>
          <w:p w14:paraId="30A515F4" w14:textId="77777777" w:rsidR="00B24B98" w:rsidRPr="00B24B98" w:rsidRDefault="00B24B98" w:rsidP="00B24B98">
            <w:pPr>
              <w:spacing w:after="0" w:line="240" w:lineRule="auto"/>
              <w:rPr>
                <w:rFonts w:ascii="Calibri" w:eastAsia="Times New Roman" w:hAnsi="Calibri" w:cs="Calibri"/>
                <w:color w:val="000000"/>
                <w:lang w:eastAsia="en-GB"/>
              </w:rPr>
            </w:pPr>
            <w:r w:rsidRPr="00B24B98">
              <w:rPr>
                <w:rFonts w:ascii="Calibri" w:eastAsia="Times New Roman" w:hAnsi="Calibri" w:cs="Calibri"/>
                <w:color w:val="000000"/>
                <w:lang w:eastAsia="en-GB"/>
              </w:rPr>
              <w:t>A12</w:t>
            </w:r>
          </w:p>
        </w:tc>
        <w:tc>
          <w:tcPr>
            <w:tcW w:w="4521" w:type="dxa"/>
            <w:tcBorders>
              <w:top w:val="nil"/>
              <w:left w:val="nil"/>
              <w:bottom w:val="single" w:sz="4" w:space="0" w:color="auto"/>
              <w:right w:val="single" w:sz="4" w:space="0" w:color="auto"/>
            </w:tcBorders>
            <w:shd w:val="clear" w:color="auto" w:fill="auto"/>
            <w:noWrap/>
            <w:vAlign w:val="center"/>
            <w:hideMark/>
          </w:tcPr>
          <w:p w14:paraId="4847F500" w14:textId="77777777" w:rsidR="00B24B98" w:rsidRPr="00B24B98" w:rsidRDefault="00B24B98" w:rsidP="00B24B98">
            <w:pPr>
              <w:spacing w:after="0" w:line="240" w:lineRule="auto"/>
              <w:rPr>
                <w:rFonts w:ascii="Calibri" w:eastAsia="Times New Roman" w:hAnsi="Calibri" w:cs="Calibri"/>
                <w:color w:val="000000"/>
                <w:lang w:eastAsia="en-GB"/>
              </w:rPr>
            </w:pPr>
            <w:r w:rsidRPr="00B24B98">
              <w:rPr>
                <w:rFonts w:ascii="Calibri" w:eastAsia="Times New Roman" w:hAnsi="Calibri" w:cs="Calibri"/>
                <w:color w:val="000000"/>
                <w:lang w:eastAsia="en-GB"/>
              </w:rPr>
              <w:t>MINERAL SUPPLEMENTS</w:t>
            </w:r>
          </w:p>
        </w:tc>
        <w:tc>
          <w:tcPr>
            <w:tcW w:w="600" w:type="dxa"/>
            <w:tcBorders>
              <w:top w:val="nil"/>
              <w:left w:val="nil"/>
              <w:bottom w:val="single" w:sz="4" w:space="0" w:color="auto"/>
              <w:right w:val="single" w:sz="4" w:space="0" w:color="auto"/>
            </w:tcBorders>
            <w:shd w:val="clear" w:color="auto" w:fill="auto"/>
            <w:noWrap/>
            <w:vAlign w:val="center"/>
            <w:hideMark/>
          </w:tcPr>
          <w:p w14:paraId="0B8EE628" w14:textId="77777777" w:rsidR="00B24B98" w:rsidRPr="00B24B98" w:rsidRDefault="00B24B98" w:rsidP="00B24B98">
            <w:pPr>
              <w:spacing w:after="0" w:line="240" w:lineRule="auto"/>
              <w:jc w:val="right"/>
              <w:rPr>
                <w:rFonts w:ascii="Calibri" w:eastAsia="Times New Roman" w:hAnsi="Calibri" w:cs="Calibri"/>
                <w:color w:val="000000"/>
                <w:lang w:eastAsia="en-GB"/>
              </w:rPr>
            </w:pPr>
            <w:r w:rsidRPr="00B24B98">
              <w:rPr>
                <w:rFonts w:ascii="Calibri" w:eastAsia="Times New Roman" w:hAnsi="Calibri" w:cs="Calibri"/>
                <w:color w:val="000000"/>
                <w:lang w:eastAsia="en-GB"/>
              </w:rPr>
              <w:t>50</w:t>
            </w:r>
          </w:p>
        </w:tc>
        <w:tc>
          <w:tcPr>
            <w:tcW w:w="960" w:type="dxa"/>
            <w:tcBorders>
              <w:top w:val="nil"/>
              <w:left w:val="nil"/>
              <w:bottom w:val="single" w:sz="4" w:space="0" w:color="auto"/>
              <w:right w:val="single" w:sz="4" w:space="0" w:color="auto"/>
            </w:tcBorders>
            <w:shd w:val="clear" w:color="auto" w:fill="auto"/>
            <w:noWrap/>
            <w:vAlign w:val="bottom"/>
            <w:hideMark/>
          </w:tcPr>
          <w:p w14:paraId="04204841" w14:textId="77777777" w:rsidR="00B24B98" w:rsidRPr="00B24B98" w:rsidRDefault="00B24B98" w:rsidP="00B24B98">
            <w:pPr>
              <w:spacing w:after="0" w:line="240" w:lineRule="auto"/>
              <w:jc w:val="right"/>
              <w:rPr>
                <w:rFonts w:ascii="Calibri" w:eastAsia="Times New Roman" w:hAnsi="Calibri" w:cs="Calibri"/>
                <w:color w:val="000000"/>
                <w:lang w:eastAsia="en-GB"/>
              </w:rPr>
            </w:pPr>
            <w:r w:rsidRPr="00B24B98">
              <w:rPr>
                <w:rFonts w:ascii="Calibri" w:eastAsia="Times New Roman" w:hAnsi="Calibri" w:cs="Calibri"/>
                <w:color w:val="000000"/>
                <w:lang w:eastAsia="en-GB"/>
              </w:rPr>
              <w:t>2.10%</w:t>
            </w:r>
          </w:p>
        </w:tc>
      </w:tr>
      <w:tr w:rsidR="00B24B98" w:rsidRPr="00B24B98" w14:paraId="3812701D" w14:textId="77777777" w:rsidTr="00B24B98">
        <w:trPr>
          <w:trHeight w:val="290"/>
        </w:trPr>
        <w:tc>
          <w:tcPr>
            <w:tcW w:w="673" w:type="dxa"/>
            <w:tcBorders>
              <w:top w:val="nil"/>
              <w:left w:val="single" w:sz="4" w:space="0" w:color="auto"/>
              <w:bottom w:val="single" w:sz="4" w:space="0" w:color="auto"/>
              <w:right w:val="single" w:sz="4" w:space="0" w:color="auto"/>
            </w:tcBorders>
            <w:shd w:val="clear" w:color="auto" w:fill="auto"/>
            <w:noWrap/>
            <w:vAlign w:val="bottom"/>
            <w:hideMark/>
          </w:tcPr>
          <w:p w14:paraId="1027C86C" w14:textId="77777777" w:rsidR="00B24B98" w:rsidRPr="00B24B98" w:rsidRDefault="00B24B98" w:rsidP="00B24B98">
            <w:pPr>
              <w:spacing w:after="0" w:line="240" w:lineRule="auto"/>
              <w:jc w:val="right"/>
              <w:rPr>
                <w:rFonts w:ascii="Calibri" w:eastAsia="Times New Roman" w:hAnsi="Calibri" w:cs="Calibri"/>
                <w:color w:val="000000"/>
                <w:lang w:eastAsia="en-GB"/>
              </w:rPr>
            </w:pPr>
            <w:r w:rsidRPr="00B24B98">
              <w:rPr>
                <w:rFonts w:ascii="Calibri" w:eastAsia="Times New Roman" w:hAnsi="Calibri" w:cs="Calibri"/>
                <w:color w:val="000000"/>
                <w:lang w:eastAsia="en-GB"/>
              </w:rPr>
              <w:t>14</w:t>
            </w:r>
          </w:p>
        </w:tc>
        <w:tc>
          <w:tcPr>
            <w:tcW w:w="1180" w:type="dxa"/>
            <w:tcBorders>
              <w:top w:val="nil"/>
              <w:left w:val="nil"/>
              <w:bottom w:val="single" w:sz="4" w:space="0" w:color="auto"/>
              <w:right w:val="single" w:sz="4" w:space="0" w:color="auto"/>
            </w:tcBorders>
            <w:shd w:val="clear" w:color="auto" w:fill="auto"/>
            <w:noWrap/>
            <w:vAlign w:val="center"/>
            <w:hideMark/>
          </w:tcPr>
          <w:p w14:paraId="614081F1" w14:textId="77777777" w:rsidR="00B24B98" w:rsidRPr="00B24B98" w:rsidRDefault="00B24B98" w:rsidP="00B24B98">
            <w:pPr>
              <w:spacing w:after="0" w:line="240" w:lineRule="auto"/>
              <w:rPr>
                <w:rFonts w:ascii="Calibri" w:eastAsia="Times New Roman" w:hAnsi="Calibri" w:cs="Calibri"/>
                <w:color w:val="000000"/>
                <w:lang w:eastAsia="en-GB"/>
              </w:rPr>
            </w:pPr>
            <w:r w:rsidRPr="00B24B98">
              <w:rPr>
                <w:rFonts w:ascii="Calibri" w:eastAsia="Times New Roman" w:hAnsi="Calibri" w:cs="Calibri"/>
                <w:color w:val="000000"/>
                <w:lang w:eastAsia="en-GB"/>
              </w:rPr>
              <w:t>C08</w:t>
            </w:r>
          </w:p>
        </w:tc>
        <w:tc>
          <w:tcPr>
            <w:tcW w:w="4521" w:type="dxa"/>
            <w:tcBorders>
              <w:top w:val="nil"/>
              <w:left w:val="nil"/>
              <w:bottom w:val="single" w:sz="4" w:space="0" w:color="auto"/>
              <w:right w:val="single" w:sz="4" w:space="0" w:color="auto"/>
            </w:tcBorders>
            <w:shd w:val="clear" w:color="auto" w:fill="auto"/>
            <w:noWrap/>
            <w:vAlign w:val="center"/>
            <w:hideMark/>
          </w:tcPr>
          <w:p w14:paraId="02C5E8ED" w14:textId="77777777" w:rsidR="00B24B98" w:rsidRPr="00B24B98" w:rsidRDefault="00B24B98" w:rsidP="00B24B98">
            <w:pPr>
              <w:spacing w:after="0" w:line="240" w:lineRule="auto"/>
              <w:rPr>
                <w:rFonts w:ascii="Calibri" w:eastAsia="Times New Roman" w:hAnsi="Calibri" w:cs="Calibri"/>
                <w:color w:val="000000"/>
                <w:lang w:eastAsia="en-GB"/>
              </w:rPr>
            </w:pPr>
            <w:r w:rsidRPr="00B24B98">
              <w:rPr>
                <w:rFonts w:ascii="Calibri" w:eastAsia="Times New Roman" w:hAnsi="Calibri" w:cs="Calibri"/>
                <w:color w:val="000000"/>
                <w:lang w:eastAsia="en-GB"/>
              </w:rPr>
              <w:t>CALCIUM CHANNEL BLOCKERS</w:t>
            </w:r>
          </w:p>
        </w:tc>
        <w:tc>
          <w:tcPr>
            <w:tcW w:w="600" w:type="dxa"/>
            <w:tcBorders>
              <w:top w:val="nil"/>
              <w:left w:val="nil"/>
              <w:bottom w:val="single" w:sz="4" w:space="0" w:color="auto"/>
              <w:right w:val="single" w:sz="4" w:space="0" w:color="auto"/>
            </w:tcBorders>
            <w:shd w:val="clear" w:color="auto" w:fill="auto"/>
            <w:noWrap/>
            <w:vAlign w:val="center"/>
            <w:hideMark/>
          </w:tcPr>
          <w:p w14:paraId="7D856E90" w14:textId="77777777" w:rsidR="00B24B98" w:rsidRPr="00B24B98" w:rsidRDefault="00B24B98" w:rsidP="00B24B98">
            <w:pPr>
              <w:spacing w:after="0" w:line="240" w:lineRule="auto"/>
              <w:jc w:val="right"/>
              <w:rPr>
                <w:rFonts w:ascii="Calibri" w:eastAsia="Times New Roman" w:hAnsi="Calibri" w:cs="Calibri"/>
                <w:color w:val="000000"/>
                <w:lang w:eastAsia="en-GB"/>
              </w:rPr>
            </w:pPr>
            <w:r w:rsidRPr="00B24B98">
              <w:rPr>
                <w:rFonts w:ascii="Calibri" w:eastAsia="Times New Roman" w:hAnsi="Calibri" w:cs="Calibri"/>
                <w:color w:val="000000"/>
                <w:lang w:eastAsia="en-GB"/>
              </w:rPr>
              <w:t>41</w:t>
            </w:r>
          </w:p>
        </w:tc>
        <w:tc>
          <w:tcPr>
            <w:tcW w:w="960" w:type="dxa"/>
            <w:tcBorders>
              <w:top w:val="nil"/>
              <w:left w:val="nil"/>
              <w:bottom w:val="single" w:sz="4" w:space="0" w:color="auto"/>
              <w:right w:val="single" w:sz="4" w:space="0" w:color="auto"/>
            </w:tcBorders>
            <w:shd w:val="clear" w:color="auto" w:fill="auto"/>
            <w:noWrap/>
            <w:vAlign w:val="bottom"/>
            <w:hideMark/>
          </w:tcPr>
          <w:p w14:paraId="02EF7970" w14:textId="77777777" w:rsidR="00B24B98" w:rsidRPr="00B24B98" w:rsidRDefault="00B24B98" w:rsidP="00B24B98">
            <w:pPr>
              <w:spacing w:after="0" w:line="240" w:lineRule="auto"/>
              <w:jc w:val="right"/>
              <w:rPr>
                <w:rFonts w:ascii="Calibri" w:eastAsia="Times New Roman" w:hAnsi="Calibri" w:cs="Calibri"/>
                <w:color w:val="000000"/>
                <w:lang w:eastAsia="en-GB"/>
              </w:rPr>
            </w:pPr>
            <w:r w:rsidRPr="00B24B98">
              <w:rPr>
                <w:rFonts w:ascii="Calibri" w:eastAsia="Times New Roman" w:hAnsi="Calibri" w:cs="Calibri"/>
                <w:color w:val="000000"/>
                <w:lang w:eastAsia="en-GB"/>
              </w:rPr>
              <w:t>1.72%</w:t>
            </w:r>
          </w:p>
        </w:tc>
      </w:tr>
      <w:tr w:rsidR="00B24B98" w:rsidRPr="00B24B98" w14:paraId="1C23F978" w14:textId="77777777" w:rsidTr="00B24B98">
        <w:trPr>
          <w:trHeight w:val="290"/>
        </w:trPr>
        <w:tc>
          <w:tcPr>
            <w:tcW w:w="673" w:type="dxa"/>
            <w:tcBorders>
              <w:top w:val="nil"/>
              <w:left w:val="single" w:sz="4" w:space="0" w:color="auto"/>
              <w:bottom w:val="single" w:sz="4" w:space="0" w:color="auto"/>
              <w:right w:val="single" w:sz="4" w:space="0" w:color="auto"/>
            </w:tcBorders>
            <w:shd w:val="clear" w:color="auto" w:fill="auto"/>
            <w:noWrap/>
            <w:vAlign w:val="bottom"/>
            <w:hideMark/>
          </w:tcPr>
          <w:p w14:paraId="3663EBBE" w14:textId="77777777" w:rsidR="00B24B98" w:rsidRPr="00B24B98" w:rsidRDefault="00B24B98" w:rsidP="00B24B98">
            <w:pPr>
              <w:spacing w:after="0" w:line="240" w:lineRule="auto"/>
              <w:jc w:val="right"/>
              <w:rPr>
                <w:rFonts w:ascii="Calibri" w:eastAsia="Times New Roman" w:hAnsi="Calibri" w:cs="Calibri"/>
                <w:color w:val="000000"/>
                <w:lang w:eastAsia="en-GB"/>
              </w:rPr>
            </w:pPr>
            <w:r w:rsidRPr="00B24B98">
              <w:rPr>
                <w:rFonts w:ascii="Calibri" w:eastAsia="Times New Roman" w:hAnsi="Calibri" w:cs="Calibri"/>
                <w:color w:val="000000"/>
                <w:lang w:eastAsia="en-GB"/>
              </w:rPr>
              <w:t>15</w:t>
            </w:r>
          </w:p>
        </w:tc>
        <w:tc>
          <w:tcPr>
            <w:tcW w:w="1180" w:type="dxa"/>
            <w:tcBorders>
              <w:top w:val="nil"/>
              <w:left w:val="nil"/>
              <w:bottom w:val="single" w:sz="4" w:space="0" w:color="auto"/>
              <w:right w:val="single" w:sz="4" w:space="0" w:color="auto"/>
            </w:tcBorders>
            <w:shd w:val="clear" w:color="auto" w:fill="auto"/>
            <w:noWrap/>
            <w:vAlign w:val="center"/>
            <w:hideMark/>
          </w:tcPr>
          <w:p w14:paraId="3257B563" w14:textId="77777777" w:rsidR="00B24B98" w:rsidRPr="00B24B98" w:rsidRDefault="00B24B98" w:rsidP="00B24B98">
            <w:pPr>
              <w:spacing w:after="0" w:line="240" w:lineRule="auto"/>
              <w:rPr>
                <w:rFonts w:ascii="Calibri" w:eastAsia="Times New Roman" w:hAnsi="Calibri" w:cs="Calibri"/>
                <w:color w:val="000000"/>
                <w:lang w:eastAsia="en-GB"/>
              </w:rPr>
            </w:pPr>
            <w:r w:rsidRPr="00B24B98">
              <w:rPr>
                <w:rFonts w:ascii="Calibri" w:eastAsia="Times New Roman" w:hAnsi="Calibri" w:cs="Calibri"/>
                <w:color w:val="000000"/>
                <w:lang w:eastAsia="en-GB"/>
              </w:rPr>
              <w:t>M01</w:t>
            </w:r>
          </w:p>
        </w:tc>
        <w:tc>
          <w:tcPr>
            <w:tcW w:w="4521" w:type="dxa"/>
            <w:tcBorders>
              <w:top w:val="nil"/>
              <w:left w:val="nil"/>
              <w:bottom w:val="single" w:sz="4" w:space="0" w:color="auto"/>
              <w:right w:val="single" w:sz="4" w:space="0" w:color="auto"/>
            </w:tcBorders>
            <w:shd w:val="clear" w:color="auto" w:fill="auto"/>
            <w:noWrap/>
            <w:vAlign w:val="center"/>
            <w:hideMark/>
          </w:tcPr>
          <w:p w14:paraId="69D656E0" w14:textId="77777777" w:rsidR="00B24B98" w:rsidRPr="00B24B98" w:rsidRDefault="00B24B98" w:rsidP="00B24B98">
            <w:pPr>
              <w:spacing w:after="0" w:line="240" w:lineRule="auto"/>
              <w:rPr>
                <w:rFonts w:ascii="Calibri" w:eastAsia="Times New Roman" w:hAnsi="Calibri" w:cs="Calibri"/>
                <w:color w:val="000000"/>
                <w:lang w:eastAsia="en-GB"/>
              </w:rPr>
            </w:pPr>
            <w:r w:rsidRPr="00B24B98">
              <w:rPr>
                <w:rFonts w:ascii="Calibri" w:eastAsia="Times New Roman" w:hAnsi="Calibri" w:cs="Calibri"/>
                <w:color w:val="000000"/>
                <w:lang w:eastAsia="en-GB"/>
              </w:rPr>
              <w:t>ANTIINFLAMMATORY AND ANTIRHEUMATIC PRODUCTS</w:t>
            </w:r>
          </w:p>
        </w:tc>
        <w:tc>
          <w:tcPr>
            <w:tcW w:w="600" w:type="dxa"/>
            <w:tcBorders>
              <w:top w:val="nil"/>
              <w:left w:val="nil"/>
              <w:bottom w:val="single" w:sz="4" w:space="0" w:color="auto"/>
              <w:right w:val="single" w:sz="4" w:space="0" w:color="auto"/>
            </w:tcBorders>
            <w:shd w:val="clear" w:color="auto" w:fill="auto"/>
            <w:noWrap/>
            <w:vAlign w:val="center"/>
            <w:hideMark/>
          </w:tcPr>
          <w:p w14:paraId="5ECFCD41" w14:textId="77777777" w:rsidR="00B24B98" w:rsidRPr="00B24B98" w:rsidRDefault="00B24B98" w:rsidP="00B24B98">
            <w:pPr>
              <w:spacing w:after="0" w:line="240" w:lineRule="auto"/>
              <w:jc w:val="right"/>
              <w:rPr>
                <w:rFonts w:ascii="Calibri" w:eastAsia="Times New Roman" w:hAnsi="Calibri" w:cs="Calibri"/>
                <w:color w:val="000000"/>
                <w:lang w:eastAsia="en-GB"/>
              </w:rPr>
            </w:pPr>
            <w:r w:rsidRPr="00B24B98">
              <w:rPr>
                <w:rFonts w:ascii="Calibri" w:eastAsia="Times New Roman" w:hAnsi="Calibri" w:cs="Calibri"/>
                <w:color w:val="000000"/>
                <w:lang w:eastAsia="en-GB"/>
              </w:rPr>
              <w:t>40</w:t>
            </w:r>
          </w:p>
        </w:tc>
        <w:tc>
          <w:tcPr>
            <w:tcW w:w="960" w:type="dxa"/>
            <w:tcBorders>
              <w:top w:val="nil"/>
              <w:left w:val="nil"/>
              <w:bottom w:val="single" w:sz="4" w:space="0" w:color="auto"/>
              <w:right w:val="single" w:sz="4" w:space="0" w:color="auto"/>
            </w:tcBorders>
            <w:shd w:val="clear" w:color="auto" w:fill="auto"/>
            <w:noWrap/>
            <w:vAlign w:val="bottom"/>
            <w:hideMark/>
          </w:tcPr>
          <w:p w14:paraId="65021672" w14:textId="77777777" w:rsidR="00B24B98" w:rsidRPr="00B24B98" w:rsidRDefault="00B24B98" w:rsidP="00B24B98">
            <w:pPr>
              <w:spacing w:after="0" w:line="240" w:lineRule="auto"/>
              <w:jc w:val="right"/>
              <w:rPr>
                <w:rFonts w:ascii="Calibri" w:eastAsia="Times New Roman" w:hAnsi="Calibri" w:cs="Calibri"/>
                <w:color w:val="000000"/>
                <w:lang w:eastAsia="en-GB"/>
              </w:rPr>
            </w:pPr>
            <w:r w:rsidRPr="00B24B98">
              <w:rPr>
                <w:rFonts w:ascii="Calibri" w:eastAsia="Times New Roman" w:hAnsi="Calibri" w:cs="Calibri"/>
                <w:color w:val="000000"/>
                <w:lang w:eastAsia="en-GB"/>
              </w:rPr>
              <w:t>1.68%</w:t>
            </w:r>
          </w:p>
        </w:tc>
      </w:tr>
      <w:tr w:rsidR="00B24B98" w:rsidRPr="00B24B98" w14:paraId="775BC6A8" w14:textId="77777777" w:rsidTr="00B24B98">
        <w:trPr>
          <w:trHeight w:val="290"/>
        </w:trPr>
        <w:tc>
          <w:tcPr>
            <w:tcW w:w="673" w:type="dxa"/>
            <w:tcBorders>
              <w:top w:val="nil"/>
              <w:left w:val="single" w:sz="4" w:space="0" w:color="auto"/>
              <w:bottom w:val="single" w:sz="4" w:space="0" w:color="auto"/>
              <w:right w:val="single" w:sz="4" w:space="0" w:color="auto"/>
            </w:tcBorders>
            <w:shd w:val="clear" w:color="auto" w:fill="auto"/>
            <w:noWrap/>
            <w:vAlign w:val="bottom"/>
            <w:hideMark/>
          </w:tcPr>
          <w:p w14:paraId="2B263335" w14:textId="77777777" w:rsidR="00B24B98" w:rsidRPr="00B24B98" w:rsidRDefault="00B24B98" w:rsidP="00B24B98">
            <w:pPr>
              <w:spacing w:after="0" w:line="240" w:lineRule="auto"/>
              <w:jc w:val="right"/>
              <w:rPr>
                <w:rFonts w:ascii="Calibri" w:eastAsia="Times New Roman" w:hAnsi="Calibri" w:cs="Calibri"/>
                <w:color w:val="000000"/>
                <w:lang w:eastAsia="en-GB"/>
              </w:rPr>
            </w:pPr>
            <w:r w:rsidRPr="00B24B98">
              <w:rPr>
                <w:rFonts w:ascii="Calibri" w:eastAsia="Times New Roman" w:hAnsi="Calibri" w:cs="Calibri"/>
                <w:color w:val="000000"/>
                <w:lang w:eastAsia="en-GB"/>
              </w:rPr>
              <w:t>16</w:t>
            </w:r>
          </w:p>
        </w:tc>
        <w:tc>
          <w:tcPr>
            <w:tcW w:w="1180" w:type="dxa"/>
            <w:tcBorders>
              <w:top w:val="nil"/>
              <w:left w:val="nil"/>
              <w:bottom w:val="single" w:sz="4" w:space="0" w:color="auto"/>
              <w:right w:val="single" w:sz="4" w:space="0" w:color="auto"/>
            </w:tcBorders>
            <w:shd w:val="clear" w:color="auto" w:fill="auto"/>
            <w:noWrap/>
            <w:vAlign w:val="center"/>
            <w:hideMark/>
          </w:tcPr>
          <w:p w14:paraId="73873E16" w14:textId="77777777" w:rsidR="00B24B98" w:rsidRPr="00B24B98" w:rsidRDefault="00B24B98" w:rsidP="00B24B98">
            <w:pPr>
              <w:spacing w:after="0" w:line="240" w:lineRule="auto"/>
              <w:rPr>
                <w:rFonts w:ascii="Calibri" w:eastAsia="Times New Roman" w:hAnsi="Calibri" w:cs="Calibri"/>
                <w:color w:val="000000"/>
                <w:lang w:eastAsia="en-GB"/>
              </w:rPr>
            </w:pPr>
            <w:r w:rsidRPr="00B24B98">
              <w:rPr>
                <w:rFonts w:ascii="Calibri" w:eastAsia="Times New Roman" w:hAnsi="Calibri" w:cs="Calibri"/>
                <w:color w:val="000000"/>
                <w:lang w:eastAsia="en-GB"/>
              </w:rPr>
              <w:t>N03</w:t>
            </w:r>
          </w:p>
        </w:tc>
        <w:tc>
          <w:tcPr>
            <w:tcW w:w="4521" w:type="dxa"/>
            <w:tcBorders>
              <w:top w:val="nil"/>
              <w:left w:val="nil"/>
              <w:bottom w:val="single" w:sz="4" w:space="0" w:color="auto"/>
              <w:right w:val="single" w:sz="4" w:space="0" w:color="auto"/>
            </w:tcBorders>
            <w:shd w:val="clear" w:color="auto" w:fill="auto"/>
            <w:noWrap/>
            <w:vAlign w:val="center"/>
            <w:hideMark/>
          </w:tcPr>
          <w:p w14:paraId="2665B6EC" w14:textId="77777777" w:rsidR="00B24B98" w:rsidRPr="00B24B98" w:rsidRDefault="00B24B98" w:rsidP="00B24B98">
            <w:pPr>
              <w:spacing w:after="0" w:line="240" w:lineRule="auto"/>
              <w:rPr>
                <w:rFonts w:ascii="Calibri" w:eastAsia="Times New Roman" w:hAnsi="Calibri" w:cs="Calibri"/>
                <w:color w:val="000000"/>
                <w:lang w:eastAsia="en-GB"/>
              </w:rPr>
            </w:pPr>
            <w:r w:rsidRPr="00B24B98">
              <w:rPr>
                <w:rFonts w:ascii="Calibri" w:eastAsia="Times New Roman" w:hAnsi="Calibri" w:cs="Calibri"/>
                <w:color w:val="000000"/>
                <w:lang w:eastAsia="en-GB"/>
              </w:rPr>
              <w:t>ANTIEPILEPTICS</w:t>
            </w:r>
          </w:p>
        </w:tc>
        <w:tc>
          <w:tcPr>
            <w:tcW w:w="600" w:type="dxa"/>
            <w:tcBorders>
              <w:top w:val="nil"/>
              <w:left w:val="nil"/>
              <w:bottom w:val="single" w:sz="4" w:space="0" w:color="auto"/>
              <w:right w:val="single" w:sz="4" w:space="0" w:color="auto"/>
            </w:tcBorders>
            <w:shd w:val="clear" w:color="auto" w:fill="auto"/>
            <w:noWrap/>
            <w:vAlign w:val="center"/>
            <w:hideMark/>
          </w:tcPr>
          <w:p w14:paraId="272748FD" w14:textId="77777777" w:rsidR="00B24B98" w:rsidRPr="00B24B98" w:rsidRDefault="00B24B98" w:rsidP="00B24B98">
            <w:pPr>
              <w:spacing w:after="0" w:line="240" w:lineRule="auto"/>
              <w:jc w:val="right"/>
              <w:rPr>
                <w:rFonts w:ascii="Calibri" w:eastAsia="Times New Roman" w:hAnsi="Calibri" w:cs="Calibri"/>
                <w:color w:val="000000"/>
                <w:lang w:eastAsia="en-GB"/>
              </w:rPr>
            </w:pPr>
            <w:r w:rsidRPr="00B24B98">
              <w:rPr>
                <w:rFonts w:ascii="Calibri" w:eastAsia="Times New Roman" w:hAnsi="Calibri" w:cs="Calibri"/>
                <w:color w:val="000000"/>
                <w:lang w:eastAsia="en-GB"/>
              </w:rPr>
              <w:t>30</w:t>
            </w:r>
          </w:p>
        </w:tc>
        <w:tc>
          <w:tcPr>
            <w:tcW w:w="960" w:type="dxa"/>
            <w:tcBorders>
              <w:top w:val="nil"/>
              <w:left w:val="nil"/>
              <w:bottom w:val="single" w:sz="4" w:space="0" w:color="auto"/>
              <w:right w:val="single" w:sz="4" w:space="0" w:color="auto"/>
            </w:tcBorders>
            <w:shd w:val="clear" w:color="auto" w:fill="auto"/>
            <w:noWrap/>
            <w:vAlign w:val="bottom"/>
            <w:hideMark/>
          </w:tcPr>
          <w:p w14:paraId="2927CFCD" w14:textId="77777777" w:rsidR="00B24B98" w:rsidRPr="00B24B98" w:rsidRDefault="00B24B98" w:rsidP="00B24B98">
            <w:pPr>
              <w:spacing w:after="0" w:line="240" w:lineRule="auto"/>
              <w:jc w:val="right"/>
              <w:rPr>
                <w:rFonts w:ascii="Calibri" w:eastAsia="Times New Roman" w:hAnsi="Calibri" w:cs="Calibri"/>
                <w:color w:val="000000"/>
                <w:lang w:eastAsia="en-GB"/>
              </w:rPr>
            </w:pPr>
            <w:r w:rsidRPr="00B24B98">
              <w:rPr>
                <w:rFonts w:ascii="Calibri" w:eastAsia="Times New Roman" w:hAnsi="Calibri" w:cs="Calibri"/>
                <w:color w:val="000000"/>
                <w:lang w:eastAsia="en-GB"/>
              </w:rPr>
              <w:t>1.26%</w:t>
            </w:r>
          </w:p>
        </w:tc>
      </w:tr>
      <w:tr w:rsidR="00B24B98" w:rsidRPr="00B24B98" w14:paraId="4E22AFB5" w14:textId="77777777" w:rsidTr="00B24B98">
        <w:trPr>
          <w:trHeight w:val="290"/>
        </w:trPr>
        <w:tc>
          <w:tcPr>
            <w:tcW w:w="673" w:type="dxa"/>
            <w:tcBorders>
              <w:top w:val="nil"/>
              <w:left w:val="single" w:sz="4" w:space="0" w:color="auto"/>
              <w:bottom w:val="single" w:sz="4" w:space="0" w:color="auto"/>
              <w:right w:val="single" w:sz="4" w:space="0" w:color="auto"/>
            </w:tcBorders>
            <w:shd w:val="clear" w:color="auto" w:fill="auto"/>
            <w:noWrap/>
            <w:vAlign w:val="bottom"/>
            <w:hideMark/>
          </w:tcPr>
          <w:p w14:paraId="16E11D69" w14:textId="77777777" w:rsidR="00B24B98" w:rsidRPr="00B24B98" w:rsidRDefault="00B24B98" w:rsidP="00B24B98">
            <w:pPr>
              <w:spacing w:after="0" w:line="240" w:lineRule="auto"/>
              <w:jc w:val="right"/>
              <w:rPr>
                <w:rFonts w:ascii="Calibri" w:eastAsia="Times New Roman" w:hAnsi="Calibri" w:cs="Calibri"/>
                <w:color w:val="000000"/>
                <w:lang w:eastAsia="en-GB"/>
              </w:rPr>
            </w:pPr>
            <w:r w:rsidRPr="00B24B98">
              <w:rPr>
                <w:rFonts w:ascii="Calibri" w:eastAsia="Times New Roman" w:hAnsi="Calibri" w:cs="Calibri"/>
                <w:color w:val="000000"/>
                <w:lang w:eastAsia="en-GB"/>
              </w:rPr>
              <w:t>17</w:t>
            </w:r>
          </w:p>
        </w:tc>
        <w:tc>
          <w:tcPr>
            <w:tcW w:w="1180" w:type="dxa"/>
            <w:tcBorders>
              <w:top w:val="nil"/>
              <w:left w:val="nil"/>
              <w:bottom w:val="single" w:sz="4" w:space="0" w:color="auto"/>
              <w:right w:val="single" w:sz="4" w:space="0" w:color="auto"/>
            </w:tcBorders>
            <w:shd w:val="clear" w:color="auto" w:fill="auto"/>
            <w:noWrap/>
            <w:vAlign w:val="center"/>
            <w:hideMark/>
          </w:tcPr>
          <w:p w14:paraId="5531FAB8" w14:textId="77777777" w:rsidR="00B24B98" w:rsidRPr="00B24B98" w:rsidRDefault="00B24B98" w:rsidP="00B24B98">
            <w:pPr>
              <w:spacing w:after="0" w:line="240" w:lineRule="auto"/>
              <w:rPr>
                <w:rFonts w:ascii="Calibri" w:eastAsia="Times New Roman" w:hAnsi="Calibri" w:cs="Calibri"/>
                <w:color w:val="000000"/>
                <w:lang w:eastAsia="en-GB"/>
              </w:rPr>
            </w:pPr>
            <w:r w:rsidRPr="00B24B98">
              <w:rPr>
                <w:rFonts w:ascii="Calibri" w:eastAsia="Times New Roman" w:hAnsi="Calibri" w:cs="Calibri"/>
                <w:color w:val="000000"/>
                <w:lang w:eastAsia="en-GB"/>
              </w:rPr>
              <w:t>A02</w:t>
            </w:r>
          </w:p>
        </w:tc>
        <w:tc>
          <w:tcPr>
            <w:tcW w:w="4521" w:type="dxa"/>
            <w:tcBorders>
              <w:top w:val="nil"/>
              <w:left w:val="nil"/>
              <w:bottom w:val="single" w:sz="4" w:space="0" w:color="auto"/>
              <w:right w:val="single" w:sz="4" w:space="0" w:color="auto"/>
            </w:tcBorders>
            <w:shd w:val="clear" w:color="auto" w:fill="auto"/>
            <w:noWrap/>
            <w:vAlign w:val="center"/>
            <w:hideMark/>
          </w:tcPr>
          <w:p w14:paraId="796C39CF" w14:textId="77777777" w:rsidR="00B24B98" w:rsidRPr="00B24B98" w:rsidRDefault="00B24B98" w:rsidP="00B24B98">
            <w:pPr>
              <w:spacing w:after="0" w:line="240" w:lineRule="auto"/>
              <w:rPr>
                <w:rFonts w:ascii="Calibri" w:eastAsia="Times New Roman" w:hAnsi="Calibri" w:cs="Calibri"/>
                <w:color w:val="000000"/>
                <w:lang w:eastAsia="en-GB"/>
              </w:rPr>
            </w:pPr>
            <w:r w:rsidRPr="00B24B98">
              <w:rPr>
                <w:rFonts w:ascii="Calibri" w:eastAsia="Times New Roman" w:hAnsi="Calibri" w:cs="Calibri"/>
                <w:color w:val="000000"/>
                <w:lang w:eastAsia="en-GB"/>
              </w:rPr>
              <w:t>DRUGS FOR ACID RELATED DISORDERS</w:t>
            </w:r>
          </w:p>
        </w:tc>
        <w:tc>
          <w:tcPr>
            <w:tcW w:w="600" w:type="dxa"/>
            <w:tcBorders>
              <w:top w:val="nil"/>
              <w:left w:val="nil"/>
              <w:bottom w:val="single" w:sz="4" w:space="0" w:color="auto"/>
              <w:right w:val="single" w:sz="4" w:space="0" w:color="auto"/>
            </w:tcBorders>
            <w:shd w:val="clear" w:color="auto" w:fill="auto"/>
            <w:noWrap/>
            <w:vAlign w:val="center"/>
            <w:hideMark/>
          </w:tcPr>
          <w:p w14:paraId="47F2B9A7" w14:textId="77777777" w:rsidR="00B24B98" w:rsidRPr="00B24B98" w:rsidRDefault="00B24B98" w:rsidP="00B24B98">
            <w:pPr>
              <w:spacing w:after="0" w:line="240" w:lineRule="auto"/>
              <w:jc w:val="right"/>
              <w:rPr>
                <w:rFonts w:ascii="Calibri" w:eastAsia="Times New Roman" w:hAnsi="Calibri" w:cs="Calibri"/>
                <w:color w:val="000000"/>
                <w:lang w:eastAsia="en-GB"/>
              </w:rPr>
            </w:pPr>
            <w:r w:rsidRPr="00B24B98">
              <w:rPr>
                <w:rFonts w:ascii="Calibri" w:eastAsia="Times New Roman" w:hAnsi="Calibri" w:cs="Calibri"/>
                <w:color w:val="000000"/>
                <w:lang w:eastAsia="en-GB"/>
              </w:rPr>
              <w:t>26</w:t>
            </w:r>
          </w:p>
        </w:tc>
        <w:tc>
          <w:tcPr>
            <w:tcW w:w="960" w:type="dxa"/>
            <w:tcBorders>
              <w:top w:val="nil"/>
              <w:left w:val="nil"/>
              <w:bottom w:val="single" w:sz="4" w:space="0" w:color="auto"/>
              <w:right w:val="single" w:sz="4" w:space="0" w:color="auto"/>
            </w:tcBorders>
            <w:shd w:val="clear" w:color="auto" w:fill="auto"/>
            <w:noWrap/>
            <w:vAlign w:val="bottom"/>
            <w:hideMark/>
          </w:tcPr>
          <w:p w14:paraId="45C91475" w14:textId="77777777" w:rsidR="00B24B98" w:rsidRPr="00B24B98" w:rsidRDefault="00B24B98" w:rsidP="00B24B98">
            <w:pPr>
              <w:spacing w:after="0" w:line="240" w:lineRule="auto"/>
              <w:jc w:val="right"/>
              <w:rPr>
                <w:rFonts w:ascii="Calibri" w:eastAsia="Times New Roman" w:hAnsi="Calibri" w:cs="Calibri"/>
                <w:color w:val="000000"/>
                <w:lang w:eastAsia="en-GB"/>
              </w:rPr>
            </w:pPr>
            <w:r w:rsidRPr="00B24B98">
              <w:rPr>
                <w:rFonts w:ascii="Calibri" w:eastAsia="Times New Roman" w:hAnsi="Calibri" w:cs="Calibri"/>
                <w:color w:val="000000"/>
                <w:lang w:eastAsia="en-GB"/>
              </w:rPr>
              <w:t>1.09%</w:t>
            </w:r>
          </w:p>
        </w:tc>
      </w:tr>
      <w:tr w:rsidR="00B24B98" w:rsidRPr="00B24B98" w14:paraId="077D040A" w14:textId="77777777" w:rsidTr="00B24B98">
        <w:trPr>
          <w:trHeight w:val="290"/>
        </w:trPr>
        <w:tc>
          <w:tcPr>
            <w:tcW w:w="673" w:type="dxa"/>
            <w:tcBorders>
              <w:top w:val="nil"/>
              <w:left w:val="single" w:sz="4" w:space="0" w:color="auto"/>
              <w:bottom w:val="single" w:sz="4" w:space="0" w:color="auto"/>
              <w:right w:val="single" w:sz="4" w:space="0" w:color="auto"/>
            </w:tcBorders>
            <w:shd w:val="clear" w:color="auto" w:fill="auto"/>
            <w:noWrap/>
            <w:vAlign w:val="bottom"/>
            <w:hideMark/>
          </w:tcPr>
          <w:p w14:paraId="23BB9F7A" w14:textId="77777777" w:rsidR="00B24B98" w:rsidRPr="00B24B98" w:rsidRDefault="00B24B98" w:rsidP="00B24B98">
            <w:pPr>
              <w:spacing w:after="0" w:line="240" w:lineRule="auto"/>
              <w:jc w:val="right"/>
              <w:rPr>
                <w:rFonts w:ascii="Calibri" w:eastAsia="Times New Roman" w:hAnsi="Calibri" w:cs="Calibri"/>
                <w:color w:val="000000"/>
                <w:lang w:eastAsia="en-GB"/>
              </w:rPr>
            </w:pPr>
            <w:r w:rsidRPr="00B24B98">
              <w:rPr>
                <w:rFonts w:ascii="Calibri" w:eastAsia="Times New Roman" w:hAnsi="Calibri" w:cs="Calibri"/>
                <w:color w:val="000000"/>
                <w:lang w:eastAsia="en-GB"/>
              </w:rPr>
              <w:t>18</w:t>
            </w:r>
          </w:p>
        </w:tc>
        <w:tc>
          <w:tcPr>
            <w:tcW w:w="1180" w:type="dxa"/>
            <w:tcBorders>
              <w:top w:val="nil"/>
              <w:left w:val="nil"/>
              <w:bottom w:val="single" w:sz="4" w:space="0" w:color="auto"/>
              <w:right w:val="single" w:sz="4" w:space="0" w:color="auto"/>
            </w:tcBorders>
            <w:shd w:val="clear" w:color="auto" w:fill="auto"/>
            <w:noWrap/>
            <w:vAlign w:val="center"/>
            <w:hideMark/>
          </w:tcPr>
          <w:p w14:paraId="6FE1D44C" w14:textId="77777777" w:rsidR="00B24B98" w:rsidRPr="00B24B98" w:rsidRDefault="00B24B98" w:rsidP="00B24B98">
            <w:pPr>
              <w:spacing w:after="0" w:line="240" w:lineRule="auto"/>
              <w:rPr>
                <w:rFonts w:ascii="Calibri" w:eastAsia="Times New Roman" w:hAnsi="Calibri" w:cs="Calibri"/>
                <w:color w:val="000000"/>
                <w:lang w:eastAsia="en-GB"/>
              </w:rPr>
            </w:pPr>
            <w:r w:rsidRPr="00B24B98">
              <w:rPr>
                <w:rFonts w:ascii="Calibri" w:eastAsia="Times New Roman" w:hAnsi="Calibri" w:cs="Calibri"/>
                <w:color w:val="000000"/>
                <w:lang w:eastAsia="en-GB"/>
              </w:rPr>
              <w:t>A06</w:t>
            </w:r>
          </w:p>
        </w:tc>
        <w:tc>
          <w:tcPr>
            <w:tcW w:w="4521" w:type="dxa"/>
            <w:tcBorders>
              <w:top w:val="nil"/>
              <w:left w:val="nil"/>
              <w:bottom w:val="single" w:sz="4" w:space="0" w:color="auto"/>
              <w:right w:val="single" w:sz="4" w:space="0" w:color="auto"/>
            </w:tcBorders>
            <w:shd w:val="clear" w:color="auto" w:fill="auto"/>
            <w:noWrap/>
            <w:vAlign w:val="center"/>
            <w:hideMark/>
          </w:tcPr>
          <w:p w14:paraId="459A64AA" w14:textId="77777777" w:rsidR="00B24B98" w:rsidRPr="00B24B98" w:rsidRDefault="00B24B98" w:rsidP="00B24B98">
            <w:pPr>
              <w:spacing w:after="0" w:line="240" w:lineRule="auto"/>
              <w:rPr>
                <w:rFonts w:ascii="Calibri" w:eastAsia="Times New Roman" w:hAnsi="Calibri" w:cs="Calibri"/>
                <w:color w:val="000000"/>
                <w:lang w:eastAsia="en-GB"/>
              </w:rPr>
            </w:pPr>
            <w:r w:rsidRPr="00B24B98">
              <w:rPr>
                <w:rFonts w:ascii="Calibri" w:eastAsia="Times New Roman" w:hAnsi="Calibri" w:cs="Calibri"/>
                <w:color w:val="000000"/>
                <w:lang w:eastAsia="en-GB"/>
              </w:rPr>
              <w:t>DRUGS FOR CONSTIPATION</w:t>
            </w:r>
          </w:p>
        </w:tc>
        <w:tc>
          <w:tcPr>
            <w:tcW w:w="600" w:type="dxa"/>
            <w:tcBorders>
              <w:top w:val="nil"/>
              <w:left w:val="nil"/>
              <w:bottom w:val="single" w:sz="4" w:space="0" w:color="auto"/>
              <w:right w:val="single" w:sz="4" w:space="0" w:color="auto"/>
            </w:tcBorders>
            <w:shd w:val="clear" w:color="auto" w:fill="auto"/>
            <w:noWrap/>
            <w:vAlign w:val="center"/>
            <w:hideMark/>
          </w:tcPr>
          <w:p w14:paraId="4F14ADBE" w14:textId="77777777" w:rsidR="00B24B98" w:rsidRPr="00B24B98" w:rsidRDefault="00B24B98" w:rsidP="00B24B98">
            <w:pPr>
              <w:spacing w:after="0" w:line="240" w:lineRule="auto"/>
              <w:jc w:val="right"/>
              <w:rPr>
                <w:rFonts w:ascii="Calibri" w:eastAsia="Times New Roman" w:hAnsi="Calibri" w:cs="Calibri"/>
                <w:color w:val="000000"/>
                <w:lang w:eastAsia="en-GB"/>
              </w:rPr>
            </w:pPr>
            <w:r w:rsidRPr="00B24B98">
              <w:rPr>
                <w:rFonts w:ascii="Calibri" w:eastAsia="Times New Roman" w:hAnsi="Calibri" w:cs="Calibri"/>
                <w:color w:val="000000"/>
                <w:lang w:eastAsia="en-GB"/>
              </w:rPr>
              <w:t>24</w:t>
            </w:r>
          </w:p>
        </w:tc>
        <w:tc>
          <w:tcPr>
            <w:tcW w:w="960" w:type="dxa"/>
            <w:tcBorders>
              <w:top w:val="nil"/>
              <w:left w:val="nil"/>
              <w:bottom w:val="single" w:sz="4" w:space="0" w:color="auto"/>
              <w:right w:val="single" w:sz="4" w:space="0" w:color="auto"/>
            </w:tcBorders>
            <w:shd w:val="clear" w:color="auto" w:fill="auto"/>
            <w:noWrap/>
            <w:vAlign w:val="bottom"/>
            <w:hideMark/>
          </w:tcPr>
          <w:p w14:paraId="675A1FA6" w14:textId="77777777" w:rsidR="00B24B98" w:rsidRPr="00B24B98" w:rsidRDefault="00B24B98" w:rsidP="00B24B98">
            <w:pPr>
              <w:spacing w:after="0" w:line="240" w:lineRule="auto"/>
              <w:jc w:val="right"/>
              <w:rPr>
                <w:rFonts w:ascii="Calibri" w:eastAsia="Times New Roman" w:hAnsi="Calibri" w:cs="Calibri"/>
                <w:color w:val="000000"/>
                <w:lang w:eastAsia="en-GB"/>
              </w:rPr>
            </w:pPr>
            <w:r w:rsidRPr="00B24B98">
              <w:rPr>
                <w:rFonts w:ascii="Calibri" w:eastAsia="Times New Roman" w:hAnsi="Calibri" w:cs="Calibri"/>
                <w:color w:val="000000"/>
                <w:lang w:eastAsia="en-GB"/>
              </w:rPr>
              <w:t>1.01%</w:t>
            </w:r>
          </w:p>
        </w:tc>
      </w:tr>
      <w:tr w:rsidR="00B24B98" w:rsidRPr="00B24B98" w14:paraId="3063DF12" w14:textId="77777777" w:rsidTr="00B24B98">
        <w:trPr>
          <w:trHeight w:val="290"/>
        </w:trPr>
        <w:tc>
          <w:tcPr>
            <w:tcW w:w="673" w:type="dxa"/>
            <w:tcBorders>
              <w:top w:val="nil"/>
              <w:left w:val="single" w:sz="4" w:space="0" w:color="auto"/>
              <w:bottom w:val="single" w:sz="4" w:space="0" w:color="auto"/>
              <w:right w:val="single" w:sz="4" w:space="0" w:color="auto"/>
            </w:tcBorders>
            <w:shd w:val="clear" w:color="auto" w:fill="auto"/>
            <w:noWrap/>
            <w:vAlign w:val="bottom"/>
            <w:hideMark/>
          </w:tcPr>
          <w:p w14:paraId="6210BA37" w14:textId="77777777" w:rsidR="00B24B98" w:rsidRPr="00B24B98" w:rsidRDefault="00B24B98" w:rsidP="00B24B98">
            <w:pPr>
              <w:spacing w:after="0" w:line="240" w:lineRule="auto"/>
              <w:jc w:val="right"/>
              <w:rPr>
                <w:rFonts w:ascii="Calibri" w:eastAsia="Times New Roman" w:hAnsi="Calibri" w:cs="Calibri"/>
                <w:color w:val="000000"/>
                <w:lang w:eastAsia="en-GB"/>
              </w:rPr>
            </w:pPr>
            <w:r w:rsidRPr="00B24B98">
              <w:rPr>
                <w:rFonts w:ascii="Calibri" w:eastAsia="Times New Roman" w:hAnsi="Calibri" w:cs="Calibri"/>
                <w:color w:val="000000"/>
                <w:lang w:eastAsia="en-GB"/>
              </w:rPr>
              <w:t>19</w:t>
            </w:r>
          </w:p>
        </w:tc>
        <w:tc>
          <w:tcPr>
            <w:tcW w:w="1180" w:type="dxa"/>
            <w:tcBorders>
              <w:top w:val="nil"/>
              <w:left w:val="nil"/>
              <w:bottom w:val="single" w:sz="4" w:space="0" w:color="auto"/>
              <w:right w:val="single" w:sz="4" w:space="0" w:color="auto"/>
            </w:tcBorders>
            <w:shd w:val="clear" w:color="auto" w:fill="auto"/>
            <w:noWrap/>
            <w:vAlign w:val="center"/>
            <w:hideMark/>
          </w:tcPr>
          <w:p w14:paraId="36C4ADDE" w14:textId="77777777" w:rsidR="00B24B98" w:rsidRPr="00B24B98" w:rsidRDefault="00B24B98" w:rsidP="00B24B98">
            <w:pPr>
              <w:spacing w:after="0" w:line="240" w:lineRule="auto"/>
              <w:rPr>
                <w:rFonts w:ascii="Calibri" w:eastAsia="Times New Roman" w:hAnsi="Calibri" w:cs="Calibri"/>
                <w:color w:val="000000"/>
                <w:lang w:eastAsia="en-GB"/>
              </w:rPr>
            </w:pPr>
            <w:r w:rsidRPr="00B24B98">
              <w:rPr>
                <w:rFonts w:ascii="Calibri" w:eastAsia="Times New Roman" w:hAnsi="Calibri" w:cs="Calibri"/>
                <w:color w:val="000000"/>
                <w:lang w:eastAsia="en-GB"/>
              </w:rPr>
              <w:t>B03</w:t>
            </w:r>
          </w:p>
        </w:tc>
        <w:tc>
          <w:tcPr>
            <w:tcW w:w="4521" w:type="dxa"/>
            <w:tcBorders>
              <w:top w:val="nil"/>
              <w:left w:val="nil"/>
              <w:bottom w:val="single" w:sz="4" w:space="0" w:color="auto"/>
              <w:right w:val="single" w:sz="4" w:space="0" w:color="auto"/>
            </w:tcBorders>
            <w:shd w:val="clear" w:color="auto" w:fill="auto"/>
            <w:noWrap/>
            <w:vAlign w:val="center"/>
            <w:hideMark/>
          </w:tcPr>
          <w:p w14:paraId="324EE7FA" w14:textId="77777777" w:rsidR="00B24B98" w:rsidRPr="00B24B98" w:rsidRDefault="00B24B98" w:rsidP="00B24B98">
            <w:pPr>
              <w:spacing w:after="0" w:line="240" w:lineRule="auto"/>
              <w:rPr>
                <w:rFonts w:ascii="Calibri" w:eastAsia="Times New Roman" w:hAnsi="Calibri" w:cs="Calibri"/>
                <w:color w:val="000000"/>
                <w:lang w:eastAsia="en-GB"/>
              </w:rPr>
            </w:pPr>
            <w:r w:rsidRPr="00B24B98">
              <w:rPr>
                <w:rFonts w:ascii="Calibri" w:eastAsia="Times New Roman" w:hAnsi="Calibri" w:cs="Calibri"/>
                <w:color w:val="000000"/>
                <w:lang w:eastAsia="en-GB"/>
              </w:rPr>
              <w:t>ANTIANEMIC PREPARATIONS</w:t>
            </w:r>
          </w:p>
        </w:tc>
        <w:tc>
          <w:tcPr>
            <w:tcW w:w="600" w:type="dxa"/>
            <w:tcBorders>
              <w:top w:val="nil"/>
              <w:left w:val="nil"/>
              <w:bottom w:val="single" w:sz="4" w:space="0" w:color="auto"/>
              <w:right w:val="single" w:sz="4" w:space="0" w:color="auto"/>
            </w:tcBorders>
            <w:shd w:val="clear" w:color="auto" w:fill="auto"/>
            <w:noWrap/>
            <w:vAlign w:val="center"/>
            <w:hideMark/>
          </w:tcPr>
          <w:p w14:paraId="182642DB" w14:textId="77777777" w:rsidR="00B24B98" w:rsidRPr="00B24B98" w:rsidRDefault="00B24B98" w:rsidP="00B24B98">
            <w:pPr>
              <w:spacing w:after="0" w:line="240" w:lineRule="auto"/>
              <w:jc w:val="right"/>
              <w:rPr>
                <w:rFonts w:ascii="Calibri" w:eastAsia="Times New Roman" w:hAnsi="Calibri" w:cs="Calibri"/>
                <w:color w:val="000000"/>
                <w:lang w:eastAsia="en-GB"/>
              </w:rPr>
            </w:pPr>
            <w:r w:rsidRPr="00B24B98">
              <w:rPr>
                <w:rFonts w:ascii="Calibri" w:eastAsia="Times New Roman" w:hAnsi="Calibri" w:cs="Calibri"/>
                <w:color w:val="000000"/>
                <w:lang w:eastAsia="en-GB"/>
              </w:rPr>
              <w:t>22</w:t>
            </w:r>
          </w:p>
        </w:tc>
        <w:tc>
          <w:tcPr>
            <w:tcW w:w="960" w:type="dxa"/>
            <w:tcBorders>
              <w:top w:val="nil"/>
              <w:left w:val="nil"/>
              <w:bottom w:val="single" w:sz="4" w:space="0" w:color="auto"/>
              <w:right w:val="single" w:sz="4" w:space="0" w:color="auto"/>
            </w:tcBorders>
            <w:shd w:val="clear" w:color="auto" w:fill="auto"/>
            <w:noWrap/>
            <w:vAlign w:val="bottom"/>
            <w:hideMark/>
          </w:tcPr>
          <w:p w14:paraId="0EDF87A8" w14:textId="77777777" w:rsidR="00B24B98" w:rsidRPr="00B24B98" w:rsidRDefault="00B24B98" w:rsidP="00B24B98">
            <w:pPr>
              <w:spacing w:after="0" w:line="240" w:lineRule="auto"/>
              <w:jc w:val="right"/>
              <w:rPr>
                <w:rFonts w:ascii="Calibri" w:eastAsia="Times New Roman" w:hAnsi="Calibri" w:cs="Calibri"/>
                <w:color w:val="000000"/>
                <w:lang w:eastAsia="en-GB"/>
              </w:rPr>
            </w:pPr>
            <w:r w:rsidRPr="00B24B98">
              <w:rPr>
                <w:rFonts w:ascii="Calibri" w:eastAsia="Times New Roman" w:hAnsi="Calibri" w:cs="Calibri"/>
                <w:color w:val="000000"/>
                <w:lang w:eastAsia="en-GB"/>
              </w:rPr>
              <w:t>0.92%</w:t>
            </w:r>
          </w:p>
        </w:tc>
      </w:tr>
      <w:tr w:rsidR="00B24B98" w:rsidRPr="00B24B98" w14:paraId="76750ABB" w14:textId="77777777" w:rsidTr="00B24B98">
        <w:trPr>
          <w:trHeight w:val="290"/>
        </w:trPr>
        <w:tc>
          <w:tcPr>
            <w:tcW w:w="673" w:type="dxa"/>
            <w:tcBorders>
              <w:top w:val="nil"/>
              <w:left w:val="single" w:sz="4" w:space="0" w:color="auto"/>
              <w:bottom w:val="single" w:sz="4" w:space="0" w:color="auto"/>
              <w:right w:val="single" w:sz="4" w:space="0" w:color="auto"/>
            </w:tcBorders>
            <w:shd w:val="clear" w:color="auto" w:fill="auto"/>
            <w:noWrap/>
            <w:vAlign w:val="bottom"/>
            <w:hideMark/>
          </w:tcPr>
          <w:p w14:paraId="0271815F" w14:textId="77777777" w:rsidR="00B24B98" w:rsidRPr="00B24B98" w:rsidRDefault="00B24B98" w:rsidP="00B24B98">
            <w:pPr>
              <w:spacing w:after="0" w:line="240" w:lineRule="auto"/>
              <w:jc w:val="right"/>
              <w:rPr>
                <w:rFonts w:ascii="Calibri" w:eastAsia="Times New Roman" w:hAnsi="Calibri" w:cs="Calibri"/>
                <w:color w:val="000000"/>
                <w:lang w:eastAsia="en-GB"/>
              </w:rPr>
            </w:pPr>
            <w:r w:rsidRPr="00B24B98">
              <w:rPr>
                <w:rFonts w:ascii="Calibri" w:eastAsia="Times New Roman" w:hAnsi="Calibri" w:cs="Calibri"/>
                <w:color w:val="000000"/>
                <w:lang w:eastAsia="en-GB"/>
              </w:rPr>
              <w:t>20</w:t>
            </w:r>
          </w:p>
        </w:tc>
        <w:tc>
          <w:tcPr>
            <w:tcW w:w="1180" w:type="dxa"/>
            <w:tcBorders>
              <w:top w:val="nil"/>
              <w:left w:val="nil"/>
              <w:bottom w:val="single" w:sz="4" w:space="0" w:color="auto"/>
              <w:right w:val="single" w:sz="4" w:space="0" w:color="auto"/>
            </w:tcBorders>
            <w:shd w:val="clear" w:color="auto" w:fill="auto"/>
            <w:noWrap/>
            <w:vAlign w:val="center"/>
            <w:hideMark/>
          </w:tcPr>
          <w:p w14:paraId="577CC618" w14:textId="77777777" w:rsidR="00B24B98" w:rsidRPr="00B24B98" w:rsidRDefault="00B24B98" w:rsidP="00B24B98">
            <w:pPr>
              <w:spacing w:after="0" w:line="240" w:lineRule="auto"/>
              <w:rPr>
                <w:rFonts w:ascii="Calibri" w:eastAsia="Times New Roman" w:hAnsi="Calibri" w:cs="Calibri"/>
                <w:color w:val="000000"/>
                <w:lang w:eastAsia="en-GB"/>
              </w:rPr>
            </w:pPr>
            <w:r w:rsidRPr="00B24B98">
              <w:rPr>
                <w:rFonts w:ascii="Calibri" w:eastAsia="Times New Roman" w:hAnsi="Calibri" w:cs="Calibri"/>
                <w:color w:val="000000"/>
                <w:lang w:eastAsia="en-GB"/>
              </w:rPr>
              <w:t>N06</w:t>
            </w:r>
          </w:p>
        </w:tc>
        <w:tc>
          <w:tcPr>
            <w:tcW w:w="4521" w:type="dxa"/>
            <w:tcBorders>
              <w:top w:val="nil"/>
              <w:left w:val="nil"/>
              <w:bottom w:val="single" w:sz="4" w:space="0" w:color="auto"/>
              <w:right w:val="single" w:sz="4" w:space="0" w:color="auto"/>
            </w:tcBorders>
            <w:shd w:val="clear" w:color="auto" w:fill="auto"/>
            <w:noWrap/>
            <w:vAlign w:val="center"/>
            <w:hideMark/>
          </w:tcPr>
          <w:p w14:paraId="68C8637B" w14:textId="77777777" w:rsidR="00B24B98" w:rsidRPr="00B24B98" w:rsidRDefault="00B24B98" w:rsidP="00B24B98">
            <w:pPr>
              <w:spacing w:after="0" w:line="240" w:lineRule="auto"/>
              <w:rPr>
                <w:rFonts w:ascii="Calibri" w:eastAsia="Times New Roman" w:hAnsi="Calibri" w:cs="Calibri"/>
                <w:color w:val="000000"/>
                <w:lang w:eastAsia="en-GB"/>
              </w:rPr>
            </w:pPr>
            <w:r w:rsidRPr="00B24B98">
              <w:rPr>
                <w:rFonts w:ascii="Calibri" w:eastAsia="Times New Roman" w:hAnsi="Calibri" w:cs="Calibri"/>
                <w:color w:val="000000"/>
                <w:lang w:eastAsia="en-GB"/>
              </w:rPr>
              <w:t>PSYCHOANALEPTICS</w:t>
            </w:r>
          </w:p>
        </w:tc>
        <w:tc>
          <w:tcPr>
            <w:tcW w:w="600" w:type="dxa"/>
            <w:tcBorders>
              <w:top w:val="nil"/>
              <w:left w:val="nil"/>
              <w:bottom w:val="single" w:sz="4" w:space="0" w:color="auto"/>
              <w:right w:val="single" w:sz="4" w:space="0" w:color="auto"/>
            </w:tcBorders>
            <w:shd w:val="clear" w:color="auto" w:fill="auto"/>
            <w:noWrap/>
            <w:vAlign w:val="center"/>
            <w:hideMark/>
          </w:tcPr>
          <w:p w14:paraId="6A9D5194" w14:textId="77777777" w:rsidR="00B24B98" w:rsidRPr="00B24B98" w:rsidRDefault="00B24B98" w:rsidP="00B24B98">
            <w:pPr>
              <w:spacing w:after="0" w:line="240" w:lineRule="auto"/>
              <w:jc w:val="right"/>
              <w:rPr>
                <w:rFonts w:ascii="Calibri" w:eastAsia="Times New Roman" w:hAnsi="Calibri" w:cs="Calibri"/>
                <w:color w:val="000000"/>
                <w:lang w:eastAsia="en-GB"/>
              </w:rPr>
            </w:pPr>
            <w:r w:rsidRPr="00B24B98">
              <w:rPr>
                <w:rFonts w:ascii="Calibri" w:eastAsia="Times New Roman" w:hAnsi="Calibri" w:cs="Calibri"/>
                <w:color w:val="000000"/>
                <w:lang w:eastAsia="en-GB"/>
              </w:rPr>
              <w:t>20</w:t>
            </w:r>
          </w:p>
        </w:tc>
        <w:tc>
          <w:tcPr>
            <w:tcW w:w="960" w:type="dxa"/>
            <w:tcBorders>
              <w:top w:val="nil"/>
              <w:left w:val="nil"/>
              <w:bottom w:val="single" w:sz="4" w:space="0" w:color="auto"/>
              <w:right w:val="single" w:sz="4" w:space="0" w:color="auto"/>
            </w:tcBorders>
            <w:shd w:val="clear" w:color="auto" w:fill="auto"/>
            <w:noWrap/>
            <w:vAlign w:val="bottom"/>
            <w:hideMark/>
          </w:tcPr>
          <w:p w14:paraId="304F8A2F" w14:textId="77777777" w:rsidR="00B24B98" w:rsidRPr="00B24B98" w:rsidRDefault="00B24B98" w:rsidP="00B24B98">
            <w:pPr>
              <w:spacing w:after="0" w:line="240" w:lineRule="auto"/>
              <w:jc w:val="right"/>
              <w:rPr>
                <w:rFonts w:ascii="Calibri" w:eastAsia="Times New Roman" w:hAnsi="Calibri" w:cs="Calibri"/>
                <w:color w:val="000000"/>
                <w:lang w:eastAsia="en-GB"/>
              </w:rPr>
            </w:pPr>
            <w:r w:rsidRPr="00B24B98">
              <w:rPr>
                <w:rFonts w:ascii="Calibri" w:eastAsia="Times New Roman" w:hAnsi="Calibri" w:cs="Calibri"/>
                <w:color w:val="000000"/>
                <w:lang w:eastAsia="en-GB"/>
              </w:rPr>
              <w:t>0.84%</w:t>
            </w:r>
          </w:p>
        </w:tc>
      </w:tr>
      <w:tr w:rsidR="00B24B98" w:rsidRPr="00B24B98" w14:paraId="1AEB5AD2" w14:textId="77777777" w:rsidTr="00B24B98">
        <w:trPr>
          <w:trHeight w:val="290"/>
        </w:trPr>
        <w:tc>
          <w:tcPr>
            <w:tcW w:w="673" w:type="dxa"/>
            <w:tcBorders>
              <w:top w:val="nil"/>
              <w:left w:val="single" w:sz="4" w:space="0" w:color="auto"/>
              <w:bottom w:val="single" w:sz="4" w:space="0" w:color="auto"/>
              <w:right w:val="single" w:sz="4" w:space="0" w:color="auto"/>
            </w:tcBorders>
            <w:shd w:val="clear" w:color="auto" w:fill="auto"/>
            <w:noWrap/>
            <w:vAlign w:val="bottom"/>
            <w:hideMark/>
          </w:tcPr>
          <w:p w14:paraId="0329AA17" w14:textId="77777777" w:rsidR="00B24B98" w:rsidRPr="00B24B98" w:rsidRDefault="00B24B98" w:rsidP="00B24B98">
            <w:pPr>
              <w:spacing w:after="0" w:line="240" w:lineRule="auto"/>
              <w:jc w:val="right"/>
              <w:rPr>
                <w:rFonts w:ascii="Calibri" w:eastAsia="Times New Roman" w:hAnsi="Calibri" w:cs="Calibri"/>
                <w:color w:val="000000"/>
                <w:lang w:eastAsia="en-GB"/>
              </w:rPr>
            </w:pPr>
            <w:r w:rsidRPr="00B24B98">
              <w:rPr>
                <w:rFonts w:ascii="Calibri" w:eastAsia="Times New Roman" w:hAnsi="Calibri" w:cs="Calibri"/>
                <w:color w:val="000000"/>
                <w:lang w:eastAsia="en-GB"/>
              </w:rPr>
              <w:t>21</w:t>
            </w:r>
          </w:p>
        </w:tc>
        <w:tc>
          <w:tcPr>
            <w:tcW w:w="1180" w:type="dxa"/>
            <w:tcBorders>
              <w:top w:val="nil"/>
              <w:left w:val="nil"/>
              <w:bottom w:val="single" w:sz="4" w:space="0" w:color="auto"/>
              <w:right w:val="single" w:sz="4" w:space="0" w:color="auto"/>
            </w:tcBorders>
            <w:shd w:val="clear" w:color="auto" w:fill="auto"/>
            <w:noWrap/>
            <w:vAlign w:val="center"/>
            <w:hideMark/>
          </w:tcPr>
          <w:p w14:paraId="706ED519" w14:textId="77777777" w:rsidR="00B24B98" w:rsidRPr="00B24B98" w:rsidRDefault="00B24B98" w:rsidP="00B24B98">
            <w:pPr>
              <w:spacing w:after="0" w:line="240" w:lineRule="auto"/>
              <w:rPr>
                <w:rFonts w:ascii="Calibri" w:eastAsia="Times New Roman" w:hAnsi="Calibri" w:cs="Calibri"/>
                <w:color w:val="000000"/>
                <w:lang w:eastAsia="en-GB"/>
              </w:rPr>
            </w:pPr>
            <w:r w:rsidRPr="00B24B98">
              <w:rPr>
                <w:rFonts w:ascii="Calibri" w:eastAsia="Times New Roman" w:hAnsi="Calibri" w:cs="Calibri"/>
                <w:color w:val="000000"/>
                <w:lang w:eastAsia="en-GB"/>
              </w:rPr>
              <w:t>C07</w:t>
            </w:r>
          </w:p>
        </w:tc>
        <w:tc>
          <w:tcPr>
            <w:tcW w:w="4521" w:type="dxa"/>
            <w:tcBorders>
              <w:top w:val="nil"/>
              <w:left w:val="nil"/>
              <w:bottom w:val="single" w:sz="4" w:space="0" w:color="auto"/>
              <w:right w:val="single" w:sz="4" w:space="0" w:color="auto"/>
            </w:tcBorders>
            <w:shd w:val="clear" w:color="auto" w:fill="auto"/>
            <w:noWrap/>
            <w:vAlign w:val="center"/>
            <w:hideMark/>
          </w:tcPr>
          <w:p w14:paraId="66F20862" w14:textId="77777777" w:rsidR="00B24B98" w:rsidRPr="00B24B98" w:rsidRDefault="00B24B98" w:rsidP="00B24B98">
            <w:pPr>
              <w:spacing w:after="0" w:line="240" w:lineRule="auto"/>
              <w:rPr>
                <w:rFonts w:ascii="Calibri" w:eastAsia="Times New Roman" w:hAnsi="Calibri" w:cs="Calibri"/>
                <w:color w:val="000000"/>
                <w:lang w:eastAsia="en-GB"/>
              </w:rPr>
            </w:pPr>
            <w:r w:rsidRPr="00B24B98">
              <w:rPr>
                <w:rFonts w:ascii="Calibri" w:eastAsia="Times New Roman" w:hAnsi="Calibri" w:cs="Calibri"/>
                <w:color w:val="000000"/>
                <w:lang w:eastAsia="en-GB"/>
              </w:rPr>
              <w:t>BETA BLOCKING AGENTS</w:t>
            </w:r>
          </w:p>
        </w:tc>
        <w:tc>
          <w:tcPr>
            <w:tcW w:w="600" w:type="dxa"/>
            <w:tcBorders>
              <w:top w:val="nil"/>
              <w:left w:val="nil"/>
              <w:bottom w:val="single" w:sz="4" w:space="0" w:color="auto"/>
              <w:right w:val="single" w:sz="4" w:space="0" w:color="auto"/>
            </w:tcBorders>
            <w:shd w:val="clear" w:color="auto" w:fill="auto"/>
            <w:noWrap/>
            <w:vAlign w:val="center"/>
            <w:hideMark/>
          </w:tcPr>
          <w:p w14:paraId="6E388286" w14:textId="77777777" w:rsidR="00B24B98" w:rsidRPr="00B24B98" w:rsidRDefault="00B24B98" w:rsidP="00B24B98">
            <w:pPr>
              <w:spacing w:after="0" w:line="240" w:lineRule="auto"/>
              <w:jc w:val="right"/>
              <w:rPr>
                <w:rFonts w:ascii="Calibri" w:eastAsia="Times New Roman" w:hAnsi="Calibri" w:cs="Calibri"/>
                <w:color w:val="000000"/>
                <w:lang w:eastAsia="en-GB"/>
              </w:rPr>
            </w:pPr>
            <w:r w:rsidRPr="00B24B98">
              <w:rPr>
                <w:rFonts w:ascii="Calibri" w:eastAsia="Times New Roman" w:hAnsi="Calibri" w:cs="Calibri"/>
                <w:color w:val="000000"/>
                <w:lang w:eastAsia="en-GB"/>
              </w:rPr>
              <w:t>19</w:t>
            </w:r>
          </w:p>
        </w:tc>
        <w:tc>
          <w:tcPr>
            <w:tcW w:w="960" w:type="dxa"/>
            <w:tcBorders>
              <w:top w:val="nil"/>
              <w:left w:val="nil"/>
              <w:bottom w:val="single" w:sz="4" w:space="0" w:color="auto"/>
              <w:right w:val="single" w:sz="4" w:space="0" w:color="auto"/>
            </w:tcBorders>
            <w:shd w:val="clear" w:color="auto" w:fill="auto"/>
            <w:noWrap/>
            <w:vAlign w:val="bottom"/>
            <w:hideMark/>
          </w:tcPr>
          <w:p w14:paraId="08F4303D" w14:textId="77777777" w:rsidR="00B24B98" w:rsidRPr="00B24B98" w:rsidRDefault="00B24B98" w:rsidP="00B24B98">
            <w:pPr>
              <w:spacing w:after="0" w:line="240" w:lineRule="auto"/>
              <w:jc w:val="right"/>
              <w:rPr>
                <w:rFonts w:ascii="Calibri" w:eastAsia="Times New Roman" w:hAnsi="Calibri" w:cs="Calibri"/>
                <w:color w:val="000000"/>
                <w:lang w:eastAsia="en-GB"/>
              </w:rPr>
            </w:pPr>
            <w:r w:rsidRPr="00B24B98">
              <w:rPr>
                <w:rFonts w:ascii="Calibri" w:eastAsia="Times New Roman" w:hAnsi="Calibri" w:cs="Calibri"/>
                <w:color w:val="000000"/>
                <w:lang w:eastAsia="en-GB"/>
              </w:rPr>
              <w:t>0.80%</w:t>
            </w:r>
          </w:p>
        </w:tc>
      </w:tr>
      <w:tr w:rsidR="00B24B98" w:rsidRPr="00B24B98" w14:paraId="27709EDB" w14:textId="77777777" w:rsidTr="00B24B98">
        <w:trPr>
          <w:trHeight w:val="290"/>
        </w:trPr>
        <w:tc>
          <w:tcPr>
            <w:tcW w:w="673" w:type="dxa"/>
            <w:tcBorders>
              <w:top w:val="nil"/>
              <w:left w:val="single" w:sz="4" w:space="0" w:color="auto"/>
              <w:bottom w:val="single" w:sz="4" w:space="0" w:color="auto"/>
              <w:right w:val="single" w:sz="4" w:space="0" w:color="auto"/>
            </w:tcBorders>
            <w:shd w:val="clear" w:color="auto" w:fill="auto"/>
            <w:noWrap/>
            <w:vAlign w:val="bottom"/>
            <w:hideMark/>
          </w:tcPr>
          <w:p w14:paraId="5207E8C7" w14:textId="77777777" w:rsidR="00B24B98" w:rsidRPr="00B24B98" w:rsidRDefault="00B24B98" w:rsidP="00B24B98">
            <w:pPr>
              <w:spacing w:after="0" w:line="240" w:lineRule="auto"/>
              <w:jc w:val="right"/>
              <w:rPr>
                <w:rFonts w:ascii="Calibri" w:eastAsia="Times New Roman" w:hAnsi="Calibri" w:cs="Calibri"/>
                <w:color w:val="000000"/>
                <w:lang w:eastAsia="en-GB"/>
              </w:rPr>
            </w:pPr>
            <w:r w:rsidRPr="00B24B98">
              <w:rPr>
                <w:rFonts w:ascii="Calibri" w:eastAsia="Times New Roman" w:hAnsi="Calibri" w:cs="Calibri"/>
                <w:color w:val="000000"/>
                <w:lang w:eastAsia="en-GB"/>
              </w:rPr>
              <w:t>22</w:t>
            </w:r>
          </w:p>
        </w:tc>
        <w:tc>
          <w:tcPr>
            <w:tcW w:w="1180" w:type="dxa"/>
            <w:tcBorders>
              <w:top w:val="nil"/>
              <w:left w:val="nil"/>
              <w:bottom w:val="single" w:sz="4" w:space="0" w:color="auto"/>
              <w:right w:val="single" w:sz="4" w:space="0" w:color="auto"/>
            </w:tcBorders>
            <w:shd w:val="clear" w:color="auto" w:fill="auto"/>
            <w:noWrap/>
            <w:vAlign w:val="center"/>
            <w:hideMark/>
          </w:tcPr>
          <w:p w14:paraId="147A06DE" w14:textId="77777777" w:rsidR="00B24B98" w:rsidRPr="00B24B98" w:rsidRDefault="00B24B98" w:rsidP="00B24B98">
            <w:pPr>
              <w:spacing w:after="0" w:line="240" w:lineRule="auto"/>
              <w:rPr>
                <w:rFonts w:ascii="Calibri" w:eastAsia="Times New Roman" w:hAnsi="Calibri" w:cs="Calibri"/>
                <w:color w:val="000000"/>
                <w:lang w:eastAsia="en-GB"/>
              </w:rPr>
            </w:pPr>
            <w:r w:rsidRPr="00B24B98">
              <w:rPr>
                <w:rFonts w:ascii="Calibri" w:eastAsia="Times New Roman" w:hAnsi="Calibri" w:cs="Calibri"/>
                <w:color w:val="000000"/>
                <w:lang w:eastAsia="en-GB"/>
              </w:rPr>
              <w:t>B05</w:t>
            </w:r>
          </w:p>
        </w:tc>
        <w:tc>
          <w:tcPr>
            <w:tcW w:w="4521" w:type="dxa"/>
            <w:tcBorders>
              <w:top w:val="nil"/>
              <w:left w:val="nil"/>
              <w:bottom w:val="single" w:sz="4" w:space="0" w:color="auto"/>
              <w:right w:val="single" w:sz="4" w:space="0" w:color="auto"/>
            </w:tcBorders>
            <w:shd w:val="clear" w:color="auto" w:fill="auto"/>
            <w:noWrap/>
            <w:vAlign w:val="center"/>
            <w:hideMark/>
          </w:tcPr>
          <w:p w14:paraId="28662DB2" w14:textId="77777777" w:rsidR="00B24B98" w:rsidRPr="00B24B98" w:rsidRDefault="00B24B98" w:rsidP="00B24B98">
            <w:pPr>
              <w:spacing w:after="0" w:line="240" w:lineRule="auto"/>
              <w:rPr>
                <w:rFonts w:ascii="Calibri" w:eastAsia="Times New Roman" w:hAnsi="Calibri" w:cs="Calibri"/>
                <w:color w:val="000000"/>
                <w:lang w:eastAsia="en-GB"/>
              </w:rPr>
            </w:pPr>
            <w:r w:rsidRPr="00B24B98">
              <w:rPr>
                <w:rFonts w:ascii="Calibri" w:eastAsia="Times New Roman" w:hAnsi="Calibri" w:cs="Calibri"/>
                <w:color w:val="000000"/>
                <w:lang w:eastAsia="en-GB"/>
              </w:rPr>
              <w:t>BLOOD SUBSTITUTES AND PERFUSION SOLUTIONS</w:t>
            </w:r>
          </w:p>
        </w:tc>
        <w:tc>
          <w:tcPr>
            <w:tcW w:w="600" w:type="dxa"/>
            <w:tcBorders>
              <w:top w:val="nil"/>
              <w:left w:val="nil"/>
              <w:bottom w:val="single" w:sz="4" w:space="0" w:color="auto"/>
              <w:right w:val="single" w:sz="4" w:space="0" w:color="auto"/>
            </w:tcBorders>
            <w:shd w:val="clear" w:color="auto" w:fill="auto"/>
            <w:noWrap/>
            <w:vAlign w:val="center"/>
            <w:hideMark/>
          </w:tcPr>
          <w:p w14:paraId="72F3BE3B" w14:textId="77777777" w:rsidR="00B24B98" w:rsidRPr="00B24B98" w:rsidRDefault="00B24B98" w:rsidP="00B24B98">
            <w:pPr>
              <w:spacing w:after="0" w:line="240" w:lineRule="auto"/>
              <w:jc w:val="right"/>
              <w:rPr>
                <w:rFonts w:ascii="Calibri" w:eastAsia="Times New Roman" w:hAnsi="Calibri" w:cs="Calibri"/>
                <w:color w:val="000000"/>
                <w:lang w:eastAsia="en-GB"/>
              </w:rPr>
            </w:pPr>
            <w:r w:rsidRPr="00B24B98">
              <w:rPr>
                <w:rFonts w:ascii="Calibri" w:eastAsia="Times New Roman" w:hAnsi="Calibri" w:cs="Calibri"/>
                <w:color w:val="000000"/>
                <w:lang w:eastAsia="en-GB"/>
              </w:rPr>
              <w:t>15</w:t>
            </w:r>
          </w:p>
        </w:tc>
        <w:tc>
          <w:tcPr>
            <w:tcW w:w="960" w:type="dxa"/>
            <w:tcBorders>
              <w:top w:val="nil"/>
              <w:left w:val="nil"/>
              <w:bottom w:val="single" w:sz="4" w:space="0" w:color="auto"/>
              <w:right w:val="single" w:sz="4" w:space="0" w:color="auto"/>
            </w:tcBorders>
            <w:shd w:val="clear" w:color="auto" w:fill="auto"/>
            <w:noWrap/>
            <w:vAlign w:val="bottom"/>
            <w:hideMark/>
          </w:tcPr>
          <w:p w14:paraId="0BD5E2F6" w14:textId="77777777" w:rsidR="00B24B98" w:rsidRPr="00B24B98" w:rsidRDefault="00B24B98" w:rsidP="00B24B98">
            <w:pPr>
              <w:spacing w:after="0" w:line="240" w:lineRule="auto"/>
              <w:jc w:val="right"/>
              <w:rPr>
                <w:rFonts w:ascii="Calibri" w:eastAsia="Times New Roman" w:hAnsi="Calibri" w:cs="Calibri"/>
                <w:color w:val="000000"/>
                <w:lang w:eastAsia="en-GB"/>
              </w:rPr>
            </w:pPr>
            <w:r w:rsidRPr="00B24B98">
              <w:rPr>
                <w:rFonts w:ascii="Calibri" w:eastAsia="Times New Roman" w:hAnsi="Calibri" w:cs="Calibri"/>
                <w:color w:val="000000"/>
                <w:lang w:eastAsia="en-GB"/>
              </w:rPr>
              <w:t>0.63%</w:t>
            </w:r>
          </w:p>
        </w:tc>
      </w:tr>
      <w:tr w:rsidR="00B24B98" w:rsidRPr="00B24B98" w14:paraId="05E32A22" w14:textId="77777777" w:rsidTr="00B24B98">
        <w:trPr>
          <w:trHeight w:val="290"/>
        </w:trPr>
        <w:tc>
          <w:tcPr>
            <w:tcW w:w="673" w:type="dxa"/>
            <w:tcBorders>
              <w:top w:val="nil"/>
              <w:left w:val="single" w:sz="4" w:space="0" w:color="auto"/>
              <w:bottom w:val="single" w:sz="4" w:space="0" w:color="auto"/>
              <w:right w:val="single" w:sz="4" w:space="0" w:color="auto"/>
            </w:tcBorders>
            <w:shd w:val="clear" w:color="auto" w:fill="auto"/>
            <w:noWrap/>
            <w:vAlign w:val="bottom"/>
            <w:hideMark/>
          </w:tcPr>
          <w:p w14:paraId="268B06D6" w14:textId="77777777" w:rsidR="00B24B98" w:rsidRPr="00B24B98" w:rsidRDefault="00B24B98" w:rsidP="00B24B98">
            <w:pPr>
              <w:spacing w:after="0" w:line="240" w:lineRule="auto"/>
              <w:jc w:val="right"/>
              <w:rPr>
                <w:rFonts w:ascii="Calibri" w:eastAsia="Times New Roman" w:hAnsi="Calibri" w:cs="Calibri"/>
                <w:color w:val="000000"/>
                <w:lang w:eastAsia="en-GB"/>
              </w:rPr>
            </w:pPr>
            <w:r w:rsidRPr="00B24B98">
              <w:rPr>
                <w:rFonts w:ascii="Calibri" w:eastAsia="Times New Roman" w:hAnsi="Calibri" w:cs="Calibri"/>
                <w:color w:val="000000"/>
                <w:lang w:eastAsia="en-GB"/>
              </w:rPr>
              <w:t>23</w:t>
            </w:r>
          </w:p>
        </w:tc>
        <w:tc>
          <w:tcPr>
            <w:tcW w:w="1180" w:type="dxa"/>
            <w:tcBorders>
              <w:top w:val="nil"/>
              <w:left w:val="nil"/>
              <w:bottom w:val="single" w:sz="4" w:space="0" w:color="auto"/>
              <w:right w:val="single" w:sz="4" w:space="0" w:color="auto"/>
            </w:tcBorders>
            <w:shd w:val="clear" w:color="auto" w:fill="auto"/>
            <w:noWrap/>
            <w:vAlign w:val="center"/>
            <w:hideMark/>
          </w:tcPr>
          <w:p w14:paraId="3E91F9F6" w14:textId="77777777" w:rsidR="00B24B98" w:rsidRPr="00B24B98" w:rsidRDefault="00B24B98" w:rsidP="00B24B98">
            <w:pPr>
              <w:spacing w:after="0" w:line="240" w:lineRule="auto"/>
              <w:rPr>
                <w:rFonts w:ascii="Calibri" w:eastAsia="Times New Roman" w:hAnsi="Calibri" w:cs="Calibri"/>
                <w:color w:val="000000"/>
                <w:lang w:eastAsia="en-GB"/>
              </w:rPr>
            </w:pPr>
            <w:r w:rsidRPr="00B24B98">
              <w:rPr>
                <w:rFonts w:ascii="Calibri" w:eastAsia="Times New Roman" w:hAnsi="Calibri" w:cs="Calibri"/>
                <w:color w:val="000000"/>
                <w:lang w:eastAsia="en-GB"/>
              </w:rPr>
              <w:t>R01</w:t>
            </w:r>
          </w:p>
        </w:tc>
        <w:tc>
          <w:tcPr>
            <w:tcW w:w="4521" w:type="dxa"/>
            <w:tcBorders>
              <w:top w:val="nil"/>
              <w:left w:val="nil"/>
              <w:bottom w:val="single" w:sz="4" w:space="0" w:color="auto"/>
              <w:right w:val="single" w:sz="4" w:space="0" w:color="auto"/>
            </w:tcBorders>
            <w:shd w:val="clear" w:color="auto" w:fill="auto"/>
            <w:noWrap/>
            <w:vAlign w:val="center"/>
            <w:hideMark/>
          </w:tcPr>
          <w:p w14:paraId="012F3161" w14:textId="77777777" w:rsidR="00B24B98" w:rsidRPr="00B24B98" w:rsidRDefault="00B24B98" w:rsidP="00B24B98">
            <w:pPr>
              <w:spacing w:after="0" w:line="240" w:lineRule="auto"/>
              <w:rPr>
                <w:rFonts w:ascii="Calibri" w:eastAsia="Times New Roman" w:hAnsi="Calibri" w:cs="Calibri"/>
                <w:color w:val="000000"/>
                <w:lang w:eastAsia="en-GB"/>
              </w:rPr>
            </w:pPr>
            <w:r w:rsidRPr="00B24B98">
              <w:rPr>
                <w:rFonts w:ascii="Calibri" w:eastAsia="Times New Roman" w:hAnsi="Calibri" w:cs="Calibri"/>
                <w:color w:val="000000"/>
                <w:lang w:eastAsia="en-GB"/>
              </w:rPr>
              <w:t>NASAL PREPARATIONS</w:t>
            </w:r>
          </w:p>
        </w:tc>
        <w:tc>
          <w:tcPr>
            <w:tcW w:w="600" w:type="dxa"/>
            <w:tcBorders>
              <w:top w:val="nil"/>
              <w:left w:val="nil"/>
              <w:bottom w:val="single" w:sz="4" w:space="0" w:color="auto"/>
              <w:right w:val="single" w:sz="4" w:space="0" w:color="auto"/>
            </w:tcBorders>
            <w:shd w:val="clear" w:color="auto" w:fill="auto"/>
            <w:noWrap/>
            <w:vAlign w:val="center"/>
            <w:hideMark/>
          </w:tcPr>
          <w:p w14:paraId="0A861601" w14:textId="77777777" w:rsidR="00B24B98" w:rsidRPr="00B24B98" w:rsidRDefault="00B24B98" w:rsidP="00B24B98">
            <w:pPr>
              <w:spacing w:after="0" w:line="240" w:lineRule="auto"/>
              <w:jc w:val="right"/>
              <w:rPr>
                <w:rFonts w:ascii="Calibri" w:eastAsia="Times New Roman" w:hAnsi="Calibri" w:cs="Calibri"/>
                <w:color w:val="000000"/>
                <w:lang w:eastAsia="en-GB"/>
              </w:rPr>
            </w:pPr>
            <w:r w:rsidRPr="00B24B98">
              <w:rPr>
                <w:rFonts w:ascii="Calibri" w:eastAsia="Times New Roman" w:hAnsi="Calibri" w:cs="Calibri"/>
                <w:color w:val="000000"/>
                <w:lang w:eastAsia="en-GB"/>
              </w:rPr>
              <w:t>15</w:t>
            </w:r>
          </w:p>
        </w:tc>
        <w:tc>
          <w:tcPr>
            <w:tcW w:w="960" w:type="dxa"/>
            <w:tcBorders>
              <w:top w:val="nil"/>
              <w:left w:val="nil"/>
              <w:bottom w:val="single" w:sz="4" w:space="0" w:color="auto"/>
              <w:right w:val="single" w:sz="4" w:space="0" w:color="auto"/>
            </w:tcBorders>
            <w:shd w:val="clear" w:color="auto" w:fill="auto"/>
            <w:noWrap/>
            <w:vAlign w:val="bottom"/>
            <w:hideMark/>
          </w:tcPr>
          <w:p w14:paraId="5506EDF1" w14:textId="77777777" w:rsidR="00B24B98" w:rsidRPr="00B24B98" w:rsidRDefault="00B24B98" w:rsidP="00B24B98">
            <w:pPr>
              <w:spacing w:after="0" w:line="240" w:lineRule="auto"/>
              <w:jc w:val="right"/>
              <w:rPr>
                <w:rFonts w:ascii="Calibri" w:eastAsia="Times New Roman" w:hAnsi="Calibri" w:cs="Calibri"/>
                <w:color w:val="000000"/>
                <w:lang w:eastAsia="en-GB"/>
              </w:rPr>
            </w:pPr>
            <w:r w:rsidRPr="00B24B98">
              <w:rPr>
                <w:rFonts w:ascii="Calibri" w:eastAsia="Times New Roman" w:hAnsi="Calibri" w:cs="Calibri"/>
                <w:color w:val="000000"/>
                <w:lang w:eastAsia="en-GB"/>
              </w:rPr>
              <w:t>0.63%</w:t>
            </w:r>
          </w:p>
        </w:tc>
      </w:tr>
      <w:tr w:rsidR="00B24B98" w:rsidRPr="00B24B98" w14:paraId="3E21E877" w14:textId="77777777" w:rsidTr="00B24B98">
        <w:trPr>
          <w:trHeight w:val="290"/>
        </w:trPr>
        <w:tc>
          <w:tcPr>
            <w:tcW w:w="673" w:type="dxa"/>
            <w:tcBorders>
              <w:top w:val="nil"/>
              <w:left w:val="single" w:sz="4" w:space="0" w:color="auto"/>
              <w:bottom w:val="single" w:sz="4" w:space="0" w:color="auto"/>
              <w:right w:val="single" w:sz="4" w:space="0" w:color="auto"/>
            </w:tcBorders>
            <w:shd w:val="clear" w:color="auto" w:fill="auto"/>
            <w:noWrap/>
            <w:vAlign w:val="bottom"/>
            <w:hideMark/>
          </w:tcPr>
          <w:p w14:paraId="76D4019C" w14:textId="77777777" w:rsidR="00B24B98" w:rsidRPr="00B24B98" w:rsidRDefault="00B24B98" w:rsidP="00B24B98">
            <w:pPr>
              <w:spacing w:after="0" w:line="240" w:lineRule="auto"/>
              <w:jc w:val="right"/>
              <w:rPr>
                <w:rFonts w:ascii="Calibri" w:eastAsia="Times New Roman" w:hAnsi="Calibri" w:cs="Calibri"/>
                <w:color w:val="000000"/>
                <w:lang w:eastAsia="en-GB"/>
              </w:rPr>
            </w:pPr>
            <w:r w:rsidRPr="00B24B98">
              <w:rPr>
                <w:rFonts w:ascii="Calibri" w:eastAsia="Times New Roman" w:hAnsi="Calibri" w:cs="Calibri"/>
                <w:color w:val="000000"/>
                <w:lang w:eastAsia="en-GB"/>
              </w:rPr>
              <w:t>24</w:t>
            </w:r>
          </w:p>
        </w:tc>
        <w:tc>
          <w:tcPr>
            <w:tcW w:w="1180" w:type="dxa"/>
            <w:tcBorders>
              <w:top w:val="nil"/>
              <w:left w:val="nil"/>
              <w:bottom w:val="single" w:sz="4" w:space="0" w:color="auto"/>
              <w:right w:val="single" w:sz="4" w:space="0" w:color="auto"/>
            </w:tcBorders>
            <w:shd w:val="clear" w:color="auto" w:fill="auto"/>
            <w:noWrap/>
            <w:vAlign w:val="center"/>
            <w:hideMark/>
          </w:tcPr>
          <w:p w14:paraId="3E4EC4C5" w14:textId="77777777" w:rsidR="00B24B98" w:rsidRPr="00B24B98" w:rsidRDefault="00B24B98" w:rsidP="00B24B98">
            <w:pPr>
              <w:spacing w:after="0" w:line="240" w:lineRule="auto"/>
              <w:rPr>
                <w:rFonts w:ascii="Calibri" w:eastAsia="Times New Roman" w:hAnsi="Calibri" w:cs="Calibri"/>
                <w:color w:val="000000"/>
                <w:lang w:eastAsia="en-GB"/>
              </w:rPr>
            </w:pPr>
            <w:r w:rsidRPr="00B24B98">
              <w:rPr>
                <w:rFonts w:ascii="Calibri" w:eastAsia="Times New Roman" w:hAnsi="Calibri" w:cs="Calibri"/>
                <w:color w:val="000000"/>
                <w:lang w:eastAsia="en-GB"/>
              </w:rPr>
              <w:t>S02</w:t>
            </w:r>
          </w:p>
        </w:tc>
        <w:tc>
          <w:tcPr>
            <w:tcW w:w="4521" w:type="dxa"/>
            <w:tcBorders>
              <w:top w:val="nil"/>
              <w:left w:val="nil"/>
              <w:bottom w:val="single" w:sz="4" w:space="0" w:color="auto"/>
              <w:right w:val="single" w:sz="4" w:space="0" w:color="auto"/>
            </w:tcBorders>
            <w:shd w:val="clear" w:color="auto" w:fill="auto"/>
            <w:noWrap/>
            <w:vAlign w:val="center"/>
            <w:hideMark/>
          </w:tcPr>
          <w:p w14:paraId="6EDF8039" w14:textId="77777777" w:rsidR="00B24B98" w:rsidRPr="00B24B98" w:rsidRDefault="00B24B98" w:rsidP="00B24B98">
            <w:pPr>
              <w:spacing w:after="0" w:line="240" w:lineRule="auto"/>
              <w:rPr>
                <w:rFonts w:ascii="Calibri" w:eastAsia="Times New Roman" w:hAnsi="Calibri" w:cs="Calibri"/>
                <w:color w:val="000000"/>
                <w:lang w:eastAsia="en-GB"/>
              </w:rPr>
            </w:pPr>
            <w:r w:rsidRPr="00B24B98">
              <w:rPr>
                <w:rFonts w:ascii="Calibri" w:eastAsia="Times New Roman" w:hAnsi="Calibri" w:cs="Calibri"/>
                <w:color w:val="000000"/>
                <w:lang w:eastAsia="en-GB"/>
              </w:rPr>
              <w:t>OTOLOGICALS</w:t>
            </w:r>
          </w:p>
        </w:tc>
        <w:tc>
          <w:tcPr>
            <w:tcW w:w="600" w:type="dxa"/>
            <w:tcBorders>
              <w:top w:val="nil"/>
              <w:left w:val="nil"/>
              <w:bottom w:val="single" w:sz="4" w:space="0" w:color="auto"/>
              <w:right w:val="single" w:sz="4" w:space="0" w:color="auto"/>
            </w:tcBorders>
            <w:shd w:val="clear" w:color="auto" w:fill="auto"/>
            <w:noWrap/>
            <w:vAlign w:val="center"/>
            <w:hideMark/>
          </w:tcPr>
          <w:p w14:paraId="0F46EF90" w14:textId="77777777" w:rsidR="00B24B98" w:rsidRPr="00B24B98" w:rsidRDefault="00B24B98" w:rsidP="00B24B98">
            <w:pPr>
              <w:spacing w:after="0" w:line="240" w:lineRule="auto"/>
              <w:jc w:val="right"/>
              <w:rPr>
                <w:rFonts w:ascii="Calibri" w:eastAsia="Times New Roman" w:hAnsi="Calibri" w:cs="Calibri"/>
                <w:color w:val="000000"/>
                <w:lang w:eastAsia="en-GB"/>
              </w:rPr>
            </w:pPr>
            <w:r w:rsidRPr="00B24B98">
              <w:rPr>
                <w:rFonts w:ascii="Calibri" w:eastAsia="Times New Roman" w:hAnsi="Calibri" w:cs="Calibri"/>
                <w:color w:val="000000"/>
                <w:lang w:eastAsia="en-GB"/>
              </w:rPr>
              <w:t>11</w:t>
            </w:r>
          </w:p>
        </w:tc>
        <w:tc>
          <w:tcPr>
            <w:tcW w:w="960" w:type="dxa"/>
            <w:tcBorders>
              <w:top w:val="nil"/>
              <w:left w:val="nil"/>
              <w:bottom w:val="single" w:sz="4" w:space="0" w:color="auto"/>
              <w:right w:val="single" w:sz="4" w:space="0" w:color="auto"/>
            </w:tcBorders>
            <w:shd w:val="clear" w:color="auto" w:fill="auto"/>
            <w:noWrap/>
            <w:vAlign w:val="bottom"/>
            <w:hideMark/>
          </w:tcPr>
          <w:p w14:paraId="2F612DAC" w14:textId="77777777" w:rsidR="00B24B98" w:rsidRPr="00B24B98" w:rsidRDefault="00B24B98" w:rsidP="00B24B98">
            <w:pPr>
              <w:spacing w:after="0" w:line="240" w:lineRule="auto"/>
              <w:jc w:val="right"/>
              <w:rPr>
                <w:rFonts w:ascii="Calibri" w:eastAsia="Times New Roman" w:hAnsi="Calibri" w:cs="Calibri"/>
                <w:color w:val="000000"/>
                <w:lang w:eastAsia="en-GB"/>
              </w:rPr>
            </w:pPr>
            <w:r w:rsidRPr="00B24B98">
              <w:rPr>
                <w:rFonts w:ascii="Calibri" w:eastAsia="Times New Roman" w:hAnsi="Calibri" w:cs="Calibri"/>
                <w:color w:val="000000"/>
                <w:lang w:eastAsia="en-GB"/>
              </w:rPr>
              <w:t>0.46%</w:t>
            </w:r>
          </w:p>
        </w:tc>
      </w:tr>
      <w:tr w:rsidR="00B24B98" w:rsidRPr="00B24B98" w14:paraId="44E0587D" w14:textId="77777777" w:rsidTr="00B24B98">
        <w:trPr>
          <w:trHeight w:val="290"/>
        </w:trPr>
        <w:tc>
          <w:tcPr>
            <w:tcW w:w="673" w:type="dxa"/>
            <w:tcBorders>
              <w:top w:val="nil"/>
              <w:left w:val="single" w:sz="4" w:space="0" w:color="auto"/>
              <w:bottom w:val="single" w:sz="4" w:space="0" w:color="auto"/>
              <w:right w:val="single" w:sz="4" w:space="0" w:color="auto"/>
            </w:tcBorders>
            <w:shd w:val="clear" w:color="auto" w:fill="auto"/>
            <w:noWrap/>
            <w:vAlign w:val="bottom"/>
            <w:hideMark/>
          </w:tcPr>
          <w:p w14:paraId="35DFF3EC" w14:textId="77777777" w:rsidR="00B24B98" w:rsidRPr="00B24B98" w:rsidRDefault="00B24B98" w:rsidP="00B24B98">
            <w:pPr>
              <w:spacing w:after="0" w:line="240" w:lineRule="auto"/>
              <w:jc w:val="right"/>
              <w:rPr>
                <w:rFonts w:ascii="Calibri" w:eastAsia="Times New Roman" w:hAnsi="Calibri" w:cs="Calibri"/>
                <w:color w:val="000000"/>
                <w:lang w:eastAsia="en-GB"/>
              </w:rPr>
            </w:pPr>
            <w:r w:rsidRPr="00B24B98">
              <w:rPr>
                <w:rFonts w:ascii="Calibri" w:eastAsia="Times New Roman" w:hAnsi="Calibri" w:cs="Calibri"/>
                <w:color w:val="000000"/>
                <w:lang w:eastAsia="en-GB"/>
              </w:rPr>
              <w:t>25</w:t>
            </w:r>
          </w:p>
        </w:tc>
        <w:tc>
          <w:tcPr>
            <w:tcW w:w="1180" w:type="dxa"/>
            <w:tcBorders>
              <w:top w:val="nil"/>
              <w:left w:val="nil"/>
              <w:bottom w:val="single" w:sz="4" w:space="0" w:color="auto"/>
              <w:right w:val="single" w:sz="4" w:space="0" w:color="auto"/>
            </w:tcBorders>
            <w:shd w:val="clear" w:color="auto" w:fill="auto"/>
            <w:noWrap/>
            <w:vAlign w:val="center"/>
            <w:hideMark/>
          </w:tcPr>
          <w:p w14:paraId="6B9D84A4" w14:textId="77777777" w:rsidR="00B24B98" w:rsidRPr="00B24B98" w:rsidRDefault="00B24B98" w:rsidP="00B24B98">
            <w:pPr>
              <w:spacing w:after="0" w:line="240" w:lineRule="auto"/>
              <w:rPr>
                <w:rFonts w:ascii="Calibri" w:eastAsia="Times New Roman" w:hAnsi="Calibri" w:cs="Calibri"/>
                <w:color w:val="000000"/>
                <w:lang w:eastAsia="en-GB"/>
              </w:rPr>
            </w:pPr>
            <w:r w:rsidRPr="00B24B98">
              <w:rPr>
                <w:rFonts w:ascii="Calibri" w:eastAsia="Times New Roman" w:hAnsi="Calibri" w:cs="Calibri"/>
                <w:color w:val="000000"/>
                <w:lang w:eastAsia="en-GB"/>
              </w:rPr>
              <w:t>M04</w:t>
            </w:r>
          </w:p>
        </w:tc>
        <w:tc>
          <w:tcPr>
            <w:tcW w:w="4521" w:type="dxa"/>
            <w:tcBorders>
              <w:top w:val="nil"/>
              <w:left w:val="nil"/>
              <w:bottom w:val="single" w:sz="4" w:space="0" w:color="auto"/>
              <w:right w:val="single" w:sz="4" w:space="0" w:color="auto"/>
            </w:tcBorders>
            <w:shd w:val="clear" w:color="auto" w:fill="auto"/>
            <w:noWrap/>
            <w:vAlign w:val="center"/>
            <w:hideMark/>
          </w:tcPr>
          <w:p w14:paraId="14F6749A" w14:textId="77777777" w:rsidR="00B24B98" w:rsidRPr="00B24B98" w:rsidRDefault="00B24B98" w:rsidP="00B24B98">
            <w:pPr>
              <w:spacing w:after="0" w:line="240" w:lineRule="auto"/>
              <w:rPr>
                <w:rFonts w:ascii="Calibri" w:eastAsia="Times New Roman" w:hAnsi="Calibri" w:cs="Calibri"/>
                <w:color w:val="000000"/>
                <w:lang w:eastAsia="en-GB"/>
              </w:rPr>
            </w:pPr>
            <w:r w:rsidRPr="00B24B98">
              <w:rPr>
                <w:rFonts w:ascii="Calibri" w:eastAsia="Times New Roman" w:hAnsi="Calibri" w:cs="Calibri"/>
                <w:color w:val="000000"/>
                <w:lang w:eastAsia="en-GB"/>
              </w:rPr>
              <w:t>ANTIGOUT PREPARATIONS</w:t>
            </w:r>
          </w:p>
        </w:tc>
        <w:tc>
          <w:tcPr>
            <w:tcW w:w="600" w:type="dxa"/>
            <w:tcBorders>
              <w:top w:val="nil"/>
              <w:left w:val="nil"/>
              <w:bottom w:val="single" w:sz="4" w:space="0" w:color="auto"/>
              <w:right w:val="single" w:sz="4" w:space="0" w:color="auto"/>
            </w:tcBorders>
            <w:shd w:val="clear" w:color="auto" w:fill="auto"/>
            <w:noWrap/>
            <w:vAlign w:val="center"/>
            <w:hideMark/>
          </w:tcPr>
          <w:p w14:paraId="4DE3F683" w14:textId="77777777" w:rsidR="00B24B98" w:rsidRPr="00B24B98" w:rsidRDefault="00B24B98" w:rsidP="00B24B98">
            <w:pPr>
              <w:spacing w:after="0" w:line="240" w:lineRule="auto"/>
              <w:jc w:val="right"/>
              <w:rPr>
                <w:rFonts w:ascii="Calibri" w:eastAsia="Times New Roman" w:hAnsi="Calibri" w:cs="Calibri"/>
                <w:color w:val="000000"/>
                <w:lang w:eastAsia="en-GB"/>
              </w:rPr>
            </w:pPr>
            <w:r w:rsidRPr="00B24B98">
              <w:rPr>
                <w:rFonts w:ascii="Calibri" w:eastAsia="Times New Roman" w:hAnsi="Calibri" w:cs="Calibri"/>
                <w:color w:val="000000"/>
                <w:lang w:eastAsia="en-GB"/>
              </w:rPr>
              <w:t>10</w:t>
            </w:r>
          </w:p>
        </w:tc>
        <w:tc>
          <w:tcPr>
            <w:tcW w:w="960" w:type="dxa"/>
            <w:tcBorders>
              <w:top w:val="nil"/>
              <w:left w:val="nil"/>
              <w:bottom w:val="single" w:sz="4" w:space="0" w:color="auto"/>
              <w:right w:val="single" w:sz="4" w:space="0" w:color="auto"/>
            </w:tcBorders>
            <w:shd w:val="clear" w:color="auto" w:fill="auto"/>
            <w:noWrap/>
            <w:vAlign w:val="bottom"/>
            <w:hideMark/>
          </w:tcPr>
          <w:p w14:paraId="3D74CCC4" w14:textId="77777777" w:rsidR="00B24B98" w:rsidRPr="00B24B98" w:rsidRDefault="00B24B98" w:rsidP="00B24B98">
            <w:pPr>
              <w:spacing w:after="0" w:line="240" w:lineRule="auto"/>
              <w:jc w:val="right"/>
              <w:rPr>
                <w:rFonts w:ascii="Calibri" w:eastAsia="Times New Roman" w:hAnsi="Calibri" w:cs="Calibri"/>
                <w:color w:val="000000"/>
                <w:lang w:eastAsia="en-GB"/>
              </w:rPr>
            </w:pPr>
            <w:r w:rsidRPr="00B24B98">
              <w:rPr>
                <w:rFonts w:ascii="Calibri" w:eastAsia="Times New Roman" w:hAnsi="Calibri" w:cs="Calibri"/>
                <w:color w:val="000000"/>
                <w:lang w:eastAsia="en-GB"/>
              </w:rPr>
              <w:t>0.42%</w:t>
            </w:r>
          </w:p>
        </w:tc>
      </w:tr>
      <w:tr w:rsidR="00B24B98" w:rsidRPr="00B24B98" w14:paraId="3E921DB4" w14:textId="77777777" w:rsidTr="00B24B98">
        <w:trPr>
          <w:trHeight w:val="290"/>
        </w:trPr>
        <w:tc>
          <w:tcPr>
            <w:tcW w:w="673" w:type="dxa"/>
            <w:tcBorders>
              <w:top w:val="nil"/>
              <w:left w:val="single" w:sz="4" w:space="0" w:color="auto"/>
              <w:bottom w:val="single" w:sz="4" w:space="0" w:color="auto"/>
              <w:right w:val="single" w:sz="4" w:space="0" w:color="auto"/>
            </w:tcBorders>
            <w:shd w:val="clear" w:color="auto" w:fill="auto"/>
            <w:noWrap/>
            <w:vAlign w:val="bottom"/>
            <w:hideMark/>
          </w:tcPr>
          <w:p w14:paraId="6DAF92B7" w14:textId="77777777" w:rsidR="00B24B98" w:rsidRPr="00B24B98" w:rsidRDefault="00B24B98" w:rsidP="00B24B98">
            <w:pPr>
              <w:spacing w:after="0" w:line="240" w:lineRule="auto"/>
              <w:jc w:val="right"/>
              <w:rPr>
                <w:rFonts w:ascii="Calibri" w:eastAsia="Times New Roman" w:hAnsi="Calibri" w:cs="Calibri"/>
                <w:color w:val="000000"/>
                <w:lang w:eastAsia="en-GB"/>
              </w:rPr>
            </w:pPr>
            <w:r w:rsidRPr="00B24B98">
              <w:rPr>
                <w:rFonts w:ascii="Calibri" w:eastAsia="Times New Roman" w:hAnsi="Calibri" w:cs="Calibri"/>
                <w:color w:val="000000"/>
                <w:lang w:eastAsia="en-GB"/>
              </w:rPr>
              <w:t>26</w:t>
            </w:r>
          </w:p>
        </w:tc>
        <w:tc>
          <w:tcPr>
            <w:tcW w:w="1180" w:type="dxa"/>
            <w:tcBorders>
              <w:top w:val="nil"/>
              <w:left w:val="nil"/>
              <w:bottom w:val="single" w:sz="4" w:space="0" w:color="auto"/>
              <w:right w:val="single" w:sz="4" w:space="0" w:color="auto"/>
            </w:tcBorders>
            <w:shd w:val="clear" w:color="auto" w:fill="auto"/>
            <w:noWrap/>
            <w:vAlign w:val="center"/>
            <w:hideMark/>
          </w:tcPr>
          <w:p w14:paraId="039C787C" w14:textId="77777777" w:rsidR="00B24B98" w:rsidRPr="00B24B98" w:rsidRDefault="00B24B98" w:rsidP="00B24B98">
            <w:pPr>
              <w:spacing w:after="0" w:line="240" w:lineRule="auto"/>
              <w:rPr>
                <w:rFonts w:ascii="Calibri" w:eastAsia="Times New Roman" w:hAnsi="Calibri" w:cs="Calibri"/>
                <w:color w:val="000000"/>
                <w:lang w:eastAsia="en-GB"/>
              </w:rPr>
            </w:pPr>
            <w:r w:rsidRPr="00B24B98">
              <w:rPr>
                <w:rFonts w:ascii="Calibri" w:eastAsia="Times New Roman" w:hAnsi="Calibri" w:cs="Calibri"/>
                <w:color w:val="000000"/>
                <w:lang w:eastAsia="en-GB"/>
              </w:rPr>
              <w:t>C****</w:t>
            </w:r>
          </w:p>
        </w:tc>
        <w:tc>
          <w:tcPr>
            <w:tcW w:w="4521" w:type="dxa"/>
            <w:tcBorders>
              <w:top w:val="nil"/>
              <w:left w:val="nil"/>
              <w:bottom w:val="single" w:sz="4" w:space="0" w:color="auto"/>
              <w:right w:val="single" w:sz="4" w:space="0" w:color="auto"/>
            </w:tcBorders>
            <w:shd w:val="clear" w:color="auto" w:fill="auto"/>
            <w:noWrap/>
            <w:vAlign w:val="center"/>
            <w:hideMark/>
          </w:tcPr>
          <w:p w14:paraId="24C6E638" w14:textId="77777777" w:rsidR="00B24B98" w:rsidRPr="00B24B98" w:rsidRDefault="00B24B98" w:rsidP="00B24B98">
            <w:pPr>
              <w:spacing w:after="0" w:line="240" w:lineRule="auto"/>
              <w:rPr>
                <w:rFonts w:ascii="Calibri" w:eastAsia="Times New Roman" w:hAnsi="Calibri" w:cs="Calibri"/>
                <w:color w:val="000000"/>
                <w:lang w:eastAsia="en-GB"/>
              </w:rPr>
            </w:pPr>
            <w:r w:rsidRPr="00B24B98">
              <w:rPr>
                <w:rFonts w:ascii="Calibri" w:eastAsia="Times New Roman" w:hAnsi="Calibri" w:cs="Calibri"/>
                <w:color w:val="000000"/>
                <w:lang w:eastAsia="en-GB"/>
              </w:rPr>
              <w:t xml:space="preserve">Not specified by paper </w:t>
            </w:r>
          </w:p>
        </w:tc>
        <w:tc>
          <w:tcPr>
            <w:tcW w:w="600" w:type="dxa"/>
            <w:tcBorders>
              <w:top w:val="nil"/>
              <w:left w:val="nil"/>
              <w:bottom w:val="single" w:sz="4" w:space="0" w:color="auto"/>
              <w:right w:val="single" w:sz="4" w:space="0" w:color="auto"/>
            </w:tcBorders>
            <w:shd w:val="clear" w:color="auto" w:fill="auto"/>
            <w:noWrap/>
            <w:vAlign w:val="center"/>
            <w:hideMark/>
          </w:tcPr>
          <w:p w14:paraId="7D7ABC85" w14:textId="77777777" w:rsidR="00B24B98" w:rsidRPr="00B24B98" w:rsidRDefault="00B24B98" w:rsidP="00B24B98">
            <w:pPr>
              <w:spacing w:after="0" w:line="240" w:lineRule="auto"/>
              <w:jc w:val="right"/>
              <w:rPr>
                <w:rFonts w:ascii="Calibri" w:eastAsia="Times New Roman" w:hAnsi="Calibri" w:cs="Calibri"/>
                <w:color w:val="000000"/>
                <w:lang w:eastAsia="en-GB"/>
              </w:rPr>
            </w:pPr>
            <w:r w:rsidRPr="00B24B98">
              <w:rPr>
                <w:rFonts w:ascii="Calibri" w:eastAsia="Times New Roman" w:hAnsi="Calibri" w:cs="Calibri"/>
                <w:color w:val="000000"/>
                <w:lang w:eastAsia="en-GB"/>
              </w:rPr>
              <w:t>8</w:t>
            </w:r>
          </w:p>
        </w:tc>
        <w:tc>
          <w:tcPr>
            <w:tcW w:w="960" w:type="dxa"/>
            <w:tcBorders>
              <w:top w:val="nil"/>
              <w:left w:val="nil"/>
              <w:bottom w:val="single" w:sz="4" w:space="0" w:color="auto"/>
              <w:right w:val="single" w:sz="4" w:space="0" w:color="auto"/>
            </w:tcBorders>
            <w:shd w:val="clear" w:color="auto" w:fill="auto"/>
            <w:noWrap/>
            <w:vAlign w:val="bottom"/>
            <w:hideMark/>
          </w:tcPr>
          <w:p w14:paraId="689F33C6" w14:textId="77777777" w:rsidR="00B24B98" w:rsidRPr="00B24B98" w:rsidRDefault="00B24B98" w:rsidP="00B24B98">
            <w:pPr>
              <w:spacing w:after="0" w:line="240" w:lineRule="auto"/>
              <w:jc w:val="right"/>
              <w:rPr>
                <w:rFonts w:ascii="Calibri" w:eastAsia="Times New Roman" w:hAnsi="Calibri" w:cs="Calibri"/>
                <w:color w:val="000000"/>
                <w:lang w:eastAsia="en-GB"/>
              </w:rPr>
            </w:pPr>
            <w:r w:rsidRPr="00B24B98">
              <w:rPr>
                <w:rFonts w:ascii="Calibri" w:eastAsia="Times New Roman" w:hAnsi="Calibri" w:cs="Calibri"/>
                <w:color w:val="000000"/>
                <w:lang w:eastAsia="en-GB"/>
              </w:rPr>
              <w:t>0.34%</w:t>
            </w:r>
          </w:p>
        </w:tc>
      </w:tr>
      <w:tr w:rsidR="00B24B98" w:rsidRPr="00B24B98" w14:paraId="3920FA64" w14:textId="77777777" w:rsidTr="00B24B98">
        <w:trPr>
          <w:trHeight w:val="290"/>
        </w:trPr>
        <w:tc>
          <w:tcPr>
            <w:tcW w:w="673" w:type="dxa"/>
            <w:tcBorders>
              <w:top w:val="nil"/>
              <w:left w:val="single" w:sz="4" w:space="0" w:color="auto"/>
              <w:bottom w:val="single" w:sz="4" w:space="0" w:color="auto"/>
              <w:right w:val="single" w:sz="4" w:space="0" w:color="auto"/>
            </w:tcBorders>
            <w:shd w:val="clear" w:color="auto" w:fill="auto"/>
            <w:noWrap/>
            <w:vAlign w:val="bottom"/>
            <w:hideMark/>
          </w:tcPr>
          <w:p w14:paraId="068A5604" w14:textId="77777777" w:rsidR="00B24B98" w:rsidRPr="00B24B98" w:rsidRDefault="00B24B98" w:rsidP="00B24B98">
            <w:pPr>
              <w:spacing w:after="0" w:line="240" w:lineRule="auto"/>
              <w:jc w:val="right"/>
              <w:rPr>
                <w:rFonts w:ascii="Calibri" w:eastAsia="Times New Roman" w:hAnsi="Calibri" w:cs="Calibri"/>
                <w:color w:val="000000"/>
                <w:lang w:eastAsia="en-GB"/>
              </w:rPr>
            </w:pPr>
            <w:r w:rsidRPr="00B24B98">
              <w:rPr>
                <w:rFonts w:ascii="Calibri" w:eastAsia="Times New Roman" w:hAnsi="Calibri" w:cs="Calibri"/>
                <w:color w:val="000000"/>
                <w:lang w:eastAsia="en-GB"/>
              </w:rPr>
              <w:t>27</w:t>
            </w:r>
          </w:p>
        </w:tc>
        <w:tc>
          <w:tcPr>
            <w:tcW w:w="1180" w:type="dxa"/>
            <w:tcBorders>
              <w:top w:val="nil"/>
              <w:left w:val="nil"/>
              <w:bottom w:val="single" w:sz="4" w:space="0" w:color="auto"/>
              <w:right w:val="single" w:sz="4" w:space="0" w:color="auto"/>
            </w:tcBorders>
            <w:shd w:val="clear" w:color="auto" w:fill="auto"/>
            <w:noWrap/>
            <w:vAlign w:val="center"/>
            <w:hideMark/>
          </w:tcPr>
          <w:p w14:paraId="04127FD8" w14:textId="77777777" w:rsidR="00B24B98" w:rsidRPr="00B24B98" w:rsidRDefault="00B24B98" w:rsidP="00B24B98">
            <w:pPr>
              <w:spacing w:after="0" w:line="240" w:lineRule="auto"/>
              <w:rPr>
                <w:rFonts w:ascii="Calibri" w:eastAsia="Times New Roman" w:hAnsi="Calibri" w:cs="Calibri"/>
                <w:color w:val="000000"/>
                <w:lang w:eastAsia="en-GB"/>
              </w:rPr>
            </w:pPr>
            <w:r w:rsidRPr="00B24B98">
              <w:rPr>
                <w:rFonts w:ascii="Calibri" w:eastAsia="Times New Roman" w:hAnsi="Calibri" w:cs="Calibri"/>
                <w:color w:val="000000"/>
                <w:lang w:eastAsia="en-GB"/>
              </w:rPr>
              <w:t>C10</w:t>
            </w:r>
          </w:p>
        </w:tc>
        <w:tc>
          <w:tcPr>
            <w:tcW w:w="4521" w:type="dxa"/>
            <w:tcBorders>
              <w:top w:val="nil"/>
              <w:left w:val="nil"/>
              <w:bottom w:val="single" w:sz="4" w:space="0" w:color="auto"/>
              <w:right w:val="single" w:sz="4" w:space="0" w:color="auto"/>
            </w:tcBorders>
            <w:shd w:val="clear" w:color="auto" w:fill="auto"/>
            <w:noWrap/>
            <w:vAlign w:val="center"/>
            <w:hideMark/>
          </w:tcPr>
          <w:p w14:paraId="54BF3146" w14:textId="77777777" w:rsidR="00B24B98" w:rsidRPr="00B24B98" w:rsidRDefault="00B24B98" w:rsidP="00B24B98">
            <w:pPr>
              <w:spacing w:after="0" w:line="240" w:lineRule="auto"/>
              <w:rPr>
                <w:rFonts w:ascii="Calibri" w:eastAsia="Times New Roman" w:hAnsi="Calibri" w:cs="Calibri"/>
                <w:color w:val="000000"/>
                <w:lang w:eastAsia="en-GB"/>
              </w:rPr>
            </w:pPr>
            <w:r w:rsidRPr="00B24B98">
              <w:rPr>
                <w:rFonts w:ascii="Calibri" w:eastAsia="Times New Roman" w:hAnsi="Calibri" w:cs="Calibri"/>
                <w:color w:val="000000"/>
                <w:lang w:eastAsia="en-GB"/>
              </w:rPr>
              <w:t>LIPID MODIFYING AGENTS</w:t>
            </w:r>
          </w:p>
        </w:tc>
        <w:tc>
          <w:tcPr>
            <w:tcW w:w="600" w:type="dxa"/>
            <w:tcBorders>
              <w:top w:val="nil"/>
              <w:left w:val="nil"/>
              <w:bottom w:val="single" w:sz="4" w:space="0" w:color="auto"/>
              <w:right w:val="single" w:sz="4" w:space="0" w:color="auto"/>
            </w:tcBorders>
            <w:shd w:val="clear" w:color="auto" w:fill="auto"/>
            <w:noWrap/>
            <w:vAlign w:val="center"/>
            <w:hideMark/>
          </w:tcPr>
          <w:p w14:paraId="45D21FEC" w14:textId="77777777" w:rsidR="00B24B98" w:rsidRPr="00B24B98" w:rsidRDefault="00B24B98" w:rsidP="00B24B98">
            <w:pPr>
              <w:spacing w:after="0" w:line="240" w:lineRule="auto"/>
              <w:jc w:val="right"/>
              <w:rPr>
                <w:rFonts w:ascii="Calibri" w:eastAsia="Times New Roman" w:hAnsi="Calibri" w:cs="Calibri"/>
                <w:color w:val="000000"/>
                <w:lang w:eastAsia="en-GB"/>
              </w:rPr>
            </w:pPr>
            <w:r w:rsidRPr="00B24B98">
              <w:rPr>
                <w:rFonts w:ascii="Calibri" w:eastAsia="Times New Roman" w:hAnsi="Calibri" w:cs="Calibri"/>
                <w:color w:val="000000"/>
                <w:lang w:eastAsia="en-GB"/>
              </w:rPr>
              <w:t>7</w:t>
            </w:r>
          </w:p>
        </w:tc>
        <w:tc>
          <w:tcPr>
            <w:tcW w:w="960" w:type="dxa"/>
            <w:tcBorders>
              <w:top w:val="nil"/>
              <w:left w:val="nil"/>
              <w:bottom w:val="single" w:sz="4" w:space="0" w:color="auto"/>
              <w:right w:val="single" w:sz="4" w:space="0" w:color="auto"/>
            </w:tcBorders>
            <w:shd w:val="clear" w:color="auto" w:fill="auto"/>
            <w:noWrap/>
            <w:vAlign w:val="bottom"/>
            <w:hideMark/>
          </w:tcPr>
          <w:p w14:paraId="291F843E" w14:textId="77777777" w:rsidR="00B24B98" w:rsidRPr="00B24B98" w:rsidRDefault="00B24B98" w:rsidP="00B24B98">
            <w:pPr>
              <w:spacing w:after="0" w:line="240" w:lineRule="auto"/>
              <w:jc w:val="right"/>
              <w:rPr>
                <w:rFonts w:ascii="Calibri" w:eastAsia="Times New Roman" w:hAnsi="Calibri" w:cs="Calibri"/>
                <w:color w:val="000000"/>
                <w:lang w:eastAsia="en-GB"/>
              </w:rPr>
            </w:pPr>
            <w:r w:rsidRPr="00B24B98">
              <w:rPr>
                <w:rFonts w:ascii="Calibri" w:eastAsia="Times New Roman" w:hAnsi="Calibri" w:cs="Calibri"/>
                <w:color w:val="000000"/>
                <w:lang w:eastAsia="en-GB"/>
              </w:rPr>
              <w:t>0.29%</w:t>
            </w:r>
          </w:p>
        </w:tc>
      </w:tr>
      <w:tr w:rsidR="00B24B98" w:rsidRPr="00B24B98" w14:paraId="17BEBB8C" w14:textId="77777777" w:rsidTr="00B24B98">
        <w:trPr>
          <w:trHeight w:val="290"/>
        </w:trPr>
        <w:tc>
          <w:tcPr>
            <w:tcW w:w="673" w:type="dxa"/>
            <w:tcBorders>
              <w:top w:val="nil"/>
              <w:left w:val="single" w:sz="4" w:space="0" w:color="auto"/>
              <w:bottom w:val="single" w:sz="4" w:space="0" w:color="auto"/>
              <w:right w:val="single" w:sz="4" w:space="0" w:color="auto"/>
            </w:tcBorders>
            <w:shd w:val="clear" w:color="auto" w:fill="auto"/>
            <w:noWrap/>
            <w:vAlign w:val="bottom"/>
            <w:hideMark/>
          </w:tcPr>
          <w:p w14:paraId="4132AD30" w14:textId="77777777" w:rsidR="00B24B98" w:rsidRPr="00B24B98" w:rsidRDefault="00B24B98" w:rsidP="00B24B98">
            <w:pPr>
              <w:spacing w:after="0" w:line="240" w:lineRule="auto"/>
              <w:jc w:val="right"/>
              <w:rPr>
                <w:rFonts w:ascii="Calibri" w:eastAsia="Times New Roman" w:hAnsi="Calibri" w:cs="Calibri"/>
                <w:color w:val="000000"/>
                <w:lang w:eastAsia="en-GB"/>
              </w:rPr>
            </w:pPr>
            <w:r w:rsidRPr="00B24B98">
              <w:rPr>
                <w:rFonts w:ascii="Calibri" w:eastAsia="Times New Roman" w:hAnsi="Calibri" w:cs="Calibri"/>
                <w:color w:val="000000"/>
                <w:lang w:eastAsia="en-GB"/>
              </w:rPr>
              <w:t>28</w:t>
            </w:r>
          </w:p>
        </w:tc>
        <w:tc>
          <w:tcPr>
            <w:tcW w:w="1180" w:type="dxa"/>
            <w:tcBorders>
              <w:top w:val="nil"/>
              <w:left w:val="nil"/>
              <w:bottom w:val="single" w:sz="4" w:space="0" w:color="auto"/>
              <w:right w:val="single" w:sz="4" w:space="0" w:color="auto"/>
            </w:tcBorders>
            <w:shd w:val="clear" w:color="auto" w:fill="auto"/>
            <w:noWrap/>
            <w:vAlign w:val="center"/>
            <w:hideMark/>
          </w:tcPr>
          <w:p w14:paraId="502AE2A1" w14:textId="77777777" w:rsidR="00B24B98" w:rsidRPr="00B24B98" w:rsidRDefault="00B24B98" w:rsidP="00B24B98">
            <w:pPr>
              <w:spacing w:after="0" w:line="240" w:lineRule="auto"/>
              <w:rPr>
                <w:rFonts w:ascii="Calibri" w:eastAsia="Times New Roman" w:hAnsi="Calibri" w:cs="Calibri"/>
                <w:color w:val="000000"/>
                <w:lang w:eastAsia="en-GB"/>
              </w:rPr>
            </w:pPr>
            <w:r w:rsidRPr="00B24B98">
              <w:rPr>
                <w:rFonts w:ascii="Calibri" w:eastAsia="Times New Roman" w:hAnsi="Calibri" w:cs="Calibri"/>
                <w:color w:val="000000"/>
                <w:lang w:eastAsia="en-GB"/>
              </w:rPr>
              <w:t>M05</w:t>
            </w:r>
          </w:p>
        </w:tc>
        <w:tc>
          <w:tcPr>
            <w:tcW w:w="4521" w:type="dxa"/>
            <w:tcBorders>
              <w:top w:val="nil"/>
              <w:left w:val="nil"/>
              <w:bottom w:val="single" w:sz="4" w:space="0" w:color="auto"/>
              <w:right w:val="single" w:sz="4" w:space="0" w:color="auto"/>
            </w:tcBorders>
            <w:shd w:val="clear" w:color="auto" w:fill="auto"/>
            <w:noWrap/>
            <w:vAlign w:val="center"/>
            <w:hideMark/>
          </w:tcPr>
          <w:p w14:paraId="18450C50" w14:textId="77777777" w:rsidR="00B24B98" w:rsidRPr="00B24B98" w:rsidRDefault="00B24B98" w:rsidP="00B24B98">
            <w:pPr>
              <w:spacing w:after="0" w:line="240" w:lineRule="auto"/>
              <w:rPr>
                <w:rFonts w:ascii="Calibri" w:eastAsia="Times New Roman" w:hAnsi="Calibri" w:cs="Calibri"/>
                <w:color w:val="000000"/>
                <w:lang w:eastAsia="en-GB"/>
              </w:rPr>
            </w:pPr>
            <w:r w:rsidRPr="00B24B98">
              <w:rPr>
                <w:rFonts w:ascii="Calibri" w:eastAsia="Times New Roman" w:hAnsi="Calibri" w:cs="Calibri"/>
                <w:color w:val="000000"/>
                <w:lang w:eastAsia="en-GB"/>
              </w:rPr>
              <w:t>DRUGS FOR TREATMENT OF BONE DISEASES</w:t>
            </w:r>
          </w:p>
        </w:tc>
        <w:tc>
          <w:tcPr>
            <w:tcW w:w="600" w:type="dxa"/>
            <w:tcBorders>
              <w:top w:val="nil"/>
              <w:left w:val="nil"/>
              <w:bottom w:val="single" w:sz="4" w:space="0" w:color="auto"/>
              <w:right w:val="single" w:sz="4" w:space="0" w:color="auto"/>
            </w:tcBorders>
            <w:shd w:val="clear" w:color="auto" w:fill="auto"/>
            <w:noWrap/>
            <w:vAlign w:val="center"/>
            <w:hideMark/>
          </w:tcPr>
          <w:p w14:paraId="2BF61A07" w14:textId="77777777" w:rsidR="00B24B98" w:rsidRPr="00B24B98" w:rsidRDefault="00B24B98" w:rsidP="00B24B98">
            <w:pPr>
              <w:spacing w:after="0" w:line="240" w:lineRule="auto"/>
              <w:jc w:val="right"/>
              <w:rPr>
                <w:rFonts w:ascii="Calibri" w:eastAsia="Times New Roman" w:hAnsi="Calibri" w:cs="Calibri"/>
                <w:color w:val="000000"/>
                <w:lang w:eastAsia="en-GB"/>
              </w:rPr>
            </w:pPr>
            <w:r w:rsidRPr="00B24B98">
              <w:rPr>
                <w:rFonts w:ascii="Calibri" w:eastAsia="Times New Roman" w:hAnsi="Calibri" w:cs="Calibri"/>
                <w:color w:val="000000"/>
                <w:lang w:eastAsia="en-GB"/>
              </w:rPr>
              <w:t>6</w:t>
            </w:r>
          </w:p>
        </w:tc>
        <w:tc>
          <w:tcPr>
            <w:tcW w:w="960" w:type="dxa"/>
            <w:tcBorders>
              <w:top w:val="nil"/>
              <w:left w:val="nil"/>
              <w:bottom w:val="single" w:sz="4" w:space="0" w:color="auto"/>
              <w:right w:val="single" w:sz="4" w:space="0" w:color="auto"/>
            </w:tcBorders>
            <w:shd w:val="clear" w:color="auto" w:fill="auto"/>
            <w:noWrap/>
            <w:vAlign w:val="bottom"/>
            <w:hideMark/>
          </w:tcPr>
          <w:p w14:paraId="1B514487" w14:textId="77777777" w:rsidR="00B24B98" w:rsidRPr="00B24B98" w:rsidRDefault="00B24B98" w:rsidP="00B24B98">
            <w:pPr>
              <w:spacing w:after="0" w:line="240" w:lineRule="auto"/>
              <w:jc w:val="right"/>
              <w:rPr>
                <w:rFonts w:ascii="Calibri" w:eastAsia="Times New Roman" w:hAnsi="Calibri" w:cs="Calibri"/>
                <w:color w:val="000000"/>
                <w:lang w:eastAsia="en-GB"/>
              </w:rPr>
            </w:pPr>
            <w:r w:rsidRPr="00B24B98">
              <w:rPr>
                <w:rFonts w:ascii="Calibri" w:eastAsia="Times New Roman" w:hAnsi="Calibri" w:cs="Calibri"/>
                <w:color w:val="000000"/>
                <w:lang w:eastAsia="en-GB"/>
              </w:rPr>
              <w:t>0.25%</w:t>
            </w:r>
          </w:p>
        </w:tc>
      </w:tr>
      <w:tr w:rsidR="00B24B98" w:rsidRPr="00B24B98" w14:paraId="3E357E9B" w14:textId="77777777" w:rsidTr="00B24B98">
        <w:trPr>
          <w:trHeight w:val="290"/>
        </w:trPr>
        <w:tc>
          <w:tcPr>
            <w:tcW w:w="673" w:type="dxa"/>
            <w:tcBorders>
              <w:top w:val="nil"/>
              <w:left w:val="single" w:sz="4" w:space="0" w:color="auto"/>
              <w:bottom w:val="single" w:sz="4" w:space="0" w:color="auto"/>
              <w:right w:val="single" w:sz="4" w:space="0" w:color="auto"/>
            </w:tcBorders>
            <w:shd w:val="clear" w:color="auto" w:fill="auto"/>
            <w:noWrap/>
            <w:vAlign w:val="bottom"/>
            <w:hideMark/>
          </w:tcPr>
          <w:p w14:paraId="0B2DAECC" w14:textId="77777777" w:rsidR="00B24B98" w:rsidRPr="00B24B98" w:rsidRDefault="00B24B98" w:rsidP="00B24B98">
            <w:pPr>
              <w:spacing w:after="0" w:line="240" w:lineRule="auto"/>
              <w:jc w:val="right"/>
              <w:rPr>
                <w:rFonts w:ascii="Calibri" w:eastAsia="Times New Roman" w:hAnsi="Calibri" w:cs="Calibri"/>
                <w:color w:val="000000"/>
                <w:lang w:eastAsia="en-GB"/>
              </w:rPr>
            </w:pPr>
            <w:r w:rsidRPr="00B24B98">
              <w:rPr>
                <w:rFonts w:ascii="Calibri" w:eastAsia="Times New Roman" w:hAnsi="Calibri" w:cs="Calibri"/>
                <w:color w:val="000000"/>
                <w:lang w:eastAsia="en-GB"/>
              </w:rPr>
              <w:t>29</w:t>
            </w:r>
          </w:p>
        </w:tc>
        <w:tc>
          <w:tcPr>
            <w:tcW w:w="1180" w:type="dxa"/>
            <w:tcBorders>
              <w:top w:val="nil"/>
              <w:left w:val="nil"/>
              <w:bottom w:val="single" w:sz="4" w:space="0" w:color="auto"/>
              <w:right w:val="single" w:sz="4" w:space="0" w:color="auto"/>
            </w:tcBorders>
            <w:shd w:val="clear" w:color="auto" w:fill="auto"/>
            <w:noWrap/>
            <w:vAlign w:val="center"/>
            <w:hideMark/>
          </w:tcPr>
          <w:p w14:paraId="72977FC7" w14:textId="77777777" w:rsidR="00B24B98" w:rsidRPr="00B24B98" w:rsidRDefault="00B24B98" w:rsidP="00B24B98">
            <w:pPr>
              <w:spacing w:after="0" w:line="240" w:lineRule="auto"/>
              <w:rPr>
                <w:rFonts w:ascii="Calibri" w:eastAsia="Times New Roman" w:hAnsi="Calibri" w:cs="Calibri"/>
                <w:color w:val="000000"/>
                <w:lang w:eastAsia="en-GB"/>
              </w:rPr>
            </w:pPr>
            <w:r w:rsidRPr="00B24B98">
              <w:rPr>
                <w:rFonts w:ascii="Calibri" w:eastAsia="Times New Roman" w:hAnsi="Calibri" w:cs="Calibri"/>
                <w:color w:val="000000"/>
                <w:lang w:eastAsia="en-GB"/>
              </w:rPr>
              <w:t>N07</w:t>
            </w:r>
          </w:p>
        </w:tc>
        <w:tc>
          <w:tcPr>
            <w:tcW w:w="4521" w:type="dxa"/>
            <w:tcBorders>
              <w:top w:val="nil"/>
              <w:left w:val="nil"/>
              <w:bottom w:val="single" w:sz="4" w:space="0" w:color="auto"/>
              <w:right w:val="single" w:sz="4" w:space="0" w:color="auto"/>
            </w:tcBorders>
            <w:shd w:val="clear" w:color="auto" w:fill="auto"/>
            <w:noWrap/>
            <w:vAlign w:val="center"/>
            <w:hideMark/>
          </w:tcPr>
          <w:p w14:paraId="390DF3EC" w14:textId="77777777" w:rsidR="00B24B98" w:rsidRPr="00B24B98" w:rsidRDefault="00B24B98" w:rsidP="00B24B98">
            <w:pPr>
              <w:spacing w:after="0" w:line="240" w:lineRule="auto"/>
              <w:rPr>
                <w:rFonts w:ascii="Calibri" w:eastAsia="Times New Roman" w:hAnsi="Calibri" w:cs="Calibri"/>
                <w:color w:val="000000"/>
                <w:lang w:eastAsia="en-GB"/>
              </w:rPr>
            </w:pPr>
            <w:r w:rsidRPr="00B24B98">
              <w:rPr>
                <w:rFonts w:ascii="Calibri" w:eastAsia="Times New Roman" w:hAnsi="Calibri" w:cs="Calibri"/>
                <w:color w:val="000000"/>
                <w:lang w:eastAsia="en-GB"/>
              </w:rPr>
              <w:t>OTHER NERVOUS SYSTEM DRUGS</w:t>
            </w:r>
          </w:p>
        </w:tc>
        <w:tc>
          <w:tcPr>
            <w:tcW w:w="600" w:type="dxa"/>
            <w:tcBorders>
              <w:top w:val="nil"/>
              <w:left w:val="nil"/>
              <w:bottom w:val="single" w:sz="4" w:space="0" w:color="auto"/>
              <w:right w:val="single" w:sz="4" w:space="0" w:color="auto"/>
            </w:tcBorders>
            <w:shd w:val="clear" w:color="auto" w:fill="auto"/>
            <w:noWrap/>
            <w:vAlign w:val="center"/>
            <w:hideMark/>
          </w:tcPr>
          <w:p w14:paraId="67537DAC" w14:textId="77777777" w:rsidR="00B24B98" w:rsidRPr="00B24B98" w:rsidRDefault="00B24B98" w:rsidP="00B24B98">
            <w:pPr>
              <w:spacing w:after="0" w:line="240" w:lineRule="auto"/>
              <w:jc w:val="right"/>
              <w:rPr>
                <w:rFonts w:ascii="Calibri" w:eastAsia="Times New Roman" w:hAnsi="Calibri" w:cs="Calibri"/>
                <w:color w:val="000000"/>
                <w:lang w:eastAsia="en-GB"/>
              </w:rPr>
            </w:pPr>
            <w:r w:rsidRPr="00B24B98">
              <w:rPr>
                <w:rFonts w:ascii="Calibri" w:eastAsia="Times New Roman" w:hAnsi="Calibri" w:cs="Calibri"/>
                <w:color w:val="000000"/>
                <w:lang w:eastAsia="en-GB"/>
              </w:rPr>
              <w:t>6</w:t>
            </w:r>
          </w:p>
        </w:tc>
        <w:tc>
          <w:tcPr>
            <w:tcW w:w="960" w:type="dxa"/>
            <w:tcBorders>
              <w:top w:val="nil"/>
              <w:left w:val="nil"/>
              <w:bottom w:val="single" w:sz="4" w:space="0" w:color="auto"/>
              <w:right w:val="single" w:sz="4" w:space="0" w:color="auto"/>
            </w:tcBorders>
            <w:shd w:val="clear" w:color="auto" w:fill="auto"/>
            <w:noWrap/>
            <w:vAlign w:val="bottom"/>
            <w:hideMark/>
          </w:tcPr>
          <w:p w14:paraId="090920A1" w14:textId="77777777" w:rsidR="00B24B98" w:rsidRPr="00B24B98" w:rsidRDefault="00B24B98" w:rsidP="00B24B98">
            <w:pPr>
              <w:spacing w:after="0" w:line="240" w:lineRule="auto"/>
              <w:jc w:val="right"/>
              <w:rPr>
                <w:rFonts w:ascii="Calibri" w:eastAsia="Times New Roman" w:hAnsi="Calibri" w:cs="Calibri"/>
                <w:color w:val="000000"/>
                <w:lang w:eastAsia="en-GB"/>
              </w:rPr>
            </w:pPr>
            <w:r w:rsidRPr="00B24B98">
              <w:rPr>
                <w:rFonts w:ascii="Calibri" w:eastAsia="Times New Roman" w:hAnsi="Calibri" w:cs="Calibri"/>
                <w:color w:val="000000"/>
                <w:lang w:eastAsia="en-GB"/>
              </w:rPr>
              <w:t>0.25%</w:t>
            </w:r>
          </w:p>
        </w:tc>
      </w:tr>
      <w:tr w:rsidR="00B24B98" w:rsidRPr="00B24B98" w14:paraId="0619A14E" w14:textId="77777777" w:rsidTr="00B24B98">
        <w:trPr>
          <w:trHeight w:val="290"/>
        </w:trPr>
        <w:tc>
          <w:tcPr>
            <w:tcW w:w="673" w:type="dxa"/>
            <w:tcBorders>
              <w:top w:val="nil"/>
              <w:left w:val="single" w:sz="4" w:space="0" w:color="auto"/>
              <w:bottom w:val="single" w:sz="4" w:space="0" w:color="auto"/>
              <w:right w:val="single" w:sz="4" w:space="0" w:color="auto"/>
            </w:tcBorders>
            <w:shd w:val="clear" w:color="auto" w:fill="auto"/>
            <w:noWrap/>
            <w:vAlign w:val="bottom"/>
            <w:hideMark/>
          </w:tcPr>
          <w:p w14:paraId="2546CA0A" w14:textId="77777777" w:rsidR="00B24B98" w:rsidRPr="00B24B98" w:rsidRDefault="00B24B98" w:rsidP="00B24B98">
            <w:pPr>
              <w:spacing w:after="0" w:line="240" w:lineRule="auto"/>
              <w:jc w:val="right"/>
              <w:rPr>
                <w:rFonts w:ascii="Calibri" w:eastAsia="Times New Roman" w:hAnsi="Calibri" w:cs="Calibri"/>
                <w:color w:val="000000"/>
                <w:lang w:eastAsia="en-GB"/>
              </w:rPr>
            </w:pPr>
            <w:r w:rsidRPr="00B24B98">
              <w:rPr>
                <w:rFonts w:ascii="Calibri" w:eastAsia="Times New Roman" w:hAnsi="Calibri" w:cs="Calibri"/>
                <w:color w:val="000000"/>
                <w:lang w:eastAsia="en-GB"/>
              </w:rPr>
              <w:t>30</w:t>
            </w:r>
          </w:p>
        </w:tc>
        <w:tc>
          <w:tcPr>
            <w:tcW w:w="1180" w:type="dxa"/>
            <w:tcBorders>
              <w:top w:val="nil"/>
              <w:left w:val="nil"/>
              <w:bottom w:val="single" w:sz="4" w:space="0" w:color="auto"/>
              <w:right w:val="single" w:sz="4" w:space="0" w:color="auto"/>
            </w:tcBorders>
            <w:shd w:val="clear" w:color="auto" w:fill="auto"/>
            <w:noWrap/>
            <w:vAlign w:val="center"/>
            <w:hideMark/>
          </w:tcPr>
          <w:p w14:paraId="27C1B149" w14:textId="77777777" w:rsidR="00B24B98" w:rsidRPr="00B24B98" w:rsidRDefault="00B24B98" w:rsidP="00B24B98">
            <w:pPr>
              <w:spacing w:after="0" w:line="240" w:lineRule="auto"/>
              <w:rPr>
                <w:rFonts w:ascii="Calibri" w:eastAsia="Times New Roman" w:hAnsi="Calibri" w:cs="Calibri"/>
                <w:color w:val="000000"/>
                <w:lang w:eastAsia="en-GB"/>
              </w:rPr>
            </w:pPr>
            <w:r w:rsidRPr="00B24B98">
              <w:rPr>
                <w:rFonts w:ascii="Calibri" w:eastAsia="Times New Roman" w:hAnsi="Calibri" w:cs="Calibri"/>
                <w:color w:val="000000"/>
                <w:lang w:eastAsia="en-GB"/>
              </w:rPr>
              <w:t>L01</w:t>
            </w:r>
          </w:p>
        </w:tc>
        <w:tc>
          <w:tcPr>
            <w:tcW w:w="4521" w:type="dxa"/>
            <w:tcBorders>
              <w:top w:val="nil"/>
              <w:left w:val="nil"/>
              <w:bottom w:val="single" w:sz="4" w:space="0" w:color="auto"/>
              <w:right w:val="single" w:sz="4" w:space="0" w:color="auto"/>
            </w:tcBorders>
            <w:shd w:val="clear" w:color="auto" w:fill="auto"/>
            <w:noWrap/>
            <w:vAlign w:val="center"/>
            <w:hideMark/>
          </w:tcPr>
          <w:p w14:paraId="4CBAF437" w14:textId="77777777" w:rsidR="00B24B98" w:rsidRPr="00B24B98" w:rsidRDefault="00B24B98" w:rsidP="00B24B98">
            <w:pPr>
              <w:spacing w:after="0" w:line="240" w:lineRule="auto"/>
              <w:rPr>
                <w:rFonts w:ascii="Calibri" w:eastAsia="Times New Roman" w:hAnsi="Calibri" w:cs="Calibri"/>
                <w:color w:val="000000"/>
                <w:lang w:eastAsia="en-GB"/>
              </w:rPr>
            </w:pPr>
            <w:r w:rsidRPr="00B24B98">
              <w:rPr>
                <w:rFonts w:ascii="Calibri" w:eastAsia="Times New Roman" w:hAnsi="Calibri" w:cs="Calibri"/>
                <w:color w:val="000000"/>
                <w:lang w:eastAsia="en-GB"/>
              </w:rPr>
              <w:t>ANTINEOPLASTIC AGENTS</w:t>
            </w:r>
          </w:p>
        </w:tc>
        <w:tc>
          <w:tcPr>
            <w:tcW w:w="600" w:type="dxa"/>
            <w:tcBorders>
              <w:top w:val="nil"/>
              <w:left w:val="nil"/>
              <w:bottom w:val="single" w:sz="4" w:space="0" w:color="auto"/>
              <w:right w:val="single" w:sz="4" w:space="0" w:color="auto"/>
            </w:tcBorders>
            <w:shd w:val="clear" w:color="auto" w:fill="auto"/>
            <w:noWrap/>
            <w:vAlign w:val="center"/>
            <w:hideMark/>
          </w:tcPr>
          <w:p w14:paraId="3B37D2C0" w14:textId="77777777" w:rsidR="00B24B98" w:rsidRPr="00B24B98" w:rsidRDefault="00B24B98" w:rsidP="00B24B98">
            <w:pPr>
              <w:spacing w:after="0" w:line="240" w:lineRule="auto"/>
              <w:jc w:val="right"/>
              <w:rPr>
                <w:rFonts w:ascii="Calibri" w:eastAsia="Times New Roman" w:hAnsi="Calibri" w:cs="Calibri"/>
                <w:color w:val="000000"/>
                <w:lang w:eastAsia="en-GB"/>
              </w:rPr>
            </w:pPr>
            <w:r w:rsidRPr="00B24B98">
              <w:rPr>
                <w:rFonts w:ascii="Calibri" w:eastAsia="Times New Roman" w:hAnsi="Calibri" w:cs="Calibri"/>
                <w:color w:val="000000"/>
                <w:lang w:eastAsia="en-GB"/>
              </w:rPr>
              <w:t>5</w:t>
            </w:r>
          </w:p>
        </w:tc>
        <w:tc>
          <w:tcPr>
            <w:tcW w:w="960" w:type="dxa"/>
            <w:tcBorders>
              <w:top w:val="nil"/>
              <w:left w:val="nil"/>
              <w:bottom w:val="single" w:sz="4" w:space="0" w:color="auto"/>
              <w:right w:val="single" w:sz="4" w:space="0" w:color="auto"/>
            </w:tcBorders>
            <w:shd w:val="clear" w:color="auto" w:fill="auto"/>
            <w:noWrap/>
            <w:vAlign w:val="bottom"/>
            <w:hideMark/>
          </w:tcPr>
          <w:p w14:paraId="679CD163" w14:textId="77777777" w:rsidR="00B24B98" w:rsidRPr="00B24B98" w:rsidRDefault="00B24B98" w:rsidP="00B24B98">
            <w:pPr>
              <w:spacing w:after="0" w:line="240" w:lineRule="auto"/>
              <w:jc w:val="right"/>
              <w:rPr>
                <w:rFonts w:ascii="Calibri" w:eastAsia="Times New Roman" w:hAnsi="Calibri" w:cs="Calibri"/>
                <w:color w:val="000000"/>
                <w:lang w:eastAsia="en-GB"/>
              </w:rPr>
            </w:pPr>
            <w:r w:rsidRPr="00B24B98">
              <w:rPr>
                <w:rFonts w:ascii="Calibri" w:eastAsia="Times New Roman" w:hAnsi="Calibri" w:cs="Calibri"/>
                <w:color w:val="000000"/>
                <w:lang w:eastAsia="en-GB"/>
              </w:rPr>
              <w:t>0.21%</w:t>
            </w:r>
          </w:p>
        </w:tc>
      </w:tr>
      <w:tr w:rsidR="00B24B98" w:rsidRPr="00B24B98" w14:paraId="0B9DC1A2" w14:textId="77777777" w:rsidTr="00B24B98">
        <w:trPr>
          <w:trHeight w:val="290"/>
        </w:trPr>
        <w:tc>
          <w:tcPr>
            <w:tcW w:w="673" w:type="dxa"/>
            <w:tcBorders>
              <w:top w:val="nil"/>
              <w:left w:val="single" w:sz="4" w:space="0" w:color="auto"/>
              <w:bottom w:val="single" w:sz="4" w:space="0" w:color="auto"/>
              <w:right w:val="single" w:sz="4" w:space="0" w:color="auto"/>
            </w:tcBorders>
            <w:shd w:val="clear" w:color="auto" w:fill="auto"/>
            <w:noWrap/>
            <w:vAlign w:val="bottom"/>
            <w:hideMark/>
          </w:tcPr>
          <w:p w14:paraId="204DD4C0" w14:textId="77777777" w:rsidR="00B24B98" w:rsidRPr="00B24B98" w:rsidRDefault="00B24B98" w:rsidP="00B24B98">
            <w:pPr>
              <w:spacing w:after="0" w:line="240" w:lineRule="auto"/>
              <w:jc w:val="right"/>
              <w:rPr>
                <w:rFonts w:ascii="Calibri" w:eastAsia="Times New Roman" w:hAnsi="Calibri" w:cs="Calibri"/>
                <w:color w:val="000000"/>
                <w:lang w:eastAsia="en-GB"/>
              </w:rPr>
            </w:pPr>
            <w:r w:rsidRPr="00B24B98">
              <w:rPr>
                <w:rFonts w:ascii="Calibri" w:eastAsia="Times New Roman" w:hAnsi="Calibri" w:cs="Calibri"/>
                <w:color w:val="000000"/>
                <w:lang w:eastAsia="en-GB"/>
              </w:rPr>
              <w:t>31</w:t>
            </w:r>
          </w:p>
        </w:tc>
        <w:tc>
          <w:tcPr>
            <w:tcW w:w="1180" w:type="dxa"/>
            <w:tcBorders>
              <w:top w:val="nil"/>
              <w:left w:val="nil"/>
              <w:bottom w:val="single" w:sz="4" w:space="0" w:color="auto"/>
              <w:right w:val="single" w:sz="4" w:space="0" w:color="auto"/>
            </w:tcBorders>
            <w:shd w:val="clear" w:color="auto" w:fill="auto"/>
            <w:noWrap/>
            <w:vAlign w:val="center"/>
            <w:hideMark/>
          </w:tcPr>
          <w:p w14:paraId="64E7920E" w14:textId="77777777" w:rsidR="00B24B98" w:rsidRPr="00B24B98" w:rsidRDefault="00B24B98" w:rsidP="00B24B98">
            <w:pPr>
              <w:spacing w:after="0" w:line="240" w:lineRule="auto"/>
              <w:rPr>
                <w:rFonts w:ascii="Calibri" w:eastAsia="Times New Roman" w:hAnsi="Calibri" w:cs="Calibri"/>
                <w:color w:val="000000"/>
                <w:lang w:eastAsia="en-GB"/>
              </w:rPr>
            </w:pPr>
            <w:r w:rsidRPr="00B24B98">
              <w:rPr>
                <w:rFonts w:ascii="Calibri" w:eastAsia="Times New Roman" w:hAnsi="Calibri" w:cs="Calibri"/>
                <w:color w:val="000000"/>
                <w:lang w:eastAsia="en-GB"/>
              </w:rPr>
              <w:t>A03</w:t>
            </w:r>
          </w:p>
        </w:tc>
        <w:tc>
          <w:tcPr>
            <w:tcW w:w="4521" w:type="dxa"/>
            <w:tcBorders>
              <w:top w:val="nil"/>
              <w:left w:val="nil"/>
              <w:bottom w:val="single" w:sz="4" w:space="0" w:color="auto"/>
              <w:right w:val="single" w:sz="4" w:space="0" w:color="auto"/>
            </w:tcBorders>
            <w:shd w:val="clear" w:color="auto" w:fill="auto"/>
            <w:noWrap/>
            <w:vAlign w:val="center"/>
            <w:hideMark/>
          </w:tcPr>
          <w:p w14:paraId="22DB07CB" w14:textId="77777777" w:rsidR="00B24B98" w:rsidRPr="00B24B98" w:rsidRDefault="00B24B98" w:rsidP="00B24B98">
            <w:pPr>
              <w:spacing w:after="0" w:line="240" w:lineRule="auto"/>
              <w:rPr>
                <w:rFonts w:ascii="Calibri" w:eastAsia="Times New Roman" w:hAnsi="Calibri" w:cs="Calibri"/>
                <w:color w:val="000000"/>
                <w:lang w:eastAsia="en-GB"/>
              </w:rPr>
            </w:pPr>
            <w:r w:rsidRPr="00B24B98">
              <w:rPr>
                <w:rFonts w:ascii="Calibri" w:eastAsia="Times New Roman" w:hAnsi="Calibri" w:cs="Calibri"/>
                <w:color w:val="000000"/>
                <w:lang w:eastAsia="en-GB"/>
              </w:rPr>
              <w:t>DRUGS FOR FUNCTIONAL GASTROINTESTINAL DISORDERS</w:t>
            </w:r>
          </w:p>
        </w:tc>
        <w:tc>
          <w:tcPr>
            <w:tcW w:w="600" w:type="dxa"/>
            <w:tcBorders>
              <w:top w:val="nil"/>
              <w:left w:val="nil"/>
              <w:bottom w:val="single" w:sz="4" w:space="0" w:color="auto"/>
              <w:right w:val="single" w:sz="4" w:space="0" w:color="auto"/>
            </w:tcBorders>
            <w:shd w:val="clear" w:color="auto" w:fill="auto"/>
            <w:noWrap/>
            <w:vAlign w:val="center"/>
            <w:hideMark/>
          </w:tcPr>
          <w:p w14:paraId="47C6AF04" w14:textId="77777777" w:rsidR="00B24B98" w:rsidRPr="00B24B98" w:rsidRDefault="00B24B98" w:rsidP="00B24B98">
            <w:pPr>
              <w:spacing w:after="0" w:line="240" w:lineRule="auto"/>
              <w:jc w:val="right"/>
              <w:rPr>
                <w:rFonts w:ascii="Calibri" w:eastAsia="Times New Roman" w:hAnsi="Calibri" w:cs="Calibri"/>
                <w:color w:val="000000"/>
                <w:lang w:eastAsia="en-GB"/>
              </w:rPr>
            </w:pPr>
            <w:r w:rsidRPr="00B24B98">
              <w:rPr>
                <w:rFonts w:ascii="Calibri" w:eastAsia="Times New Roman" w:hAnsi="Calibri" w:cs="Calibri"/>
                <w:color w:val="000000"/>
                <w:lang w:eastAsia="en-GB"/>
              </w:rPr>
              <w:t>4</w:t>
            </w:r>
          </w:p>
        </w:tc>
        <w:tc>
          <w:tcPr>
            <w:tcW w:w="960" w:type="dxa"/>
            <w:tcBorders>
              <w:top w:val="nil"/>
              <w:left w:val="nil"/>
              <w:bottom w:val="single" w:sz="4" w:space="0" w:color="auto"/>
              <w:right w:val="single" w:sz="4" w:space="0" w:color="auto"/>
            </w:tcBorders>
            <w:shd w:val="clear" w:color="auto" w:fill="auto"/>
            <w:noWrap/>
            <w:vAlign w:val="bottom"/>
            <w:hideMark/>
          </w:tcPr>
          <w:p w14:paraId="2C35161B" w14:textId="77777777" w:rsidR="00B24B98" w:rsidRPr="00B24B98" w:rsidRDefault="00B24B98" w:rsidP="00B24B98">
            <w:pPr>
              <w:spacing w:after="0" w:line="240" w:lineRule="auto"/>
              <w:jc w:val="right"/>
              <w:rPr>
                <w:rFonts w:ascii="Calibri" w:eastAsia="Times New Roman" w:hAnsi="Calibri" w:cs="Calibri"/>
                <w:color w:val="000000"/>
                <w:lang w:eastAsia="en-GB"/>
              </w:rPr>
            </w:pPr>
            <w:r w:rsidRPr="00B24B98">
              <w:rPr>
                <w:rFonts w:ascii="Calibri" w:eastAsia="Times New Roman" w:hAnsi="Calibri" w:cs="Calibri"/>
                <w:color w:val="000000"/>
                <w:lang w:eastAsia="en-GB"/>
              </w:rPr>
              <w:t>0.17%</w:t>
            </w:r>
          </w:p>
        </w:tc>
      </w:tr>
      <w:tr w:rsidR="00B24B98" w:rsidRPr="00B24B98" w14:paraId="5DA93D34" w14:textId="77777777" w:rsidTr="00B24B98">
        <w:trPr>
          <w:trHeight w:val="290"/>
        </w:trPr>
        <w:tc>
          <w:tcPr>
            <w:tcW w:w="673" w:type="dxa"/>
            <w:tcBorders>
              <w:top w:val="nil"/>
              <w:left w:val="single" w:sz="4" w:space="0" w:color="auto"/>
              <w:bottom w:val="single" w:sz="4" w:space="0" w:color="auto"/>
              <w:right w:val="single" w:sz="4" w:space="0" w:color="auto"/>
            </w:tcBorders>
            <w:shd w:val="clear" w:color="auto" w:fill="auto"/>
            <w:noWrap/>
            <w:vAlign w:val="bottom"/>
            <w:hideMark/>
          </w:tcPr>
          <w:p w14:paraId="3E1A23B1" w14:textId="77777777" w:rsidR="00B24B98" w:rsidRPr="00B24B98" w:rsidRDefault="00B24B98" w:rsidP="00B24B98">
            <w:pPr>
              <w:spacing w:after="0" w:line="240" w:lineRule="auto"/>
              <w:jc w:val="right"/>
              <w:rPr>
                <w:rFonts w:ascii="Calibri" w:eastAsia="Times New Roman" w:hAnsi="Calibri" w:cs="Calibri"/>
                <w:color w:val="000000"/>
                <w:lang w:eastAsia="en-GB"/>
              </w:rPr>
            </w:pPr>
            <w:r w:rsidRPr="00B24B98">
              <w:rPr>
                <w:rFonts w:ascii="Calibri" w:eastAsia="Times New Roman" w:hAnsi="Calibri" w:cs="Calibri"/>
                <w:color w:val="000000"/>
                <w:lang w:eastAsia="en-GB"/>
              </w:rPr>
              <w:t>32</w:t>
            </w:r>
          </w:p>
        </w:tc>
        <w:tc>
          <w:tcPr>
            <w:tcW w:w="1180" w:type="dxa"/>
            <w:tcBorders>
              <w:top w:val="nil"/>
              <w:left w:val="nil"/>
              <w:bottom w:val="single" w:sz="4" w:space="0" w:color="auto"/>
              <w:right w:val="single" w:sz="4" w:space="0" w:color="auto"/>
            </w:tcBorders>
            <w:shd w:val="clear" w:color="auto" w:fill="auto"/>
            <w:noWrap/>
            <w:vAlign w:val="center"/>
            <w:hideMark/>
          </w:tcPr>
          <w:p w14:paraId="0BD80DDA" w14:textId="77777777" w:rsidR="00B24B98" w:rsidRPr="00B24B98" w:rsidRDefault="00B24B98" w:rsidP="00B24B98">
            <w:pPr>
              <w:spacing w:after="0" w:line="240" w:lineRule="auto"/>
              <w:rPr>
                <w:rFonts w:ascii="Calibri" w:eastAsia="Times New Roman" w:hAnsi="Calibri" w:cs="Calibri"/>
                <w:color w:val="000000"/>
                <w:lang w:eastAsia="en-GB"/>
              </w:rPr>
            </w:pPr>
            <w:r w:rsidRPr="00B24B98">
              <w:rPr>
                <w:rFonts w:ascii="Calibri" w:eastAsia="Times New Roman" w:hAnsi="Calibri" w:cs="Calibri"/>
                <w:color w:val="000000"/>
                <w:lang w:eastAsia="en-GB"/>
              </w:rPr>
              <w:t>G04</w:t>
            </w:r>
          </w:p>
        </w:tc>
        <w:tc>
          <w:tcPr>
            <w:tcW w:w="4521" w:type="dxa"/>
            <w:tcBorders>
              <w:top w:val="nil"/>
              <w:left w:val="nil"/>
              <w:bottom w:val="single" w:sz="4" w:space="0" w:color="auto"/>
              <w:right w:val="single" w:sz="4" w:space="0" w:color="auto"/>
            </w:tcBorders>
            <w:shd w:val="clear" w:color="auto" w:fill="auto"/>
            <w:noWrap/>
            <w:vAlign w:val="center"/>
            <w:hideMark/>
          </w:tcPr>
          <w:p w14:paraId="7A9821C8" w14:textId="77777777" w:rsidR="00B24B98" w:rsidRPr="00B24B98" w:rsidRDefault="00B24B98" w:rsidP="00B24B98">
            <w:pPr>
              <w:spacing w:after="0" w:line="240" w:lineRule="auto"/>
              <w:rPr>
                <w:rFonts w:ascii="Calibri" w:eastAsia="Times New Roman" w:hAnsi="Calibri" w:cs="Calibri"/>
                <w:color w:val="000000"/>
                <w:lang w:eastAsia="en-GB"/>
              </w:rPr>
            </w:pPr>
            <w:r w:rsidRPr="00B24B98">
              <w:rPr>
                <w:rFonts w:ascii="Calibri" w:eastAsia="Times New Roman" w:hAnsi="Calibri" w:cs="Calibri"/>
                <w:color w:val="000000"/>
                <w:lang w:eastAsia="en-GB"/>
              </w:rPr>
              <w:t>UROLOGICALS</w:t>
            </w:r>
          </w:p>
        </w:tc>
        <w:tc>
          <w:tcPr>
            <w:tcW w:w="600" w:type="dxa"/>
            <w:tcBorders>
              <w:top w:val="nil"/>
              <w:left w:val="nil"/>
              <w:bottom w:val="single" w:sz="4" w:space="0" w:color="auto"/>
              <w:right w:val="single" w:sz="4" w:space="0" w:color="auto"/>
            </w:tcBorders>
            <w:shd w:val="clear" w:color="auto" w:fill="auto"/>
            <w:noWrap/>
            <w:vAlign w:val="center"/>
            <w:hideMark/>
          </w:tcPr>
          <w:p w14:paraId="395501B3" w14:textId="77777777" w:rsidR="00B24B98" w:rsidRPr="00B24B98" w:rsidRDefault="00B24B98" w:rsidP="00B24B98">
            <w:pPr>
              <w:spacing w:after="0" w:line="240" w:lineRule="auto"/>
              <w:jc w:val="right"/>
              <w:rPr>
                <w:rFonts w:ascii="Calibri" w:eastAsia="Times New Roman" w:hAnsi="Calibri" w:cs="Calibri"/>
                <w:color w:val="000000"/>
                <w:lang w:eastAsia="en-GB"/>
              </w:rPr>
            </w:pPr>
            <w:r w:rsidRPr="00B24B98">
              <w:rPr>
                <w:rFonts w:ascii="Calibri" w:eastAsia="Times New Roman" w:hAnsi="Calibri" w:cs="Calibri"/>
                <w:color w:val="000000"/>
                <w:lang w:eastAsia="en-GB"/>
              </w:rPr>
              <w:t>3</w:t>
            </w:r>
          </w:p>
        </w:tc>
        <w:tc>
          <w:tcPr>
            <w:tcW w:w="960" w:type="dxa"/>
            <w:tcBorders>
              <w:top w:val="nil"/>
              <w:left w:val="nil"/>
              <w:bottom w:val="single" w:sz="4" w:space="0" w:color="auto"/>
              <w:right w:val="single" w:sz="4" w:space="0" w:color="auto"/>
            </w:tcBorders>
            <w:shd w:val="clear" w:color="auto" w:fill="auto"/>
            <w:noWrap/>
            <w:vAlign w:val="bottom"/>
            <w:hideMark/>
          </w:tcPr>
          <w:p w14:paraId="0D2EF63D" w14:textId="77777777" w:rsidR="00B24B98" w:rsidRPr="00B24B98" w:rsidRDefault="00B24B98" w:rsidP="00B24B98">
            <w:pPr>
              <w:spacing w:after="0" w:line="240" w:lineRule="auto"/>
              <w:jc w:val="right"/>
              <w:rPr>
                <w:rFonts w:ascii="Calibri" w:eastAsia="Times New Roman" w:hAnsi="Calibri" w:cs="Calibri"/>
                <w:color w:val="000000"/>
                <w:lang w:eastAsia="en-GB"/>
              </w:rPr>
            </w:pPr>
            <w:r w:rsidRPr="00B24B98">
              <w:rPr>
                <w:rFonts w:ascii="Calibri" w:eastAsia="Times New Roman" w:hAnsi="Calibri" w:cs="Calibri"/>
                <w:color w:val="000000"/>
                <w:lang w:eastAsia="en-GB"/>
              </w:rPr>
              <w:t>0.13%</w:t>
            </w:r>
          </w:p>
        </w:tc>
      </w:tr>
      <w:tr w:rsidR="00B24B98" w:rsidRPr="00B24B98" w14:paraId="213ECF13" w14:textId="77777777" w:rsidTr="00B24B98">
        <w:trPr>
          <w:trHeight w:val="290"/>
        </w:trPr>
        <w:tc>
          <w:tcPr>
            <w:tcW w:w="673" w:type="dxa"/>
            <w:tcBorders>
              <w:top w:val="nil"/>
              <w:left w:val="single" w:sz="4" w:space="0" w:color="auto"/>
              <w:bottom w:val="single" w:sz="4" w:space="0" w:color="auto"/>
              <w:right w:val="single" w:sz="4" w:space="0" w:color="auto"/>
            </w:tcBorders>
            <w:shd w:val="clear" w:color="auto" w:fill="auto"/>
            <w:noWrap/>
            <w:vAlign w:val="bottom"/>
            <w:hideMark/>
          </w:tcPr>
          <w:p w14:paraId="409DD2D3" w14:textId="77777777" w:rsidR="00B24B98" w:rsidRPr="00B24B98" w:rsidRDefault="00B24B98" w:rsidP="00B24B98">
            <w:pPr>
              <w:spacing w:after="0" w:line="240" w:lineRule="auto"/>
              <w:jc w:val="right"/>
              <w:rPr>
                <w:rFonts w:ascii="Calibri" w:eastAsia="Times New Roman" w:hAnsi="Calibri" w:cs="Calibri"/>
                <w:color w:val="000000"/>
                <w:lang w:eastAsia="en-GB"/>
              </w:rPr>
            </w:pPr>
            <w:r w:rsidRPr="00B24B98">
              <w:rPr>
                <w:rFonts w:ascii="Calibri" w:eastAsia="Times New Roman" w:hAnsi="Calibri" w:cs="Calibri"/>
                <w:color w:val="000000"/>
                <w:lang w:eastAsia="en-GB"/>
              </w:rPr>
              <w:t>33</w:t>
            </w:r>
          </w:p>
        </w:tc>
        <w:tc>
          <w:tcPr>
            <w:tcW w:w="1180" w:type="dxa"/>
            <w:tcBorders>
              <w:top w:val="nil"/>
              <w:left w:val="nil"/>
              <w:bottom w:val="single" w:sz="4" w:space="0" w:color="auto"/>
              <w:right w:val="single" w:sz="4" w:space="0" w:color="auto"/>
            </w:tcBorders>
            <w:shd w:val="clear" w:color="auto" w:fill="auto"/>
            <w:noWrap/>
            <w:vAlign w:val="center"/>
            <w:hideMark/>
          </w:tcPr>
          <w:p w14:paraId="01ADC7D1" w14:textId="77777777" w:rsidR="00B24B98" w:rsidRPr="00B24B98" w:rsidRDefault="00B24B98" w:rsidP="00B24B98">
            <w:pPr>
              <w:spacing w:after="0" w:line="240" w:lineRule="auto"/>
              <w:rPr>
                <w:rFonts w:ascii="Calibri" w:eastAsia="Times New Roman" w:hAnsi="Calibri" w:cs="Calibri"/>
                <w:color w:val="000000"/>
                <w:lang w:eastAsia="en-GB"/>
              </w:rPr>
            </w:pPr>
            <w:r w:rsidRPr="00B24B98">
              <w:rPr>
                <w:rFonts w:ascii="Calibri" w:eastAsia="Times New Roman" w:hAnsi="Calibri" w:cs="Calibri"/>
                <w:color w:val="000000"/>
                <w:lang w:eastAsia="en-GB"/>
              </w:rPr>
              <w:t>N04</w:t>
            </w:r>
          </w:p>
        </w:tc>
        <w:tc>
          <w:tcPr>
            <w:tcW w:w="4521" w:type="dxa"/>
            <w:tcBorders>
              <w:top w:val="nil"/>
              <w:left w:val="nil"/>
              <w:bottom w:val="single" w:sz="4" w:space="0" w:color="auto"/>
              <w:right w:val="single" w:sz="4" w:space="0" w:color="auto"/>
            </w:tcBorders>
            <w:shd w:val="clear" w:color="auto" w:fill="auto"/>
            <w:noWrap/>
            <w:vAlign w:val="center"/>
            <w:hideMark/>
          </w:tcPr>
          <w:p w14:paraId="02D74444" w14:textId="77777777" w:rsidR="00B24B98" w:rsidRPr="00B24B98" w:rsidRDefault="00B24B98" w:rsidP="00B24B98">
            <w:pPr>
              <w:spacing w:after="0" w:line="240" w:lineRule="auto"/>
              <w:rPr>
                <w:rFonts w:ascii="Calibri" w:eastAsia="Times New Roman" w:hAnsi="Calibri" w:cs="Calibri"/>
                <w:color w:val="000000"/>
                <w:lang w:eastAsia="en-GB"/>
              </w:rPr>
            </w:pPr>
            <w:r w:rsidRPr="00B24B98">
              <w:rPr>
                <w:rFonts w:ascii="Calibri" w:eastAsia="Times New Roman" w:hAnsi="Calibri" w:cs="Calibri"/>
                <w:color w:val="000000"/>
                <w:lang w:eastAsia="en-GB"/>
              </w:rPr>
              <w:t>ANTI-PARKINSON DRUGS</w:t>
            </w:r>
          </w:p>
        </w:tc>
        <w:tc>
          <w:tcPr>
            <w:tcW w:w="600" w:type="dxa"/>
            <w:tcBorders>
              <w:top w:val="nil"/>
              <w:left w:val="nil"/>
              <w:bottom w:val="single" w:sz="4" w:space="0" w:color="auto"/>
              <w:right w:val="single" w:sz="4" w:space="0" w:color="auto"/>
            </w:tcBorders>
            <w:shd w:val="clear" w:color="auto" w:fill="auto"/>
            <w:noWrap/>
            <w:vAlign w:val="center"/>
            <w:hideMark/>
          </w:tcPr>
          <w:p w14:paraId="1762A60C" w14:textId="77777777" w:rsidR="00B24B98" w:rsidRPr="00B24B98" w:rsidRDefault="00B24B98" w:rsidP="00B24B98">
            <w:pPr>
              <w:spacing w:after="0" w:line="240" w:lineRule="auto"/>
              <w:jc w:val="right"/>
              <w:rPr>
                <w:rFonts w:ascii="Calibri" w:eastAsia="Times New Roman" w:hAnsi="Calibri" w:cs="Calibri"/>
                <w:color w:val="000000"/>
                <w:lang w:eastAsia="en-GB"/>
              </w:rPr>
            </w:pPr>
            <w:r w:rsidRPr="00B24B98">
              <w:rPr>
                <w:rFonts w:ascii="Calibri" w:eastAsia="Times New Roman" w:hAnsi="Calibri" w:cs="Calibri"/>
                <w:color w:val="000000"/>
                <w:lang w:eastAsia="en-GB"/>
              </w:rPr>
              <w:t>3</w:t>
            </w:r>
          </w:p>
        </w:tc>
        <w:tc>
          <w:tcPr>
            <w:tcW w:w="960" w:type="dxa"/>
            <w:tcBorders>
              <w:top w:val="nil"/>
              <w:left w:val="nil"/>
              <w:bottom w:val="single" w:sz="4" w:space="0" w:color="auto"/>
              <w:right w:val="single" w:sz="4" w:space="0" w:color="auto"/>
            </w:tcBorders>
            <w:shd w:val="clear" w:color="auto" w:fill="auto"/>
            <w:noWrap/>
            <w:vAlign w:val="bottom"/>
            <w:hideMark/>
          </w:tcPr>
          <w:p w14:paraId="3E88CD75" w14:textId="77777777" w:rsidR="00B24B98" w:rsidRPr="00B24B98" w:rsidRDefault="00B24B98" w:rsidP="00B24B98">
            <w:pPr>
              <w:spacing w:after="0" w:line="240" w:lineRule="auto"/>
              <w:jc w:val="right"/>
              <w:rPr>
                <w:rFonts w:ascii="Calibri" w:eastAsia="Times New Roman" w:hAnsi="Calibri" w:cs="Calibri"/>
                <w:color w:val="000000"/>
                <w:lang w:eastAsia="en-GB"/>
              </w:rPr>
            </w:pPr>
            <w:r w:rsidRPr="00B24B98">
              <w:rPr>
                <w:rFonts w:ascii="Calibri" w:eastAsia="Times New Roman" w:hAnsi="Calibri" w:cs="Calibri"/>
                <w:color w:val="000000"/>
                <w:lang w:eastAsia="en-GB"/>
              </w:rPr>
              <w:t>0.13%</w:t>
            </w:r>
          </w:p>
        </w:tc>
      </w:tr>
      <w:tr w:rsidR="00B24B98" w:rsidRPr="00B24B98" w14:paraId="247D881B" w14:textId="77777777" w:rsidTr="00B24B98">
        <w:trPr>
          <w:trHeight w:val="290"/>
        </w:trPr>
        <w:tc>
          <w:tcPr>
            <w:tcW w:w="673" w:type="dxa"/>
            <w:tcBorders>
              <w:top w:val="nil"/>
              <w:left w:val="single" w:sz="4" w:space="0" w:color="auto"/>
              <w:bottom w:val="single" w:sz="4" w:space="0" w:color="auto"/>
              <w:right w:val="single" w:sz="4" w:space="0" w:color="auto"/>
            </w:tcBorders>
            <w:shd w:val="clear" w:color="auto" w:fill="auto"/>
            <w:noWrap/>
            <w:vAlign w:val="bottom"/>
            <w:hideMark/>
          </w:tcPr>
          <w:p w14:paraId="019ADDCE" w14:textId="77777777" w:rsidR="00B24B98" w:rsidRPr="00B24B98" w:rsidRDefault="00B24B98" w:rsidP="00B24B98">
            <w:pPr>
              <w:spacing w:after="0" w:line="240" w:lineRule="auto"/>
              <w:jc w:val="right"/>
              <w:rPr>
                <w:rFonts w:ascii="Calibri" w:eastAsia="Times New Roman" w:hAnsi="Calibri" w:cs="Calibri"/>
                <w:color w:val="000000"/>
                <w:lang w:eastAsia="en-GB"/>
              </w:rPr>
            </w:pPr>
            <w:r w:rsidRPr="00B24B98">
              <w:rPr>
                <w:rFonts w:ascii="Calibri" w:eastAsia="Times New Roman" w:hAnsi="Calibri" w:cs="Calibri"/>
                <w:color w:val="000000"/>
                <w:lang w:eastAsia="en-GB"/>
              </w:rPr>
              <w:t>34</w:t>
            </w:r>
          </w:p>
        </w:tc>
        <w:tc>
          <w:tcPr>
            <w:tcW w:w="1180" w:type="dxa"/>
            <w:tcBorders>
              <w:top w:val="nil"/>
              <w:left w:val="nil"/>
              <w:bottom w:val="single" w:sz="4" w:space="0" w:color="auto"/>
              <w:right w:val="single" w:sz="4" w:space="0" w:color="auto"/>
            </w:tcBorders>
            <w:shd w:val="clear" w:color="auto" w:fill="auto"/>
            <w:noWrap/>
            <w:vAlign w:val="center"/>
            <w:hideMark/>
          </w:tcPr>
          <w:p w14:paraId="2D3BC968" w14:textId="77777777" w:rsidR="00B24B98" w:rsidRPr="00B24B98" w:rsidRDefault="00B24B98" w:rsidP="00B24B98">
            <w:pPr>
              <w:spacing w:after="0" w:line="240" w:lineRule="auto"/>
              <w:rPr>
                <w:rFonts w:ascii="Calibri" w:eastAsia="Times New Roman" w:hAnsi="Calibri" w:cs="Calibri"/>
                <w:color w:val="000000"/>
                <w:lang w:eastAsia="en-GB"/>
              </w:rPr>
            </w:pPr>
            <w:r w:rsidRPr="00B24B98">
              <w:rPr>
                <w:rFonts w:ascii="Calibri" w:eastAsia="Times New Roman" w:hAnsi="Calibri" w:cs="Calibri"/>
                <w:color w:val="000000"/>
                <w:lang w:eastAsia="en-GB"/>
              </w:rPr>
              <w:t>A07</w:t>
            </w:r>
          </w:p>
        </w:tc>
        <w:tc>
          <w:tcPr>
            <w:tcW w:w="4521" w:type="dxa"/>
            <w:tcBorders>
              <w:top w:val="nil"/>
              <w:left w:val="nil"/>
              <w:bottom w:val="single" w:sz="4" w:space="0" w:color="auto"/>
              <w:right w:val="single" w:sz="4" w:space="0" w:color="auto"/>
            </w:tcBorders>
            <w:shd w:val="clear" w:color="auto" w:fill="auto"/>
            <w:noWrap/>
            <w:vAlign w:val="center"/>
            <w:hideMark/>
          </w:tcPr>
          <w:p w14:paraId="69AA5CA4" w14:textId="77777777" w:rsidR="00B24B98" w:rsidRPr="00B24B98" w:rsidRDefault="00B24B98" w:rsidP="00B24B98">
            <w:pPr>
              <w:spacing w:after="0" w:line="240" w:lineRule="auto"/>
              <w:rPr>
                <w:rFonts w:ascii="Calibri" w:eastAsia="Times New Roman" w:hAnsi="Calibri" w:cs="Calibri"/>
                <w:color w:val="000000"/>
                <w:lang w:eastAsia="en-GB"/>
              </w:rPr>
            </w:pPr>
            <w:r w:rsidRPr="00B24B98">
              <w:rPr>
                <w:rFonts w:ascii="Calibri" w:eastAsia="Times New Roman" w:hAnsi="Calibri" w:cs="Calibri"/>
                <w:color w:val="000000"/>
                <w:lang w:eastAsia="en-GB"/>
              </w:rPr>
              <w:t>ANTIDIARRHEALS, INTESTINAL ANTIINFLAMMATORY/ANTIINFECTIVE AGENTS</w:t>
            </w:r>
          </w:p>
        </w:tc>
        <w:tc>
          <w:tcPr>
            <w:tcW w:w="600" w:type="dxa"/>
            <w:tcBorders>
              <w:top w:val="nil"/>
              <w:left w:val="nil"/>
              <w:bottom w:val="single" w:sz="4" w:space="0" w:color="auto"/>
              <w:right w:val="single" w:sz="4" w:space="0" w:color="auto"/>
            </w:tcBorders>
            <w:shd w:val="clear" w:color="auto" w:fill="auto"/>
            <w:noWrap/>
            <w:vAlign w:val="center"/>
            <w:hideMark/>
          </w:tcPr>
          <w:p w14:paraId="47B0FE52" w14:textId="77777777" w:rsidR="00B24B98" w:rsidRPr="00B24B98" w:rsidRDefault="00B24B98" w:rsidP="00B24B98">
            <w:pPr>
              <w:spacing w:after="0" w:line="240" w:lineRule="auto"/>
              <w:jc w:val="right"/>
              <w:rPr>
                <w:rFonts w:ascii="Calibri" w:eastAsia="Times New Roman" w:hAnsi="Calibri" w:cs="Calibri"/>
                <w:color w:val="000000"/>
                <w:lang w:eastAsia="en-GB"/>
              </w:rPr>
            </w:pPr>
            <w:r w:rsidRPr="00B24B98">
              <w:rPr>
                <w:rFonts w:ascii="Calibri" w:eastAsia="Times New Roman" w:hAnsi="Calibri" w:cs="Calibri"/>
                <w:color w:val="000000"/>
                <w:lang w:eastAsia="en-GB"/>
              </w:rPr>
              <w:t>2</w:t>
            </w:r>
          </w:p>
        </w:tc>
        <w:tc>
          <w:tcPr>
            <w:tcW w:w="960" w:type="dxa"/>
            <w:tcBorders>
              <w:top w:val="nil"/>
              <w:left w:val="nil"/>
              <w:bottom w:val="single" w:sz="4" w:space="0" w:color="auto"/>
              <w:right w:val="single" w:sz="4" w:space="0" w:color="auto"/>
            </w:tcBorders>
            <w:shd w:val="clear" w:color="auto" w:fill="auto"/>
            <w:noWrap/>
            <w:vAlign w:val="bottom"/>
            <w:hideMark/>
          </w:tcPr>
          <w:p w14:paraId="6C195FCF" w14:textId="77777777" w:rsidR="00B24B98" w:rsidRPr="00B24B98" w:rsidRDefault="00B24B98" w:rsidP="00B24B98">
            <w:pPr>
              <w:spacing w:after="0" w:line="240" w:lineRule="auto"/>
              <w:jc w:val="right"/>
              <w:rPr>
                <w:rFonts w:ascii="Calibri" w:eastAsia="Times New Roman" w:hAnsi="Calibri" w:cs="Calibri"/>
                <w:color w:val="000000"/>
                <w:lang w:eastAsia="en-GB"/>
              </w:rPr>
            </w:pPr>
            <w:r w:rsidRPr="00B24B98">
              <w:rPr>
                <w:rFonts w:ascii="Calibri" w:eastAsia="Times New Roman" w:hAnsi="Calibri" w:cs="Calibri"/>
                <w:color w:val="000000"/>
                <w:lang w:eastAsia="en-GB"/>
              </w:rPr>
              <w:t>0.08%</w:t>
            </w:r>
          </w:p>
        </w:tc>
      </w:tr>
      <w:tr w:rsidR="00B24B98" w:rsidRPr="00B24B98" w14:paraId="0F17ED00" w14:textId="77777777" w:rsidTr="00B24B98">
        <w:trPr>
          <w:trHeight w:val="290"/>
        </w:trPr>
        <w:tc>
          <w:tcPr>
            <w:tcW w:w="673" w:type="dxa"/>
            <w:tcBorders>
              <w:top w:val="nil"/>
              <w:left w:val="single" w:sz="4" w:space="0" w:color="auto"/>
              <w:bottom w:val="single" w:sz="4" w:space="0" w:color="auto"/>
              <w:right w:val="single" w:sz="4" w:space="0" w:color="auto"/>
            </w:tcBorders>
            <w:shd w:val="clear" w:color="auto" w:fill="auto"/>
            <w:noWrap/>
            <w:vAlign w:val="bottom"/>
            <w:hideMark/>
          </w:tcPr>
          <w:p w14:paraId="7EDB29AE" w14:textId="77777777" w:rsidR="00B24B98" w:rsidRPr="00B24B98" w:rsidRDefault="00B24B98" w:rsidP="00B24B98">
            <w:pPr>
              <w:spacing w:after="0" w:line="240" w:lineRule="auto"/>
              <w:jc w:val="right"/>
              <w:rPr>
                <w:rFonts w:ascii="Calibri" w:eastAsia="Times New Roman" w:hAnsi="Calibri" w:cs="Calibri"/>
                <w:color w:val="000000"/>
                <w:lang w:eastAsia="en-GB"/>
              </w:rPr>
            </w:pPr>
            <w:r w:rsidRPr="00B24B98">
              <w:rPr>
                <w:rFonts w:ascii="Calibri" w:eastAsia="Times New Roman" w:hAnsi="Calibri" w:cs="Calibri"/>
                <w:color w:val="000000"/>
                <w:lang w:eastAsia="en-GB"/>
              </w:rPr>
              <w:t>35</w:t>
            </w:r>
          </w:p>
        </w:tc>
        <w:tc>
          <w:tcPr>
            <w:tcW w:w="1180" w:type="dxa"/>
            <w:tcBorders>
              <w:top w:val="nil"/>
              <w:left w:val="nil"/>
              <w:bottom w:val="single" w:sz="4" w:space="0" w:color="auto"/>
              <w:right w:val="single" w:sz="4" w:space="0" w:color="auto"/>
            </w:tcBorders>
            <w:shd w:val="clear" w:color="auto" w:fill="auto"/>
            <w:noWrap/>
            <w:vAlign w:val="center"/>
            <w:hideMark/>
          </w:tcPr>
          <w:p w14:paraId="38DAE90E" w14:textId="77777777" w:rsidR="00B24B98" w:rsidRPr="00B24B98" w:rsidRDefault="00B24B98" w:rsidP="00B24B98">
            <w:pPr>
              <w:spacing w:after="0" w:line="240" w:lineRule="auto"/>
              <w:rPr>
                <w:rFonts w:ascii="Calibri" w:eastAsia="Times New Roman" w:hAnsi="Calibri" w:cs="Calibri"/>
                <w:color w:val="000000"/>
                <w:lang w:eastAsia="en-GB"/>
              </w:rPr>
            </w:pPr>
            <w:r w:rsidRPr="00B24B98">
              <w:rPr>
                <w:rFonts w:ascii="Calibri" w:eastAsia="Times New Roman" w:hAnsi="Calibri" w:cs="Calibri"/>
                <w:color w:val="000000"/>
                <w:lang w:eastAsia="en-GB"/>
              </w:rPr>
              <w:t>J02</w:t>
            </w:r>
          </w:p>
        </w:tc>
        <w:tc>
          <w:tcPr>
            <w:tcW w:w="4521" w:type="dxa"/>
            <w:tcBorders>
              <w:top w:val="nil"/>
              <w:left w:val="nil"/>
              <w:bottom w:val="single" w:sz="4" w:space="0" w:color="auto"/>
              <w:right w:val="single" w:sz="4" w:space="0" w:color="auto"/>
            </w:tcBorders>
            <w:shd w:val="clear" w:color="auto" w:fill="auto"/>
            <w:noWrap/>
            <w:vAlign w:val="center"/>
            <w:hideMark/>
          </w:tcPr>
          <w:p w14:paraId="412B86D7" w14:textId="77777777" w:rsidR="00B24B98" w:rsidRPr="00B24B98" w:rsidRDefault="00B24B98" w:rsidP="00B24B98">
            <w:pPr>
              <w:spacing w:after="0" w:line="240" w:lineRule="auto"/>
              <w:rPr>
                <w:rFonts w:ascii="Calibri" w:eastAsia="Times New Roman" w:hAnsi="Calibri" w:cs="Calibri"/>
                <w:color w:val="000000"/>
                <w:lang w:eastAsia="en-GB"/>
              </w:rPr>
            </w:pPr>
            <w:r w:rsidRPr="00B24B98">
              <w:rPr>
                <w:rFonts w:ascii="Calibri" w:eastAsia="Times New Roman" w:hAnsi="Calibri" w:cs="Calibri"/>
                <w:color w:val="000000"/>
                <w:lang w:eastAsia="en-GB"/>
              </w:rPr>
              <w:t>ANTIMYCOTICS FOR SYSTEMIC USE</w:t>
            </w:r>
          </w:p>
        </w:tc>
        <w:tc>
          <w:tcPr>
            <w:tcW w:w="600" w:type="dxa"/>
            <w:tcBorders>
              <w:top w:val="nil"/>
              <w:left w:val="nil"/>
              <w:bottom w:val="single" w:sz="4" w:space="0" w:color="auto"/>
              <w:right w:val="single" w:sz="4" w:space="0" w:color="auto"/>
            </w:tcBorders>
            <w:shd w:val="clear" w:color="auto" w:fill="auto"/>
            <w:noWrap/>
            <w:vAlign w:val="center"/>
            <w:hideMark/>
          </w:tcPr>
          <w:p w14:paraId="3DE0CE42" w14:textId="77777777" w:rsidR="00B24B98" w:rsidRPr="00B24B98" w:rsidRDefault="00B24B98" w:rsidP="00B24B98">
            <w:pPr>
              <w:spacing w:after="0" w:line="240" w:lineRule="auto"/>
              <w:jc w:val="right"/>
              <w:rPr>
                <w:rFonts w:ascii="Calibri" w:eastAsia="Times New Roman" w:hAnsi="Calibri" w:cs="Calibri"/>
                <w:color w:val="000000"/>
                <w:lang w:eastAsia="en-GB"/>
              </w:rPr>
            </w:pPr>
            <w:r w:rsidRPr="00B24B98">
              <w:rPr>
                <w:rFonts w:ascii="Calibri" w:eastAsia="Times New Roman" w:hAnsi="Calibri" w:cs="Calibri"/>
                <w:color w:val="000000"/>
                <w:lang w:eastAsia="en-GB"/>
              </w:rPr>
              <w:t>2</w:t>
            </w:r>
          </w:p>
        </w:tc>
        <w:tc>
          <w:tcPr>
            <w:tcW w:w="960" w:type="dxa"/>
            <w:tcBorders>
              <w:top w:val="nil"/>
              <w:left w:val="nil"/>
              <w:bottom w:val="single" w:sz="4" w:space="0" w:color="auto"/>
              <w:right w:val="single" w:sz="4" w:space="0" w:color="auto"/>
            </w:tcBorders>
            <w:shd w:val="clear" w:color="auto" w:fill="auto"/>
            <w:noWrap/>
            <w:vAlign w:val="bottom"/>
            <w:hideMark/>
          </w:tcPr>
          <w:p w14:paraId="74557FE2" w14:textId="77777777" w:rsidR="00B24B98" w:rsidRPr="00B24B98" w:rsidRDefault="00B24B98" w:rsidP="00B24B98">
            <w:pPr>
              <w:spacing w:after="0" w:line="240" w:lineRule="auto"/>
              <w:jc w:val="right"/>
              <w:rPr>
                <w:rFonts w:ascii="Calibri" w:eastAsia="Times New Roman" w:hAnsi="Calibri" w:cs="Calibri"/>
                <w:color w:val="000000"/>
                <w:lang w:eastAsia="en-GB"/>
              </w:rPr>
            </w:pPr>
            <w:r w:rsidRPr="00B24B98">
              <w:rPr>
                <w:rFonts w:ascii="Calibri" w:eastAsia="Times New Roman" w:hAnsi="Calibri" w:cs="Calibri"/>
                <w:color w:val="000000"/>
                <w:lang w:eastAsia="en-GB"/>
              </w:rPr>
              <w:t>0.08%</w:t>
            </w:r>
          </w:p>
        </w:tc>
      </w:tr>
      <w:tr w:rsidR="00B24B98" w:rsidRPr="00B24B98" w14:paraId="30C91F02" w14:textId="77777777" w:rsidTr="00B24B98">
        <w:trPr>
          <w:trHeight w:val="290"/>
        </w:trPr>
        <w:tc>
          <w:tcPr>
            <w:tcW w:w="673" w:type="dxa"/>
            <w:tcBorders>
              <w:top w:val="nil"/>
              <w:left w:val="single" w:sz="4" w:space="0" w:color="auto"/>
              <w:bottom w:val="single" w:sz="4" w:space="0" w:color="auto"/>
              <w:right w:val="single" w:sz="4" w:space="0" w:color="auto"/>
            </w:tcBorders>
            <w:shd w:val="clear" w:color="auto" w:fill="auto"/>
            <w:noWrap/>
            <w:vAlign w:val="bottom"/>
            <w:hideMark/>
          </w:tcPr>
          <w:p w14:paraId="23EBE20F" w14:textId="77777777" w:rsidR="00B24B98" w:rsidRPr="00B24B98" w:rsidRDefault="00B24B98" w:rsidP="00B24B98">
            <w:pPr>
              <w:spacing w:after="0" w:line="240" w:lineRule="auto"/>
              <w:jc w:val="right"/>
              <w:rPr>
                <w:rFonts w:ascii="Calibri" w:eastAsia="Times New Roman" w:hAnsi="Calibri" w:cs="Calibri"/>
                <w:color w:val="000000"/>
                <w:lang w:eastAsia="en-GB"/>
              </w:rPr>
            </w:pPr>
            <w:r w:rsidRPr="00B24B98">
              <w:rPr>
                <w:rFonts w:ascii="Calibri" w:eastAsia="Times New Roman" w:hAnsi="Calibri" w:cs="Calibri"/>
                <w:color w:val="000000"/>
                <w:lang w:eastAsia="en-GB"/>
              </w:rPr>
              <w:lastRenderedPageBreak/>
              <w:t>36</w:t>
            </w:r>
          </w:p>
        </w:tc>
        <w:tc>
          <w:tcPr>
            <w:tcW w:w="1180" w:type="dxa"/>
            <w:tcBorders>
              <w:top w:val="nil"/>
              <w:left w:val="nil"/>
              <w:bottom w:val="single" w:sz="4" w:space="0" w:color="auto"/>
              <w:right w:val="single" w:sz="4" w:space="0" w:color="auto"/>
            </w:tcBorders>
            <w:shd w:val="clear" w:color="auto" w:fill="auto"/>
            <w:noWrap/>
            <w:vAlign w:val="center"/>
            <w:hideMark/>
          </w:tcPr>
          <w:p w14:paraId="2B4C10BF" w14:textId="77777777" w:rsidR="00B24B98" w:rsidRPr="00B24B98" w:rsidRDefault="00B24B98" w:rsidP="00B24B98">
            <w:pPr>
              <w:spacing w:after="0" w:line="240" w:lineRule="auto"/>
              <w:rPr>
                <w:rFonts w:ascii="Calibri" w:eastAsia="Times New Roman" w:hAnsi="Calibri" w:cs="Calibri"/>
                <w:color w:val="000000"/>
                <w:lang w:eastAsia="en-GB"/>
              </w:rPr>
            </w:pPr>
            <w:r w:rsidRPr="00B24B98">
              <w:rPr>
                <w:rFonts w:ascii="Calibri" w:eastAsia="Times New Roman" w:hAnsi="Calibri" w:cs="Calibri"/>
                <w:color w:val="000000"/>
                <w:lang w:eastAsia="en-GB"/>
              </w:rPr>
              <w:t>M03</w:t>
            </w:r>
          </w:p>
        </w:tc>
        <w:tc>
          <w:tcPr>
            <w:tcW w:w="4521" w:type="dxa"/>
            <w:tcBorders>
              <w:top w:val="nil"/>
              <w:left w:val="nil"/>
              <w:bottom w:val="single" w:sz="4" w:space="0" w:color="auto"/>
              <w:right w:val="single" w:sz="4" w:space="0" w:color="auto"/>
            </w:tcBorders>
            <w:shd w:val="clear" w:color="auto" w:fill="auto"/>
            <w:noWrap/>
            <w:vAlign w:val="center"/>
            <w:hideMark/>
          </w:tcPr>
          <w:p w14:paraId="202B4B2D" w14:textId="77777777" w:rsidR="00B24B98" w:rsidRPr="00B24B98" w:rsidRDefault="00B24B98" w:rsidP="00B24B98">
            <w:pPr>
              <w:spacing w:after="0" w:line="240" w:lineRule="auto"/>
              <w:rPr>
                <w:rFonts w:ascii="Calibri" w:eastAsia="Times New Roman" w:hAnsi="Calibri" w:cs="Calibri"/>
                <w:color w:val="000000"/>
                <w:lang w:eastAsia="en-GB"/>
              </w:rPr>
            </w:pPr>
            <w:r w:rsidRPr="00B24B98">
              <w:rPr>
                <w:rFonts w:ascii="Calibri" w:eastAsia="Times New Roman" w:hAnsi="Calibri" w:cs="Calibri"/>
                <w:color w:val="000000"/>
                <w:lang w:eastAsia="en-GB"/>
              </w:rPr>
              <w:t>MUSCLE RELAXANTS</w:t>
            </w:r>
          </w:p>
        </w:tc>
        <w:tc>
          <w:tcPr>
            <w:tcW w:w="600" w:type="dxa"/>
            <w:tcBorders>
              <w:top w:val="nil"/>
              <w:left w:val="nil"/>
              <w:bottom w:val="single" w:sz="4" w:space="0" w:color="auto"/>
              <w:right w:val="single" w:sz="4" w:space="0" w:color="auto"/>
            </w:tcBorders>
            <w:shd w:val="clear" w:color="auto" w:fill="auto"/>
            <w:noWrap/>
            <w:vAlign w:val="center"/>
            <w:hideMark/>
          </w:tcPr>
          <w:p w14:paraId="37EFC461" w14:textId="77777777" w:rsidR="00B24B98" w:rsidRPr="00B24B98" w:rsidRDefault="00B24B98" w:rsidP="00B24B98">
            <w:pPr>
              <w:spacing w:after="0" w:line="240" w:lineRule="auto"/>
              <w:jc w:val="right"/>
              <w:rPr>
                <w:rFonts w:ascii="Calibri" w:eastAsia="Times New Roman" w:hAnsi="Calibri" w:cs="Calibri"/>
                <w:color w:val="000000"/>
                <w:lang w:eastAsia="en-GB"/>
              </w:rPr>
            </w:pPr>
            <w:r w:rsidRPr="00B24B98">
              <w:rPr>
                <w:rFonts w:ascii="Calibri" w:eastAsia="Times New Roman" w:hAnsi="Calibri" w:cs="Calibri"/>
                <w:color w:val="000000"/>
                <w:lang w:eastAsia="en-GB"/>
              </w:rPr>
              <w:t>2</w:t>
            </w:r>
          </w:p>
        </w:tc>
        <w:tc>
          <w:tcPr>
            <w:tcW w:w="960" w:type="dxa"/>
            <w:tcBorders>
              <w:top w:val="nil"/>
              <w:left w:val="nil"/>
              <w:bottom w:val="single" w:sz="4" w:space="0" w:color="auto"/>
              <w:right w:val="single" w:sz="4" w:space="0" w:color="auto"/>
            </w:tcBorders>
            <w:shd w:val="clear" w:color="auto" w:fill="auto"/>
            <w:noWrap/>
            <w:vAlign w:val="bottom"/>
            <w:hideMark/>
          </w:tcPr>
          <w:p w14:paraId="044D9E93" w14:textId="77777777" w:rsidR="00B24B98" w:rsidRPr="00B24B98" w:rsidRDefault="00B24B98" w:rsidP="00B24B98">
            <w:pPr>
              <w:spacing w:after="0" w:line="240" w:lineRule="auto"/>
              <w:jc w:val="right"/>
              <w:rPr>
                <w:rFonts w:ascii="Calibri" w:eastAsia="Times New Roman" w:hAnsi="Calibri" w:cs="Calibri"/>
                <w:color w:val="000000"/>
                <w:lang w:eastAsia="en-GB"/>
              </w:rPr>
            </w:pPr>
            <w:r w:rsidRPr="00B24B98">
              <w:rPr>
                <w:rFonts w:ascii="Calibri" w:eastAsia="Times New Roman" w:hAnsi="Calibri" w:cs="Calibri"/>
                <w:color w:val="000000"/>
                <w:lang w:eastAsia="en-GB"/>
              </w:rPr>
              <w:t>0.08%</w:t>
            </w:r>
          </w:p>
        </w:tc>
      </w:tr>
      <w:tr w:rsidR="00B24B98" w:rsidRPr="00B24B98" w14:paraId="360C4A5C" w14:textId="77777777" w:rsidTr="00B24B98">
        <w:trPr>
          <w:trHeight w:val="290"/>
        </w:trPr>
        <w:tc>
          <w:tcPr>
            <w:tcW w:w="673" w:type="dxa"/>
            <w:tcBorders>
              <w:top w:val="nil"/>
              <w:left w:val="single" w:sz="4" w:space="0" w:color="auto"/>
              <w:bottom w:val="single" w:sz="4" w:space="0" w:color="auto"/>
              <w:right w:val="single" w:sz="4" w:space="0" w:color="auto"/>
            </w:tcBorders>
            <w:shd w:val="clear" w:color="auto" w:fill="auto"/>
            <w:noWrap/>
            <w:vAlign w:val="bottom"/>
            <w:hideMark/>
          </w:tcPr>
          <w:p w14:paraId="2EB74CA5" w14:textId="77777777" w:rsidR="00B24B98" w:rsidRPr="00B24B98" w:rsidRDefault="00B24B98" w:rsidP="00B24B98">
            <w:pPr>
              <w:spacing w:after="0" w:line="240" w:lineRule="auto"/>
              <w:jc w:val="right"/>
              <w:rPr>
                <w:rFonts w:ascii="Calibri" w:eastAsia="Times New Roman" w:hAnsi="Calibri" w:cs="Calibri"/>
                <w:color w:val="000000"/>
                <w:lang w:eastAsia="en-GB"/>
              </w:rPr>
            </w:pPr>
            <w:r w:rsidRPr="00B24B98">
              <w:rPr>
                <w:rFonts w:ascii="Calibri" w:eastAsia="Times New Roman" w:hAnsi="Calibri" w:cs="Calibri"/>
                <w:color w:val="000000"/>
                <w:lang w:eastAsia="en-GB"/>
              </w:rPr>
              <w:t>37</w:t>
            </w:r>
          </w:p>
        </w:tc>
        <w:tc>
          <w:tcPr>
            <w:tcW w:w="1180" w:type="dxa"/>
            <w:tcBorders>
              <w:top w:val="nil"/>
              <w:left w:val="nil"/>
              <w:bottom w:val="single" w:sz="4" w:space="0" w:color="auto"/>
              <w:right w:val="single" w:sz="4" w:space="0" w:color="auto"/>
            </w:tcBorders>
            <w:shd w:val="clear" w:color="auto" w:fill="auto"/>
            <w:noWrap/>
            <w:vAlign w:val="center"/>
            <w:hideMark/>
          </w:tcPr>
          <w:p w14:paraId="49042344" w14:textId="77777777" w:rsidR="00B24B98" w:rsidRPr="00B24B98" w:rsidRDefault="00B24B98" w:rsidP="00B24B98">
            <w:pPr>
              <w:spacing w:after="0" w:line="240" w:lineRule="auto"/>
              <w:rPr>
                <w:rFonts w:ascii="Calibri" w:eastAsia="Times New Roman" w:hAnsi="Calibri" w:cs="Calibri"/>
                <w:color w:val="000000"/>
                <w:lang w:eastAsia="en-GB"/>
              </w:rPr>
            </w:pPr>
            <w:r w:rsidRPr="00B24B98">
              <w:rPr>
                <w:rFonts w:ascii="Calibri" w:eastAsia="Times New Roman" w:hAnsi="Calibri" w:cs="Calibri"/>
                <w:color w:val="000000"/>
                <w:lang w:eastAsia="en-GB"/>
              </w:rPr>
              <w:t>N****</w:t>
            </w:r>
          </w:p>
        </w:tc>
        <w:tc>
          <w:tcPr>
            <w:tcW w:w="4521" w:type="dxa"/>
            <w:tcBorders>
              <w:top w:val="nil"/>
              <w:left w:val="nil"/>
              <w:bottom w:val="single" w:sz="4" w:space="0" w:color="auto"/>
              <w:right w:val="single" w:sz="4" w:space="0" w:color="auto"/>
            </w:tcBorders>
            <w:shd w:val="clear" w:color="auto" w:fill="auto"/>
            <w:noWrap/>
            <w:vAlign w:val="center"/>
            <w:hideMark/>
          </w:tcPr>
          <w:p w14:paraId="3EC9D2ED" w14:textId="77777777" w:rsidR="00B24B98" w:rsidRPr="00B24B98" w:rsidRDefault="00B24B98" w:rsidP="00B24B98">
            <w:pPr>
              <w:spacing w:after="0" w:line="240" w:lineRule="auto"/>
              <w:rPr>
                <w:rFonts w:ascii="Calibri" w:eastAsia="Times New Roman" w:hAnsi="Calibri" w:cs="Calibri"/>
                <w:color w:val="000000"/>
                <w:lang w:eastAsia="en-GB"/>
              </w:rPr>
            </w:pPr>
            <w:r w:rsidRPr="00B24B98">
              <w:rPr>
                <w:rFonts w:ascii="Calibri" w:eastAsia="Times New Roman" w:hAnsi="Calibri" w:cs="Calibri"/>
                <w:color w:val="000000"/>
                <w:lang w:eastAsia="en-GB"/>
              </w:rPr>
              <w:t>"Psychotropics" unspecificed</w:t>
            </w:r>
          </w:p>
        </w:tc>
        <w:tc>
          <w:tcPr>
            <w:tcW w:w="600" w:type="dxa"/>
            <w:tcBorders>
              <w:top w:val="nil"/>
              <w:left w:val="nil"/>
              <w:bottom w:val="single" w:sz="4" w:space="0" w:color="auto"/>
              <w:right w:val="single" w:sz="4" w:space="0" w:color="auto"/>
            </w:tcBorders>
            <w:shd w:val="clear" w:color="auto" w:fill="auto"/>
            <w:noWrap/>
            <w:vAlign w:val="center"/>
            <w:hideMark/>
          </w:tcPr>
          <w:p w14:paraId="5FADA52A" w14:textId="77777777" w:rsidR="00B24B98" w:rsidRPr="00B24B98" w:rsidRDefault="00B24B98" w:rsidP="00B24B98">
            <w:pPr>
              <w:spacing w:after="0" w:line="240" w:lineRule="auto"/>
              <w:jc w:val="right"/>
              <w:rPr>
                <w:rFonts w:ascii="Calibri" w:eastAsia="Times New Roman" w:hAnsi="Calibri" w:cs="Calibri"/>
                <w:color w:val="000000"/>
                <w:lang w:eastAsia="en-GB"/>
              </w:rPr>
            </w:pPr>
            <w:r w:rsidRPr="00B24B98">
              <w:rPr>
                <w:rFonts w:ascii="Calibri" w:eastAsia="Times New Roman" w:hAnsi="Calibri" w:cs="Calibri"/>
                <w:color w:val="000000"/>
                <w:lang w:eastAsia="en-GB"/>
              </w:rPr>
              <w:t>2</w:t>
            </w:r>
          </w:p>
        </w:tc>
        <w:tc>
          <w:tcPr>
            <w:tcW w:w="960" w:type="dxa"/>
            <w:tcBorders>
              <w:top w:val="nil"/>
              <w:left w:val="nil"/>
              <w:bottom w:val="single" w:sz="4" w:space="0" w:color="auto"/>
              <w:right w:val="single" w:sz="4" w:space="0" w:color="auto"/>
            </w:tcBorders>
            <w:shd w:val="clear" w:color="auto" w:fill="auto"/>
            <w:noWrap/>
            <w:vAlign w:val="bottom"/>
            <w:hideMark/>
          </w:tcPr>
          <w:p w14:paraId="23A618A5" w14:textId="77777777" w:rsidR="00B24B98" w:rsidRPr="00B24B98" w:rsidRDefault="00B24B98" w:rsidP="00B24B98">
            <w:pPr>
              <w:spacing w:after="0" w:line="240" w:lineRule="auto"/>
              <w:jc w:val="right"/>
              <w:rPr>
                <w:rFonts w:ascii="Calibri" w:eastAsia="Times New Roman" w:hAnsi="Calibri" w:cs="Calibri"/>
                <w:color w:val="000000"/>
                <w:lang w:eastAsia="en-GB"/>
              </w:rPr>
            </w:pPr>
            <w:r w:rsidRPr="00B24B98">
              <w:rPr>
                <w:rFonts w:ascii="Calibri" w:eastAsia="Times New Roman" w:hAnsi="Calibri" w:cs="Calibri"/>
                <w:color w:val="000000"/>
                <w:lang w:eastAsia="en-GB"/>
              </w:rPr>
              <w:t>0.08%</w:t>
            </w:r>
          </w:p>
        </w:tc>
      </w:tr>
      <w:tr w:rsidR="00B24B98" w:rsidRPr="00B24B98" w14:paraId="0CF6ABD8" w14:textId="77777777" w:rsidTr="00B24B98">
        <w:trPr>
          <w:trHeight w:val="290"/>
        </w:trPr>
        <w:tc>
          <w:tcPr>
            <w:tcW w:w="673" w:type="dxa"/>
            <w:tcBorders>
              <w:top w:val="nil"/>
              <w:left w:val="single" w:sz="4" w:space="0" w:color="auto"/>
              <w:bottom w:val="single" w:sz="4" w:space="0" w:color="auto"/>
              <w:right w:val="single" w:sz="4" w:space="0" w:color="auto"/>
            </w:tcBorders>
            <w:shd w:val="clear" w:color="auto" w:fill="auto"/>
            <w:noWrap/>
            <w:vAlign w:val="bottom"/>
            <w:hideMark/>
          </w:tcPr>
          <w:p w14:paraId="108D6BCA" w14:textId="77777777" w:rsidR="00B24B98" w:rsidRPr="00B24B98" w:rsidRDefault="00B24B98" w:rsidP="00B24B98">
            <w:pPr>
              <w:spacing w:after="0" w:line="240" w:lineRule="auto"/>
              <w:jc w:val="right"/>
              <w:rPr>
                <w:rFonts w:ascii="Calibri" w:eastAsia="Times New Roman" w:hAnsi="Calibri" w:cs="Calibri"/>
                <w:color w:val="000000"/>
                <w:lang w:eastAsia="en-GB"/>
              </w:rPr>
            </w:pPr>
            <w:r w:rsidRPr="00B24B98">
              <w:rPr>
                <w:rFonts w:ascii="Calibri" w:eastAsia="Times New Roman" w:hAnsi="Calibri" w:cs="Calibri"/>
                <w:color w:val="000000"/>
                <w:lang w:eastAsia="en-GB"/>
              </w:rPr>
              <w:t>38</w:t>
            </w:r>
          </w:p>
        </w:tc>
        <w:tc>
          <w:tcPr>
            <w:tcW w:w="1180" w:type="dxa"/>
            <w:tcBorders>
              <w:top w:val="nil"/>
              <w:left w:val="nil"/>
              <w:bottom w:val="single" w:sz="4" w:space="0" w:color="auto"/>
              <w:right w:val="single" w:sz="4" w:space="0" w:color="auto"/>
            </w:tcBorders>
            <w:shd w:val="clear" w:color="auto" w:fill="auto"/>
            <w:noWrap/>
            <w:vAlign w:val="center"/>
            <w:hideMark/>
          </w:tcPr>
          <w:p w14:paraId="1C6CD8FC" w14:textId="77777777" w:rsidR="00B24B98" w:rsidRPr="00B24B98" w:rsidRDefault="00B24B98" w:rsidP="00B24B98">
            <w:pPr>
              <w:spacing w:after="0" w:line="240" w:lineRule="auto"/>
              <w:rPr>
                <w:rFonts w:ascii="Calibri" w:eastAsia="Times New Roman" w:hAnsi="Calibri" w:cs="Calibri"/>
                <w:color w:val="000000"/>
                <w:lang w:eastAsia="en-GB"/>
              </w:rPr>
            </w:pPr>
            <w:r w:rsidRPr="00B24B98">
              <w:rPr>
                <w:rFonts w:ascii="Calibri" w:eastAsia="Times New Roman" w:hAnsi="Calibri" w:cs="Calibri"/>
                <w:color w:val="000000"/>
                <w:lang w:eastAsia="en-GB"/>
              </w:rPr>
              <w:t>N01</w:t>
            </w:r>
          </w:p>
        </w:tc>
        <w:tc>
          <w:tcPr>
            <w:tcW w:w="4521" w:type="dxa"/>
            <w:tcBorders>
              <w:top w:val="nil"/>
              <w:left w:val="nil"/>
              <w:bottom w:val="single" w:sz="4" w:space="0" w:color="auto"/>
              <w:right w:val="single" w:sz="4" w:space="0" w:color="auto"/>
            </w:tcBorders>
            <w:shd w:val="clear" w:color="auto" w:fill="auto"/>
            <w:noWrap/>
            <w:vAlign w:val="center"/>
            <w:hideMark/>
          </w:tcPr>
          <w:p w14:paraId="16CD02A8" w14:textId="77777777" w:rsidR="00B24B98" w:rsidRPr="00B24B98" w:rsidRDefault="00B24B98" w:rsidP="00B24B98">
            <w:pPr>
              <w:spacing w:after="0" w:line="240" w:lineRule="auto"/>
              <w:rPr>
                <w:rFonts w:ascii="Calibri" w:eastAsia="Times New Roman" w:hAnsi="Calibri" w:cs="Calibri"/>
                <w:color w:val="000000"/>
                <w:lang w:eastAsia="en-GB"/>
              </w:rPr>
            </w:pPr>
            <w:r w:rsidRPr="00B24B98">
              <w:rPr>
                <w:rFonts w:ascii="Calibri" w:eastAsia="Times New Roman" w:hAnsi="Calibri" w:cs="Calibri"/>
                <w:color w:val="000000"/>
                <w:lang w:eastAsia="en-GB"/>
              </w:rPr>
              <w:t>ANESTHETICS</w:t>
            </w:r>
          </w:p>
        </w:tc>
        <w:tc>
          <w:tcPr>
            <w:tcW w:w="600" w:type="dxa"/>
            <w:tcBorders>
              <w:top w:val="nil"/>
              <w:left w:val="nil"/>
              <w:bottom w:val="single" w:sz="4" w:space="0" w:color="auto"/>
              <w:right w:val="single" w:sz="4" w:space="0" w:color="auto"/>
            </w:tcBorders>
            <w:shd w:val="clear" w:color="auto" w:fill="auto"/>
            <w:noWrap/>
            <w:vAlign w:val="center"/>
            <w:hideMark/>
          </w:tcPr>
          <w:p w14:paraId="51EBA8F8" w14:textId="77777777" w:rsidR="00B24B98" w:rsidRPr="00B24B98" w:rsidRDefault="00B24B98" w:rsidP="00B24B98">
            <w:pPr>
              <w:spacing w:after="0" w:line="240" w:lineRule="auto"/>
              <w:jc w:val="right"/>
              <w:rPr>
                <w:rFonts w:ascii="Calibri" w:eastAsia="Times New Roman" w:hAnsi="Calibri" w:cs="Calibri"/>
                <w:color w:val="000000"/>
                <w:lang w:eastAsia="en-GB"/>
              </w:rPr>
            </w:pPr>
            <w:r w:rsidRPr="00B24B98">
              <w:rPr>
                <w:rFonts w:ascii="Calibri" w:eastAsia="Times New Roman" w:hAnsi="Calibri" w:cs="Calibri"/>
                <w:color w:val="000000"/>
                <w:lang w:eastAsia="en-GB"/>
              </w:rPr>
              <w:t>2</w:t>
            </w:r>
          </w:p>
        </w:tc>
        <w:tc>
          <w:tcPr>
            <w:tcW w:w="960" w:type="dxa"/>
            <w:tcBorders>
              <w:top w:val="nil"/>
              <w:left w:val="nil"/>
              <w:bottom w:val="single" w:sz="4" w:space="0" w:color="auto"/>
              <w:right w:val="single" w:sz="4" w:space="0" w:color="auto"/>
            </w:tcBorders>
            <w:shd w:val="clear" w:color="auto" w:fill="auto"/>
            <w:noWrap/>
            <w:vAlign w:val="bottom"/>
            <w:hideMark/>
          </w:tcPr>
          <w:p w14:paraId="58BE05F0" w14:textId="77777777" w:rsidR="00B24B98" w:rsidRPr="00B24B98" w:rsidRDefault="00B24B98" w:rsidP="00B24B98">
            <w:pPr>
              <w:spacing w:after="0" w:line="240" w:lineRule="auto"/>
              <w:jc w:val="right"/>
              <w:rPr>
                <w:rFonts w:ascii="Calibri" w:eastAsia="Times New Roman" w:hAnsi="Calibri" w:cs="Calibri"/>
                <w:color w:val="000000"/>
                <w:lang w:eastAsia="en-GB"/>
              </w:rPr>
            </w:pPr>
            <w:r w:rsidRPr="00B24B98">
              <w:rPr>
                <w:rFonts w:ascii="Calibri" w:eastAsia="Times New Roman" w:hAnsi="Calibri" w:cs="Calibri"/>
                <w:color w:val="000000"/>
                <w:lang w:eastAsia="en-GB"/>
              </w:rPr>
              <w:t>0.08%</w:t>
            </w:r>
          </w:p>
        </w:tc>
      </w:tr>
      <w:tr w:rsidR="00B24B98" w:rsidRPr="00B24B98" w14:paraId="10CFDF2B" w14:textId="77777777" w:rsidTr="00B24B98">
        <w:trPr>
          <w:trHeight w:val="290"/>
        </w:trPr>
        <w:tc>
          <w:tcPr>
            <w:tcW w:w="673" w:type="dxa"/>
            <w:tcBorders>
              <w:top w:val="nil"/>
              <w:left w:val="single" w:sz="4" w:space="0" w:color="auto"/>
              <w:bottom w:val="single" w:sz="4" w:space="0" w:color="auto"/>
              <w:right w:val="single" w:sz="4" w:space="0" w:color="auto"/>
            </w:tcBorders>
            <w:shd w:val="clear" w:color="auto" w:fill="auto"/>
            <w:noWrap/>
            <w:vAlign w:val="bottom"/>
            <w:hideMark/>
          </w:tcPr>
          <w:p w14:paraId="6E2B4745" w14:textId="77777777" w:rsidR="00B24B98" w:rsidRPr="00B24B98" w:rsidRDefault="00B24B98" w:rsidP="00B24B98">
            <w:pPr>
              <w:spacing w:after="0" w:line="240" w:lineRule="auto"/>
              <w:jc w:val="right"/>
              <w:rPr>
                <w:rFonts w:ascii="Calibri" w:eastAsia="Times New Roman" w:hAnsi="Calibri" w:cs="Calibri"/>
                <w:color w:val="000000"/>
                <w:lang w:eastAsia="en-GB"/>
              </w:rPr>
            </w:pPr>
            <w:r w:rsidRPr="00B24B98">
              <w:rPr>
                <w:rFonts w:ascii="Calibri" w:eastAsia="Times New Roman" w:hAnsi="Calibri" w:cs="Calibri"/>
                <w:color w:val="000000"/>
                <w:lang w:eastAsia="en-GB"/>
              </w:rPr>
              <w:t>39</w:t>
            </w:r>
          </w:p>
        </w:tc>
        <w:tc>
          <w:tcPr>
            <w:tcW w:w="1180" w:type="dxa"/>
            <w:tcBorders>
              <w:top w:val="nil"/>
              <w:left w:val="nil"/>
              <w:bottom w:val="single" w:sz="4" w:space="0" w:color="auto"/>
              <w:right w:val="single" w:sz="4" w:space="0" w:color="auto"/>
            </w:tcBorders>
            <w:shd w:val="clear" w:color="auto" w:fill="auto"/>
            <w:noWrap/>
            <w:vAlign w:val="center"/>
            <w:hideMark/>
          </w:tcPr>
          <w:p w14:paraId="0D5A1F0D" w14:textId="77777777" w:rsidR="00B24B98" w:rsidRPr="00B24B98" w:rsidRDefault="00B24B98" w:rsidP="00B24B98">
            <w:pPr>
              <w:spacing w:after="0" w:line="240" w:lineRule="auto"/>
              <w:rPr>
                <w:rFonts w:ascii="Calibri" w:eastAsia="Times New Roman" w:hAnsi="Calibri" w:cs="Calibri"/>
                <w:color w:val="000000"/>
                <w:lang w:eastAsia="en-GB"/>
              </w:rPr>
            </w:pPr>
            <w:r w:rsidRPr="00B24B98">
              <w:rPr>
                <w:rFonts w:ascii="Calibri" w:eastAsia="Times New Roman" w:hAnsi="Calibri" w:cs="Calibri"/>
                <w:color w:val="000000"/>
                <w:lang w:eastAsia="en-GB"/>
              </w:rPr>
              <w:t>R05</w:t>
            </w:r>
          </w:p>
        </w:tc>
        <w:tc>
          <w:tcPr>
            <w:tcW w:w="4521" w:type="dxa"/>
            <w:tcBorders>
              <w:top w:val="nil"/>
              <w:left w:val="nil"/>
              <w:bottom w:val="single" w:sz="4" w:space="0" w:color="auto"/>
              <w:right w:val="single" w:sz="4" w:space="0" w:color="auto"/>
            </w:tcBorders>
            <w:shd w:val="clear" w:color="auto" w:fill="auto"/>
            <w:noWrap/>
            <w:vAlign w:val="center"/>
            <w:hideMark/>
          </w:tcPr>
          <w:p w14:paraId="5565E84C" w14:textId="77777777" w:rsidR="00B24B98" w:rsidRPr="00B24B98" w:rsidRDefault="00B24B98" w:rsidP="00B24B98">
            <w:pPr>
              <w:spacing w:after="0" w:line="240" w:lineRule="auto"/>
              <w:rPr>
                <w:rFonts w:ascii="Calibri" w:eastAsia="Times New Roman" w:hAnsi="Calibri" w:cs="Calibri"/>
                <w:color w:val="000000"/>
                <w:lang w:eastAsia="en-GB"/>
              </w:rPr>
            </w:pPr>
            <w:r w:rsidRPr="00B24B98">
              <w:rPr>
                <w:rFonts w:ascii="Calibri" w:eastAsia="Times New Roman" w:hAnsi="Calibri" w:cs="Calibri"/>
                <w:color w:val="000000"/>
                <w:lang w:eastAsia="en-GB"/>
              </w:rPr>
              <w:t>COUGH AND COLD PREPARATIONS</w:t>
            </w:r>
          </w:p>
        </w:tc>
        <w:tc>
          <w:tcPr>
            <w:tcW w:w="600" w:type="dxa"/>
            <w:tcBorders>
              <w:top w:val="nil"/>
              <w:left w:val="nil"/>
              <w:bottom w:val="single" w:sz="4" w:space="0" w:color="auto"/>
              <w:right w:val="single" w:sz="4" w:space="0" w:color="auto"/>
            </w:tcBorders>
            <w:shd w:val="clear" w:color="auto" w:fill="auto"/>
            <w:noWrap/>
            <w:vAlign w:val="center"/>
            <w:hideMark/>
          </w:tcPr>
          <w:p w14:paraId="418D9CC0" w14:textId="77777777" w:rsidR="00B24B98" w:rsidRPr="00B24B98" w:rsidRDefault="00B24B98" w:rsidP="00B24B98">
            <w:pPr>
              <w:spacing w:after="0" w:line="240" w:lineRule="auto"/>
              <w:jc w:val="right"/>
              <w:rPr>
                <w:rFonts w:ascii="Calibri" w:eastAsia="Times New Roman" w:hAnsi="Calibri" w:cs="Calibri"/>
                <w:color w:val="000000"/>
                <w:lang w:eastAsia="en-GB"/>
              </w:rPr>
            </w:pPr>
            <w:r w:rsidRPr="00B24B98">
              <w:rPr>
                <w:rFonts w:ascii="Calibri" w:eastAsia="Times New Roman" w:hAnsi="Calibri" w:cs="Calibri"/>
                <w:color w:val="000000"/>
                <w:lang w:eastAsia="en-GB"/>
              </w:rPr>
              <w:t>2</w:t>
            </w:r>
          </w:p>
        </w:tc>
        <w:tc>
          <w:tcPr>
            <w:tcW w:w="960" w:type="dxa"/>
            <w:tcBorders>
              <w:top w:val="nil"/>
              <w:left w:val="nil"/>
              <w:bottom w:val="single" w:sz="4" w:space="0" w:color="auto"/>
              <w:right w:val="single" w:sz="4" w:space="0" w:color="auto"/>
            </w:tcBorders>
            <w:shd w:val="clear" w:color="auto" w:fill="auto"/>
            <w:noWrap/>
            <w:vAlign w:val="bottom"/>
            <w:hideMark/>
          </w:tcPr>
          <w:p w14:paraId="70C3563A" w14:textId="77777777" w:rsidR="00B24B98" w:rsidRPr="00B24B98" w:rsidRDefault="00B24B98" w:rsidP="00B24B98">
            <w:pPr>
              <w:spacing w:after="0" w:line="240" w:lineRule="auto"/>
              <w:jc w:val="right"/>
              <w:rPr>
                <w:rFonts w:ascii="Calibri" w:eastAsia="Times New Roman" w:hAnsi="Calibri" w:cs="Calibri"/>
                <w:color w:val="000000"/>
                <w:lang w:eastAsia="en-GB"/>
              </w:rPr>
            </w:pPr>
            <w:r w:rsidRPr="00B24B98">
              <w:rPr>
                <w:rFonts w:ascii="Calibri" w:eastAsia="Times New Roman" w:hAnsi="Calibri" w:cs="Calibri"/>
                <w:color w:val="000000"/>
                <w:lang w:eastAsia="en-GB"/>
              </w:rPr>
              <w:t>0.08%</w:t>
            </w:r>
          </w:p>
        </w:tc>
      </w:tr>
      <w:tr w:rsidR="00B24B98" w:rsidRPr="00B24B98" w14:paraId="7B7AE4DF" w14:textId="77777777" w:rsidTr="00B24B98">
        <w:trPr>
          <w:trHeight w:val="290"/>
        </w:trPr>
        <w:tc>
          <w:tcPr>
            <w:tcW w:w="673" w:type="dxa"/>
            <w:tcBorders>
              <w:top w:val="nil"/>
              <w:left w:val="single" w:sz="4" w:space="0" w:color="auto"/>
              <w:bottom w:val="single" w:sz="4" w:space="0" w:color="auto"/>
              <w:right w:val="single" w:sz="4" w:space="0" w:color="auto"/>
            </w:tcBorders>
            <w:shd w:val="clear" w:color="auto" w:fill="auto"/>
            <w:noWrap/>
            <w:vAlign w:val="bottom"/>
            <w:hideMark/>
          </w:tcPr>
          <w:p w14:paraId="11B11DE9" w14:textId="77777777" w:rsidR="00B24B98" w:rsidRPr="00B24B98" w:rsidRDefault="00B24B98" w:rsidP="00B24B98">
            <w:pPr>
              <w:spacing w:after="0" w:line="240" w:lineRule="auto"/>
              <w:jc w:val="right"/>
              <w:rPr>
                <w:rFonts w:ascii="Calibri" w:eastAsia="Times New Roman" w:hAnsi="Calibri" w:cs="Calibri"/>
                <w:color w:val="000000"/>
                <w:lang w:eastAsia="en-GB"/>
              </w:rPr>
            </w:pPr>
            <w:r w:rsidRPr="00B24B98">
              <w:rPr>
                <w:rFonts w:ascii="Calibri" w:eastAsia="Times New Roman" w:hAnsi="Calibri" w:cs="Calibri"/>
                <w:color w:val="000000"/>
                <w:lang w:eastAsia="en-GB"/>
              </w:rPr>
              <w:t>40</w:t>
            </w:r>
          </w:p>
        </w:tc>
        <w:tc>
          <w:tcPr>
            <w:tcW w:w="1180" w:type="dxa"/>
            <w:tcBorders>
              <w:top w:val="nil"/>
              <w:left w:val="nil"/>
              <w:bottom w:val="single" w:sz="4" w:space="0" w:color="auto"/>
              <w:right w:val="single" w:sz="4" w:space="0" w:color="auto"/>
            </w:tcBorders>
            <w:shd w:val="clear" w:color="auto" w:fill="auto"/>
            <w:noWrap/>
            <w:vAlign w:val="center"/>
            <w:hideMark/>
          </w:tcPr>
          <w:p w14:paraId="52D52A57" w14:textId="77777777" w:rsidR="00B24B98" w:rsidRPr="00B24B98" w:rsidRDefault="00B24B98" w:rsidP="00B24B98">
            <w:pPr>
              <w:spacing w:after="0" w:line="240" w:lineRule="auto"/>
              <w:rPr>
                <w:rFonts w:ascii="Calibri" w:eastAsia="Times New Roman" w:hAnsi="Calibri" w:cs="Calibri"/>
                <w:color w:val="000000"/>
                <w:lang w:eastAsia="en-GB"/>
              </w:rPr>
            </w:pPr>
            <w:r w:rsidRPr="00B24B98">
              <w:rPr>
                <w:rFonts w:ascii="Calibri" w:eastAsia="Times New Roman" w:hAnsi="Calibri" w:cs="Calibri"/>
                <w:color w:val="000000"/>
                <w:lang w:eastAsia="en-GB"/>
              </w:rPr>
              <w:t>R06</w:t>
            </w:r>
          </w:p>
        </w:tc>
        <w:tc>
          <w:tcPr>
            <w:tcW w:w="4521" w:type="dxa"/>
            <w:tcBorders>
              <w:top w:val="nil"/>
              <w:left w:val="nil"/>
              <w:bottom w:val="single" w:sz="4" w:space="0" w:color="auto"/>
              <w:right w:val="single" w:sz="4" w:space="0" w:color="auto"/>
            </w:tcBorders>
            <w:shd w:val="clear" w:color="auto" w:fill="auto"/>
            <w:noWrap/>
            <w:vAlign w:val="center"/>
            <w:hideMark/>
          </w:tcPr>
          <w:p w14:paraId="56C63C5F" w14:textId="77777777" w:rsidR="00B24B98" w:rsidRPr="00B24B98" w:rsidRDefault="00B24B98" w:rsidP="00B24B98">
            <w:pPr>
              <w:spacing w:after="0" w:line="240" w:lineRule="auto"/>
              <w:rPr>
                <w:rFonts w:ascii="Calibri" w:eastAsia="Times New Roman" w:hAnsi="Calibri" w:cs="Calibri"/>
                <w:color w:val="000000"/>
                <w:lang w:eastAsia="en-GB"/>
              </w:rPr>
            </w:pPr>
            <w:r w:rsidRPr="00B24B98">
              <w:rPr>
                <w:rFonts w:ascii="Calibri" w:eastAsia="Times New Roman" w:hAnsi="Calibri" w:cs="Calibri"/>
                <w:color w:val="000000"/>
                <w:lang w:eastAsia="en-GB"/>
              </w:rPr>
              <w:t>ANTIHISTAMINES FOR SYSTEMIC USE</w:t>
            </w:r>
          </w:p>
        </w:tc>
        <w:tc>
          <w:tcPr>
            <w:tcW w:w="600" w:type="dxa"/>
            <w:tcBorders>
              <w:top w:val="nil"/>
              <w:left w:val="nil"/>
              <w:bottom w:val="single" w:sz="4" w:space="0" w:color="auto"/>
              <w:right w:val="single" w:sz="4" w:space="0" w:color="auto"/>
            </w:tcBorders>
            <w:shd w:val="clear" w:color="auto" w:fill="auto"/>
            <w:noWrap/>
            <w:vAlign w:val="center"/>
            <w:hideMark/>
          </w:tcPr>
          <w:p w14:paraId="0E06F084" w14:textId="77777777" w:rsidR="00B24B98" w:rsidRPr="00B24B98" w:rsidRDefault="00B24B98" w:rsidP="00B24B98">
            <w:pPr>
              <w:spacing w:after="0" w:line="240" w:lineRule="auto"/>
              <w:jc w:val="right"/>
              <w:rPr>
                <w:rFonts w:ascii="Calibri" w:eastAsia="Times New Roman" w:hAnsi="Calibri" w:cs="Calibri"/>
                <w:color w:val="000000"/>
                <w:lang w:eastAsia="en-GB"/>
              </w:rPr>
            </w:pPr>
            <w:r w:rsidRPr="00B24B98">
              <w:rPr>
                <w:rFonts w:ascii="Calibri" w:eastAsia="Times New Roman" w:hAnsi="Calibri" w:cs="Calibri"/>
                <w:color w:val="000000"/>
                <w:lang w:eastAsia="en-GB"/>
              </w:rPr>
              <w:t>2</w:t>
            </w:r>
          </w:p>
        </w:tc>
        <w:tc>
          <w:tcPr>
            <w:tcW w:w="960" w:type="dxa"/>
            <w:tcBorders>
              <w:top w:val="nil"/>
              <w:left w:val="nil"/>
              <w:bottom w:val="single" w:sz="4" w:space="0" w:color="auto"/>
              <w:right w:val="single" w:sz="4" w:space="0" w:color="auto"/>
            </w:tcBorders>
            <w:shd w:val="clear" w:color="auto" w:fill="auto"/>
            <w:noWrap/>
            <w:vAlign w:val="bottom"/>
            <w:hideMark/>
          </w:tcPr>
          <w:p w14:paraId="3B45AFED" w14:textId="77777777" w:rsidR="00B24B98" w:rsidRPr="00B24B98" w:rsidRDefault="00B24B98" w:rsidP="00B24B98">
            <w:pPr>
              <w:spacing w:after="0" w:line="240" w:lineRule="auto"/>
              <w:jc w:val="right"/>
              <w:rPr>
                <w:rFonts w:ascii="Calibri" w:eastAsia="Times New Roman" w:hAnsi="Calibri" w:cs="Calibri"/>
                <w:color w:val="000000"/>
                <w:lang w:eastAsia="en-GB"/>
              </w:rPr>
            </w:pPr>
            <w:r w:rsidRPr="00B24B98">
              <w:rPr>
                <w:rFonts w:ascii="Calibri" w:eastAsia="Times New Roman" w:hAnsi="Calibri" w:cs="Calibri"/>
                <w:color w:val="000000"/>
                <w:lang w:eastAsia="en-GB"/>
              </w:rPr>
              <w:t>0.08%</w:t>
            </w:r>
          </w:p>
        </w:tc>
      </w:tr>
      <w:tr w:rsidR="00B24B98" w:rsidRPr="00B24B98" w14:paraId="29DB8E30" w14:textId="77777777" w:rsidTr="00B24B98">
        <w:trPr>
          <w:trHeight w:val="290"/>
        </w:trPr>
        <w:tc>
          <w:tcPr>
            <w:tcW w:w="673" w:type="dxa"/>
            <w:tcBorders>
              <w:top w:val="nil"/>
              <w:left w:val="single" w:sz="4" w:space="0" w:color="auto"/>
              <w:bottom w:val="single" w:sz="4" w:space="0" w:color="auto"/>
              <w:right w:val="single" w:sz="4" w:space="0" w:color="auto"/>
            </w:tcBorders>
            <w:shd w:val="clear" w:color="auto" w:fill="auto"/>
            <w:noWrap/>
            <w:vAlign w:val="bottom"/>
            <w:hideMark/>
          </w:tcPr>
          <w:p w14:paraId="34AB2DAF" w14:textId="77777777" w:rsidR="00B24B98" w:rsidRPr="00B24B98" w:rsidRDefault="00B24B98" w:rsidP="00B24B98">
            <w:pPr>
              <w:spacing w:after="0" w:line="240" w:lineRule="auto"/>
              <w:jc w:val="right"/>
              <w:rPr>
                <w:rFonts w:ascii="Calibri" w:eastAsia="Times New Roman" w:hAnsi="Calibri" w:cs="Calibri"/>
                <w:color w:val="000000"/>
                <w:lang w:eastAsia="en-GB"/>
              </w:rPr>
            </w:pPr>
            <w:r w:rsidRPr="00B24B98">
              <w:rPr>
                <w:rFonts w:ascii="Calibri" w:eastAsia="Times New Roman" w:hAnsi="Calibri" w:cs="Calibri"/>
                <w:color w:val="000000"/>
                <w:lang w:eastAsia="en-GB"/>
              </w:rPr>
              <w:t>41</w:t>
            </w:r>
          </w:p>
        </w:tc>
        <w:tc>
          <w:tcPr>
            <w:tcW w:w="1180" w:type="dxa"/>
            <w:tcBorders>
              <w:top w:val="nil"/>
              <w:left w:val="nil"/>
              <w:bottom w:val="single" w:sz="4" w:space="0" w:color="auto"/>
              <w:right w:val="single" w:sz="4" w:space="0" w:color="auto"/>
            </w:tcBorders>
            <w:shd w:val="clear" w:color="auto" w:fill="auto"/>
            <w:noWrap/>
            <w:vAlign w:val="center"/>
            <w:hideMark/>
          </w:tcPr>
          <w:p w14:paraId="260450FE" w14:textId="77777777" w:rsidR="00B24B98" w:rsidRPr="00B24B98" w:rsidRDefault="00B24B98" w:rsidP="00B24B98">
            <w:pPr>
              <w:spacing w:after="0" w:line="240" w:lineRule="auto"/>
              <w:rPr>
                <w:rFonts w:ascii="Calibri" w:eastAsia="Times New Roman" w:hAnsi="Calibri" w:cs="Calibri"/>
                <w:color w:val="000000"/>
                <w:lang w:eastAsia="en-GB"/>
              </w:rPr>
            </w:pPr>
            <w:r w:rsidRPr="00B24B98">
              <w:rPr>
                <w:rFonts w:ascii="Calibri" w:eastAsia="Times New Roman" w:hAnsi="Calibri" w:cs="Calibri"/>
                <w:color w:val="000000"/>
                <w:lang w:eastAsia="en-GB"/>
              </w:rPr>
              <w:t>A04</w:t>
            </w:r>
          </w:p>
        </w:tc>
        <w:tc>
          <w:tcPr>
            <w:tcW w:w="4521" w:type="dxa"/>
            <w:tcBorders>
              <w:top w:val="nil"/>
              <w:left w:val="nil"/>
              <w:bottom w:val="single" w:sz="4" w:space="0" w:color="auto"/>
              <w:right w:val="single" w:sz="4" w:space="0" w:color="auto"/>
            </w:tcBorders>
            <w:shd w:val="clear" w:color="auto" w:fill="auto"/>
            <w:noWrap/>
            <w:vAlign w:val="center"/>
            <w:hideMark/>
          </w:tcPr>
          <w:p w14:paraId="0EA3DF84" w14:textId="77777777" w:rsidR="00B24B98" w:rsidRPr="00B24B98" w:rsidRDefault="00B24B98" w:rsidP="00B24B98">
            <w:pPr>
              <w:spacing w:after="0" w:line="240" w:lineRule="auto"/>
              <w:rPr>
                <w:rFonts w:ascii="Calibri" w:eastAsia="Times New Roman" w:hAnsi="Calibri" w:cs="Calibri"/>
                <w:color w:val="000000"/>
                <w:lang w:eastAsia="en-GB"/>
              </w:rPr>
            </w:pPr>
            <w:r w:rsidRPr="00B24B98">
              <w:rPr>
                <w:rFonts w:ascii="Calibri" w:eastAsia="Times New Roman" w:hAnsi="Calibri" w:cs="Calibri"/>
                <w:color w:val="000000"/>
                <w:lang w:eastAsia="en-GB"/>
              </w:rPr>
              <w:t>ANTIEMETICS AND ANTINAUSEANTS</w:t>
            </w:r>
          </w:p>
        </w:tc>
        <w:tc>
          <w:tcPr>
            <w:tcW w:w="600" w:type="dxa"/>
            <w:tcBorders>
              <w:top w:val="nil"/>
              <w:left w:val="nil"/>
              <w:bottom w:val="single" w:sz="4" w:space="0" w:color="auto"/>
              <w:right w:val="single" w:sz="4" w:space="0" w:color="auto"/>
            </w:tcBorders>
            <w:shd w:val="clear" w:color="auto" w:fill="auto"/>
            <w:noWrap/>
            <w:vAlign w:val="center"/>
            <w:hideMark/>
          </w:tcPr>
          <w:p w14:paraId="3FC28A1E" w14:textId="77777777" w:rsidR="00B24B98" w:rsidRPr="00B24B98" w:rsidRDefault="00B24B98" w:rsidP="00B24B98">
            <w:pPr>
              <w:spacing w:after="0" w:line="240" w:lineRule="auto"/>
              <w:jc w:val="right"/>
              <w:rPr>
                <w:rFonts w:ascii="Calibri" w:eastAsia="Times New Roman" w:hAnsi="Calibri" w:cs="Calibri"/>
                <w:color w:val="000000"/>
                <w:lang w:eastAsia="en-GB"/>
              </w:rPr>
            </w:pPr>
            <w:r w:rsidRPr="00B24B98">
              <w:rPr>
                <w:rFonts w:ascii="Calibri" w:eastAsia="Times New Roman" w:hAnsi="Calibri" w:cs="Calibri"/>
                <w:color w:val="000000"/>
                <w:lang w:eastAsia="en-GB"/>
              </w:rPr>
              <w:t>1</w:t>
            </w:r>
          </w:p>
        </w:tc>
        <w:tc>
          <w:tcPr>
            <w:tcW w:w="960" w:type="dxa"/>
            <w:tcBorders>
              <w:top w:val="nil"/>
              <w:left w:val="nil"/>
              <w:bottom w:val="single" w:sz="4" w:space="0" w:color="auto"/>
              <w:right w:val="single" w:sz="4" w:space="0" w:color="auto"/>
            </w:tcBorders>
            <w:shd w:val="clear" w:color="auto" w:fill="auto"/>
            <w:noWrap/>
            <w:vAlign w:val="bottom"/>
            <w:hideMark/>
          </w:tcPr>
          <w:p w14:paraId="25397F76" w14:textId="77777777" w:rsidR="00B24B98" w:rsidRPr="00B24B98" w:rsidRDefault="00B24B98" w:rsidP="00B24B98">
            <w:pPr>
              <w:spacing w:after="0" w:line="240" w:lineRule="auto"/>
              <w:jc w:val="right"/>
              <w:rPr>
                <w:rFonts w:ascii="Calibri" w:eastAsia="Times New Roman" w:hAnsi="Calibri" w:cs="Calibri"/>
                <w:color w:val="000000"/>
                <w:lang w:eastAsia="en-GB"/>
              </w:rPr>
            </w:pPr>
            <w:r w:rsidRPr="00B24B98">
              <w:rPr>
                <w:rFonts w:ascii="Calibri" w:eastAsia="Times New Roman" w:hAnsi="Calibri" w:cs="Calibri"/>
                <w:color w:val="000000"/>
                <w:lang w:eastAsia="en-GB"/>
              </w:rPr>
              <w:t>0.04%</w:t>
            </w:r>
          </w:p>
        </w:tc>
      </w:tr>
      <w:tr w:rsidR="00B24B98" w:rsidRPr="00B24B98" w14:paraId="40E32011" w14:textId="77777777" w:rsidTr="00B24B98">
        <w:trPr>
          <w:trHeight w:val="290"/>
        </w:trPr>
        <w:tc>
          <w:tcPr>
            <w:tcW w:w="673" w:type="dxa"/>
            <w:tcBorders>
              <w:top w:val="nil"/>
              <w:left w:val="single" w:sz="4" w:space="0" w:color="auto"/>
              <w:bottom w:val="single" w:sz="4" w:space="0" w:color="auto"/>
              <w:right w:val="single" w:sz="4" w:space="0" w:color="auto"/>
            </w:tcBorders>
            <w:shd w:val="clear" w:color="auto" w:fill="auto"/>
            <w:noWrap/>
            <w:vAlign w:val="bottom"/>
            <w:hideMark/>
          </w:tcPr>
          <w:p w14:paraId="66EA8361" w14:textId="77777777" w:rsidR="00B24B98" w:rsidRPr="00B24B98" w:rsidRDefault="00B24B98" w:rsidP="00B24B98">
            <w:pPr>
              <w:spacing w:after="0" w:line="240" w:lineRule="auto"/>
              <w:jc w:val="right"/>
              <w:rPr>
                <w:rFonts w:ascii="Calibri" w:eastAsia="Times New Roman" w:hAnsi="Calibri" w:cs="Calibri"/>
                <w:color w:val="000000"/>
                <w:lang w:eastAsia="en-GB"/>
              </w:rPr>
            </w:pPr>
            <w:r w:rsidRPr="00B24B98">
              <w:rPr>
                <w:rFonts w:ascii="Calibri" w:eastAsia="Times New Roman" w:hAnsi="Calibri" w:cs="Calibri"/>
                <w:color w:val="000000"/>
                <w:lang w:eastAsia="en-GB"/>
              </w:rPr>
              <w:t>42</w:t>
            </w:r>
          </w:p>
        </w:tc>
        <w:tc>
          <w:tcPr>
            <w:tcW w:w="1180" w:type="dxa"/>
            <w:tcBorders>
              <w:top w:val="nil"/>
              <w:left w:val="nil"/>
              <w:bottom w:val="single" w:sz="4" w:space="0" w:color="auto"/>
              <w:right w:val="single" w:sz="4" w:space="0" w:color="auto"/>
            </w:tcBorders>
            <w:shd w:val="clear" w:color="auto" w:fill="auto"/>
            <w:noWrap/>
            <w:vAlign w:val="center"/>
            <w:hideMark/>
          </w:tcPr>
          <w:p w14:paraId="4DBF0611" w14:textId="77777777" w:rsidR="00B24B98" w:rsidRPr="00B24B98" w:rsidRDefault="00B24B98" w:rsidP="00B24B98">
            <w:pPr>
              <w:spacing w:after="0" w:line="240" w:lineRule="auto"/>
              <w:rPr>
                <w:rFonts w:ascii="Calibri" w:eastAsia="Times New Roman" w:hAnsi="Calibri" w:cs="Calibri"/>
                <w:color w:val="000000"/>
                <w:lang w:eastAsia="en-GB"/>
              </w:rPr>
            </w:pPr>
            <w:r w:rsidRPr="00B24B98">
              <w:rPr>
                <w:rFonts w:ascii="Calibri" w:eastAsia="Times New Roman" w:hAnsi="Calibri" w:cs="Calibri"/>
                <w:color w:val="000000"/>
                <w:lang w:eastAsia="en-GB"/>
              </w:rPr>
              <w:t>A11</w:t>
            </w:r>
          </w:p>
        </w:tc>
        <w:tc>
          <w:tcPr>
            <w:tcW w:w="4521" w:type="dxa"/>
            <w:tcBorders>
              <w:top w:val="nil"/>
              <w:left w:val="nil"/>
              <w:bottom w:val="single" w:sz="4" w:space="0" w:color="auto"/>
              <w:right w:val="single" w:sz="4" w:space="0" w:color="auto"/>
            </w:tcBorders>
            <w:shd w:val="clear" w:color="auto" w:fill="auto"/>
            <w:noWrap/>
            <w:vAlign w:val="center"/>
            <w:hideMark/>
          </w:tcPr>
          <w:p w14:paraId="34588E3F" w14:textId="77777777" w:rsidR="00B24B98" w:rsidRPr="00B24B98" w:rsidRDefault="00B24B98" w:rsidP="00B24B98">
            <w:pPr>
              <w:spacing w:after="0" w:line="240" w:lineRule="auto"/>
              <w:rPr>
                <w:rFonts w:ascii="Calibri" w:eastAsia="Times New Roman" w:hAnsi="Calibri" w:cs="Calibri"/>
                <w:color w:val="000000"/>
                <w:lang w:eastAsia="en-GB"/>
              </w:rPr>
            </w:pPr>
            <w:r w:rsidRPr="00B24B98">
              <w:rPr>
                <w:rFonts w:ascii="Calibri" w:eastAsia="Times New Roman" w:hAnsi="Calibri" w:cs="Calibri"/>
                <w:color w:val="000000"/>
                <w:lang w:eastAsia="en-GB"/>
              </w:rPr>
              <w:t>VITAMINS</w:t>
            </w:r>
          </w:p>
        </w:tc>
        <w:tc>
          <w:tcPr>
            <w:tcW w:w="600" w:type="dxa"/>
            <w:tcBorders>
              <w:top w:val="nil"/>
              <w:left w:val="nil"/>
              <w:bottom w:val="single" w:sz="4" w:space="0" w:color="auto"/>
              <w:right w:val="single" w:sz="4" w:space="0" w:color="auto"/>
            </w:tcBorders>
            <w:shd w:val="clear" w:color="auto" w:fill="auto"/>
            <w:noWrap/>
            <w:vAlign w:val="center"/>
            <w:hideMark/>
          </w:tcPr>
          <w:p w14:paraId="4455D915" w14:textId="77777777" w:rsidR="00B24B98" w:rsidRPr="00B24B98" w:rsidRDefault="00B24B98" w:rsidP="00B24B98">
            <w:pPr>
              <w:spacing w:after="0" w:line="240" w:lineRule="auto"/>
              <w:jc w:val="right"/>
              <w:rPr>
                <w:rFonts w:ascii="Calibri" w:eastAsia="Times New Roman" w:hAnsi="Calibri" w:cs="Calibri"/>
                <w:color w:val="000000"/>
                <w:lang w:eastAsia="en-GB"/>
              </w:rPr>
            </w:pPr>
            <w:r w:rsidRPr="00B24B98">
              <w:rPr>
                <w:rFonts w:ascii="Calibri" w:eastAsia="Times New Roman" w:hAnsi="Calibri" w:cs="Calibri"/>
                <w:color w:val="000000"/>
                <w:lang w:eastAsia="en-GB"/>
              </w:rPr>
              <w:t>1</w:t>
            </w:r>
          </w:p>
        </w:tc>
        <w:tc>
          <w:tcPr>
            <w:tcW w:w="960" w:type="dxa"/>
            <w:tcBorders>
              <w:top w:val="nil"/>
              <w:left w:val="nil"/>
              <w:bottom w:val="single" w:sz="4" w:space="0" w:color="auto"/>
              <w:right w:val="single" w:sz="4" w:space="0" w:color="auto"/>
            </w:tcBorders>
            <w:shd w:val="clear" w:color="auto" w:fill="auto"/>
            <w:noWrap/>
            <w:vAlign w:val="bottom"/>
            <w:hideMark/>
          </w:tcPr>
          <w:p w14:paraId="2C75DE6F" w14:textId="77777777" w:rsidR="00B24B98" w:rsidRPr="00B24B98" w:rsidRDefault="00B24B98" w:rsidP="00B24B98">
            <w:pPr>
              <w:spacing w:after="0" w:line="240" w:lineRule="auto"/>
              <w:jc w:val="right"/>
              <w:rPr>
                <w:rFonts w:ascii="Calibri" w:eastAsia="Times New Roman" w:hAnsi="Calibri" w:cs="Calibri"/>
                <w:color w:val="000000"/>
                <w:lang w:eastAsia="en-GB"/>
              </w:rPr>
            </w:pPr>
            <w:r w:rsidRPr="00B24B98">
              <w:rPr>
                <w:rFonts w:ascii="Calibri" w:eastAsia="Times New Roman" w:hAnsi="Calibri" w:cs="Calibri"/>
                <w:color w:val="000000"/>
                <w:lang w:eastAsia="en-GB"/>
              </w:rPr>
              <w:t>0.04%</w:t>
            </w:r>
          </w:p>
        </w:tc>
      </w:tr>
      <w:tr w:rsidR="00B24B98" w:rsidRPr="00B24B98" w14:paraId="4F507A06" w14:textId="77777777" w:rsidTr="00B24B98">
        <w:trPr>
          <w:trHeight w:val="290"/>
        </w:trPr>
        <w:tc>
          <w:tcPr>
            <w:tcW w:w="673" w:type="dxa"/>
            <w:tcBorders>
              <w:top w:val="nil"/>
              <w:left w:val="single" w:sz="4" w:space="0" w:color="auto"/>
              <w:bottom w:val="single" w:sz="4" w:space="0" w:color="auto"/>
              <w:right w:val="single" w:sz="4" w:space="0" w:color="auto"/>
            </w:tcBorders>
            <w:shd w:val="clear" w:color="auto" w:fill="auto"/>
            <w:noWrap/>
            <w:vAlign w:val="bottom"/>
            <w:hideMark/>
          </w:tcPr>
          <w:p w14:paraId="6451FA8D" w14:textId="77777777" w:rsidR="00B24B98" w:rsidRPr="00B24B98" w:rsidRDefault="00B24B98" w:rsidP="00B24B98">
            <w:pPr>
              <w:spacing w:after="0" w:line="240" w:lineRule="auto"/>
              <w:jc w:val="right"/>
              <w:rPr>
                <w:rFonts w:ascii="Calibri" w:eastAsia="Times New Roman" w:hAnsi="Calibri" w:cs="Calibri"/>
                <w:color w:val="000000"/>
                <w:lang w:eastAsia="en-GB"/>
              </w:rPr>
            </w:pPr>
            <w:r w:rsidRPr="00B24B98">
              <w:rPr>
                <w:rFonts w:ascii="Calibri" w:eastAsia="Times New Roman" w:hAnsi="Calibri" w:cs="Calibri"/>
                <w:color w:val="000000"/>
                <w:lang w:eastAsia="en-GB"/>
              </w:rPr>
              <w:t>43</w:t>
            </w:r>
          </w:p>
        </w:tc>
        <w:tc>
          <w:tcPr>
            <w:tcW w:w="1180" w:type="dxa"/>
            <w:tcBorders>
              <w:top w:val="nil"/>
              <w:left w:val="nil"/>
              <w:bottom w:val="single" w:sz="4" w:space="0" w:color="auto"/>
              <w:right w:val="single" w:sz="4" w:space="0" w:color="auto"/>
            </w:tcBorders>
            <w:shd w:val="clear" w:color="auto" w:fill="auto"/>
            <w:noWrap/>
            <w:vAlign w:val="center"/>
            <w:hideMark/>
          </w:tcPr>
          <w:p w14:paraId="3805CCEA" w14:textId="77777777" w:rsidR="00B24B98" w:rsidRPr="00B24B98" w:rsidRDefault="00B24B98" w:rsidP="00B24B98">
            <w:pPr>
              <w:spacing w:after="0" w:line="240" w:lineRule="auto"/>
              <w:rPr>
                <w:rFonts w:ascii="Calibri" w:eastAsia="Times New Roman" w:hAnsi="Calibri" w:cs="Calibri"/>
                <w:color w:val="000000"/>
                <w:lang w:eastAsia="en-GB"/>
              </w:rPr>
            </w:pPr>
            <w:r w:rsidRPr="00B24B98">
              <w:rPr>
                <w:rFonts w:ascii="Calibri" w:eastAsia="Times New Roman" w:hAnsi="Calibri" w:cs="Calibri"/>
                <w:color w:val="000000"/>
                <w:lang w:eastAsia="en-GB"/>
              </w:rPr>
              <w:t>D01</w:t>
            </w:r>
          </w:p>
        </w:tc>
        <w:tc>
          <w:tcPr>
            <w:tcW w:w="4521" w:type="dxa"/>
            <w:tcBorders>
              <w:top w:val="nil"/>
              <w:left w:val="nil"/>
              <w:bottom w:val="single" w:sz="4" w:space="0" w:color="auto"/>
              <w:right w:val="single" w:sz="4" w:space="0" w:color="auto"/>
            </w:tcBorders>
            <w:shd w:val="clear" w:color="auto" w:fill="auto"/>
            <w:noWrap/>
            <w:vAlign w:val="center"/>
            <w:hideMark/>
          </w:tcPr>
          <w:p w14:paraId="5192F0BE" w14:textId="77777777" w:rsidR="00B24B98" w:rsidRPr="00B24B98" w:rsidRDefault="00B24B98" w:rsidP="00B24B98">
            <w:pPr>
              <w:spacing w:after="0" w:line="240" w:lineRule="auto"/>
              <w:rPr>
                <w:rFonts w:ascii="Calibri" w:eastAsia="Times New Roman" w:hAnsi="Calibri" w:cs="Calibri"/>
                <w:color w:val="000000"/>
                <w:lang w:eastAsia="en-GB"/>
              </w:rPr>
            </w:pPr>
            <w:r w:rsidRPr="00B24B98">
              <w:rPr>
                <w:rFonts w:ascii="Calibri" w:eastAsia="Times New Roman" w:hAnsi="Calibri" w:cs="Calibri"/>
                <w:color w:val="000000"/>
                <w:lang w:eastAsia="en-GB"/>
              </w:rPr>
              <w:t>ANTIFUNGALS FOR DERMATOLOGICAL USE</w:t>
            </w:r>
          </w:p>
        </w:tc>
        <w:tc>
          <w:tcPr>
            <w:tcW w:w="600" w:type="dxa"/>
            <w:tcBorders>
              <w:top w:val="nil"/>
              <w:left w:val="nil"/>
              <w:bottom w:val="single" w:sz="4" w:space="0" w:color="auto"/>
              <w:right w:val="single" w:sz="4" w:space="0" w:color="auto"/>
            </w:tcBorders>
            <w:shd w:val="clear" w:color="auto" w:fill="auto"/>
            <w:noWrap/>
            <w:vAlign w:val="center"/>
            <w:hideMark/>
          </w:tcPr>
          <w:p w14:paraId="0D2A8AA9" w14:textId="77777777" w:rsidR="00B24B98" w:rsidRPr="00B24B98" w:rsidRDefault="00B24B98" w:rsidP="00B24B98">
            <w:pPr>
              <w:spacing w:after="0" w:line="240" w:lineRule="auto"/>
              <w:jc w:val="right"/>
              <w:rPr>
                <w:rFonts w:ascii="Calibri" w:eastAsia="Times New Roman" w:hAnsi="Calibri" w:cs="Calibri"/>
                <w:color w:val="000000"/>
                <w:lang w:eastAsia="en-GB"/>
              </w:rPr>
            </w:pPr>
            <w:r w:rsidRPr="00B24B98">
              <w:rPr>
                <w:rFonts w:ascii="Calibri" w:eastAsia="Times New Roman" w:hAnsi="Calibri" w:cs="Calibri"/>
                <w:color w:val="000000"/>
                <w:lang w:eastAsia="en-GB"/>
              </w:rPr>
              <w:t>1</w:t>
            </w:r>
          </w:p>
        </w:tc>
        <w:tc>
          <w:tcPr>
            <w:tcW w:w="960" w:type="dxa"/>
            <w:tcBorders>
              <w:top w:val="nil"/>
              <w:left w:val="nil"/>
              <w:bottom w:val="single" w:sz="4" w:space="0" w:color="auto"/>
              <w:right w:val="single" w:sz="4" w:space="0" w:color="auto"/>
            </w:tcBorders>
            <w:shd w:val="clear" w:color="auto" w:fill="auto"/>
            <w:noWrap/>
            <w:vAlign w:val="bottom"/>
            <w:hideMark/>
          </w:tcPr>
          <w:p w14:paraId="34161C82" w14:textId="77777777" w:rsidR="00B24B98" w:rsidRPr="00B24B98" w:rsidRDefault="00B24B98" w:rsidP="00B24B98">
            <w:pPr>
              <w:spacing w:after="0" w:line="240" w:lineRule="auto"/>
              <w:jc w:val="right"/>
              <w:rPr>
                <w:rFonts w:ascii="Calibri" w:eastAsia="Times New Roman" w:hAnsi="Calibri" w:cs="Calibri"/>
                <w:color w:val="000000"/>
                <w:lang w:eastAsia="en-GB"/>
              </w:rPr>
            </w:pPr>
            <w:r w:rsidRPr="00B24B98">
              <w:rPr>
                <w:rFonts w:ascii="Calibri" w:eastAsia="Times New Roman" w:hAnsi="Calibri" w:cs="Calibri"/>
                <w:color w:val="000000"/>
                <w:lang w:eastAsia="en-GB"/>
              </w:rPr>
              <w:t>0.04%</w:t>
            </w:r>
          </w:p>
        </w:tc>
      </w:tr>
      <w:tr w:rsidR="00B24B98" w:rsidRPr="00B24B98" w14:paraId="3BC3E463" w14:textId="77777777" w:rsidTr="00B24B98">
        <w:trPr>
          <w:trHeight w:val="290"/>
        </w:trPr>
        <w:tc>
          <w:tcPr>
            <w:tcW w:w="673" w:type="dxa"/>
            <w:tcBorders>
              <w:top w:val="nil"/>
              <w:left w:val="single" w:sz="4" w:space="0" w:color="auto"/>
              <w:bottom w:val="single" w:sz="4" w:space="0" w:color="auto"/>
              <w:right w:val="single" w:sz="4" w:space="0" w:color="auto"/>
            </w:tcBorders>
            <w:shd w:val="clear" w:color="auto" w:fill="auto"/>
            <w:noWrap/>
            <w:vAlign w:val="bottom"/>
            <w:hideMark/>
          </w:tcPr>
          <w:p w14:paraId="5D660701" w14:textId="77777777" w:rsidR="00B24B98" w:rsidRPr="00B24B98" w:rsidRDefault="00B24B98" w:rsidP="00B24B98">
            <w:pPr>
              <w:spacing w:after="0" w:line="240" w:lineRule="auto"/>
              <w:jc w:val="right"/>
              <w:rPr>
                <w:rFonts w:ascii="Calibri" w:eastAsia="Times New Roman" w:hAnsi="Calibri" w:cs="Calibri"/>
                <w:color w:val="000000"/>
                <w:lang w:eastAsia="en-GB"/>
              </w:rPr>
            </w:pPr>
            <w:r w:rsidRPr="00B24B98">
              <w:rPr>
                <w:rFonts w:ascii="Calibri" w:eastAsia="Times New Roman" w:hAnsi="Calibri" w:cs="Calibri"/>
                <w:color w:val="000000"/>
                <w:lang w:eastAsia="en-GB"/>
              </w:rPr>
              <w:t>44</w:t>
            </w:r>
          </w:p>
        </w:tc>
        <w:tc>
          <w:tcPr>
            <w:tcW w:w="1180" w:type="dxa"/>
            <w:tcBorders>
              <w:top w:val="nil"/>
              <w:left w:val="nil"/>
              <w:bottom w:val="single" w:sz="4" w:space="0" w:color="auto"/>
              <w:right w:val="single" w:sz="4" w:space="0" w:color="auto"/>
            </w:tcBorders>
            <w:shd w:val="clear" w:color="auto" w:fill="auto"/>
            <w:noWrap/>
            <w:vAlign w:val="center"/>
            <w:hideMark/>
          </w:tcPr>
          <w:p w14:paraId="2E278E80" w14:textId="77777777" w:rsidR="00B24B98" w:rsidRPr="00B24B98" w:rsidRDefault="00B24B98" w:rsidP="00B24B98">
            <w:pPr>
              <w:spacing w:after="0" w:line="240" w:lineRule="auto"/>
              <w:rPr>
                <w:rFonts w:ascii="Calibri" w:eastAsia="Times New Roman" w:hAnsi="Calibri" w:cs="Calibri"/>
                <w:color w:val="000000"/>
                <w:lang w:eastAsia="en-GB"/>
              </w:rPr>
            </w:pPr>
            <w:r w:rsidRPr="00B24B98">
              <w:rPr>
                <w:rFonts w:ascii="Calibri" w:eastAsia="Times New Roman" w:hAnsi="Calibri" w:cs="Calibri"/>
                <w:color w:val="000000"/>
                <w:lang w:eastAsia="en-GB"/>
              </w:rPr>
              <w:t>D06</w:t>
            </w:r>
          </w:p>
        </w:tc>
        <w:tc>
          <w:tcPr>
            <w:tcW w:w="4521" w:type="dxa"/>
            <w:tcBorders>
              <w:top w:val="nil"/>
              <w:left w:val="nil"/>
              <w:bottom w:val="single" w:sz="4" w:space="0" w:color="auto"/>
              <w:right w:val="single" w:sz="4" w:space="0" w:color="auto"/>
            </w:tcBorders>
            <w:shd w:val="clear" w:color="auto" w:fill="auto"/>
            <w:noWrap/>
            <w:vAlign w:val="center"/>
            <w:hideMark/>
          </w:tcPr>
          <w:p w14:paraId="3E9295DF" w14:textId="77777777" w:rsidR="00B24B98" w:rsidRPr="00B24B98" w:rsidRDefault="00B24B98" w:rsidP="00B24B98">
            <w:pPr>
              <w:spacing w:after="0" w:line="240" w:lineRule="auto"/>
              <w:rPr>
                <w:rFonts w:ascii="Calibri" w:eastAsia="Times New Roman" w:hAnsi="Calibri" w:cs="Calibri"/>
                <w:color w:val="000000"/>
                <w:lang w:eastAsia="en-GB"/>
              </w:rPr>
            </w:pPr>
            <w:r w:rsidRPr="00B24B98">
              <w:rPr>
                <w:rFonts w:ascii="Calibri" w:eastAsia="Times New Roman" w:hAnsi="Calibri" w:cs="Calibri"/>
                <w:color w:val="000000"/>
                <w:lang w:eastAsia="en-GB"/>
              </w:rPr>
              <w:t>ANTIBIOTICS AND CHEMOTHERAPEUTICS FOR DERMATOLOGICAL USE</w:t>
            </w:r>
          </w:p>
        </w:tc>
        <w:tc>
          <w:tcPr>
            <w:tcW w:w="600" w:type="dxa"/>
            <w:tcBorders>
              <w:top w:val="nil"/>
              <w:left w:val="nil"/>
              <w:bottom w:val="single" w:sz="4" w:space="0" w:color="auto"/>
              <w:right w:val="single" w:sz="4" w:space="0" w:color="auto"/>
            </w:tcBorders>
            <w:shd w:val="clear" w:color="auto" w:fill="auto"/>
            <w:noWrap/>
            <w:vAlign w:val="center"/>
            <w:hideMark/>
          </w:tcPr>
          <w:p w14:paraId="188C6FE5" w14:textId="77777777" w:rsidR="00B24B98" w:rsidRPr="00B24B98" w:rsidRDefault="00B24B98" w:rsidP="00B24B98">
            <w:pPr>
              <w:spacing w:after="0" w:line="240" w:lineRule="auto"/>
              <w:jc w:val="right"/>
              <w:rPr>
                <w:rFonts w:ascii="Calibri" w:eastAsia="Times New Roman" w:hAnsi="Calibri" w:cs="Calibri"/>
                <w:color w:val="000000"/>
                <w:lang w:eastAsia="en-GB"/>
              </w:rPr>
            </w:pPr>
            <w:r w:rsidRPr="00B24B98">
              <w:rPr>
                <w:rFonts w:ascii="Calibri" w:eastAsia="Times New Roman" w:hAnsi="Calibri" w:cs="Calibri"/>
                <w:color w:val="000000"/>
                <w:lang w:eastAsia="en-GB"/>
              </w:rPr>
              <w:t>1</w:t>
            </w:r>
          </w:p>
        </w:tc>
        <w:tc>
          <w:tcPr>
            <w:tcW w:w="960" w:type="dxa"/>
            <w:tcBorders>
              <w:top w:val="nil"/>
              <w:left w:val="nil"/>
              <w:bottom w:val="single" w:sz="4" w:space="0" w:color="auto"/>
              <w:right w:val="single" w:sz="4" w:space="0" w:color="auto"/>
            </w:tcBorders>
            <w:shd w:val="clear" w:color="auto" w:fill="auto"/>
            <w:noWrap/>
            <w:vAlign w:val="bottom"/>
            <w:hideMark/>
          </w:tcPr>
          <w:p w14:paraId="5EAD5C89" w14:textId="77777777" w:rsidR="00B24B98" w:rsidRPr="00B24B98" w:rsidRDefault="00B24B98" w:rsidP="00B24B98">
            <w:pPr>
              <w:spacing w:after="0" w:line="240" w:lineRule="auto"/>
              <w:jc w:val="right"/>
              <w:rPr>
                <w:rFonts w:ascii="Calibri" w:eastAsia="Times New Roman" w:hAnsi="Calibri" w:cs="Calibri"/>
                <w:color w:val="000000"/>
                <w:lang w:eastAsia="en-GB"/>
              </w:rPr>
            </w:pPr>
            <w:r w:rsidRPr="00B24B98">
              <w:rPr>
                <w:rFonts w:ascii="Calibri" w:eastAsia="Times New Roman" w:hAnsi="Calibri" w:cs="Calibri"/>
                <w:color w:val="000000"/>
                <w:lang w:eastAsia="en-GB"/>
              </w:rPr>
              <w:t>0.04%</w:t>
            </w:r>
          </w:p>
        </w:tc>
      </w:tr>
      <w:tr w:rsidR="00B24B98" w:rsidRPr="00B24B98" w14:paraId="63B10B6F" w14:textId="77777777" w:rsidTr="00B24B98">
        <w:trPr>
          <w:trHeight w:val="290"/>
        </w:trPr>
        <w:tc>
          <w:tcPr>
            <w:tcW w:w="673" w:type="dxa"/>
            <w:tcBorders>
              <w:top w:val="nil"/>
              <w:left w:val="single" w:sz="4" w:space="0" w:color="auto"/>
              <w:bottom w:val="single" w:sz="4" w:space="0" w:color="auto"/>
              <w:right w:val="single" w:sz="4" w:space="0" w:color="auto"/>
            </w:tcBorders>
            <w:shd w:val="clear" w:color="auto" w:fill="auto"/>
            <w:noWrap/>
            <w:vAlign w:val="bottom"/>
            <w:hideMark/>
          </w:tcPr>
          <w:p w14:paraId="651D8407" w14:textId="77777777" w:rsidR="00B24B98" w:rsidRPr="00B24B98" w:rsidRDefault="00B24B98" w:rsidP="00B24B98">
            <w:pPr>
              <w:spacing w:after="0" w:line="240" w:lineRule="auto"/>
              <w:jc w:val="right"/>
              <w:rPr>
                <w:rFonts w:ascii="Calibri" w:eastAsia="Times New Roman" w:hAnsi="Calibri" w:cs="Calibri"/>
                <w:color w:val="000000"/>
                <w:lang w:eastAsia="en-GB"/>
              </w:rPr>
            </w:pPr>
            <w:r w:rsidRPr="00B24B98">
              <w:rPr>
                <w:rFonts w:ascii="Calibri" w:eastAsia="Times New Roman" w:hAnsi="Calibri" w:cs="Calibri"/>
                <w:color w:val="000000"/>
                <w:lang w:eastAsia="en-GB"/>
              </w:rPr>
              <w:t>45</w:t>
            </w:r>
          </w:p>
        </w:tc>
        <w:tc>
          <w:tcPr>
            <w:tcW w:w="1180" w:type="dxa"/>
            <w:tcBorders>
              <w:top w:val="nil"/>
              <w:left w:val="nil"/>
              <w:bottom w:val="single" w:sz="4" w:space="0" w:color="auto"/>
              <w:right w:val="single" w:sz="4" w:space="0" w:color="auto"/>
            </w:tcBorders>
            <w:shd w:val="clear" w:color="auto" w:fill="auto"/>
            <w:noWrap/>
            <w:vAlign w:val="center"/>
            <w:hideMark/>
          </w:tcPr>
          <w:p w14:paraId="385EE71F" w14:textId="77777777" w:rsidR="00B24B98" w:rsidRPr="00B24B98" w:rsidRDefault="00B24B98" w:rsidP="00B24B98">
            <w:pPr>
              <w:spacing w:after="0" w:line="240" w:lineRule="auto"/>
              <w:rPr>
                <w:rFonts w:ascii="Calibri" w:eastAsia="Times New Roman" w:hAnsi="Calibri" w:cs="Calibri"/>
                <w:color w:val="000000"/>
                <w:lang w:eastAsia="en-GB"/>
              </w:rPr>
            </w:pPr>
            <w:r w:rsidRPr="00B24B98">
              <w:rPr>
                <w:rFonts w:ascii="Calibri" w:eastAsia="Times New Roman" w:hAnsi="Calibri" w:cs="Calibri"/>
                <w:color w:val="000000"/>
                <w:lang w:eastAsia="en-GB"/>
              </w:rPr>
              <w:t>H01</w:t>
            </w:r>
          </w:p>
        </w:tc>
        <w:tc>
          <w:tcPr>
            <w:tcW w:w="4521" w:type="dxa"/>
            <w:tcBorders>
              <w:top w:val="nil"/>
              <w:left w:val="nil"/>
              <w:bottom w:val="single" w:sz="4" w:space="0" w:color="auto"/>
              <w:right w:val="single" w:sz="4" w:space="0" w:color="auto"/>
            </w:tcBorders>
            <w:shd w:val="clear" w:color="auto" w:fill="auto"/>
            <w:noWrap/>
            <w:vAlign w:val="center"/>
            <w:hideMark/>
          </w:tcPr>
          <w:p w14:paraId="2BD55D4A" w14:textId="77777777" w:rsidR="00B24B98" w:rsidRPr="00B24B98" w:rsidRDefault="00B24B98" w:rsidP="00B24B98">
            <w:pPr>
              <w:spacing w:after="0" w:line="240" w:lineRule="auto"/>
              <w:rPr>
                <w:rFonts w:ascii="Calibri" w:eastAsia="Times New Roman" w:hAnsi="Calibri" w:cs="Calibri"/>
                <w:color w:val="000000"/>
                <w:lang w:eastAsia="en-GB"/>
              </w:rPr>
            </w:pPr>
            <w:r w:rsidRPr="00B24B98">
              <w:rPr>
                <w:rFonts w:ascii="Calibri" w:eastAsia="Times New Roman" w:hAnsi="Calibri" w:cs="Calibri"/>
                <w:color w:val="000000"/>
                <w:lang w:eastAsia="en-GB"/>
              </w:rPr>
              <w:t>PITUITARY AND HYPOTHALAMIC HORMONES AND ANALOGUES</w:t>
            </w:r>
          </w:p>
        </w:tc>
        <w:tc>
          <w:tcPr>
            <w:tcW w:w="600" w:type="dxa"/>
            <w:tcBorders>
              <w:top w:val="nil"/>
              <w:left w:val="nil"/>
              <w:bottom w:val="single" w:sz="4" w:space="0" w:color="auto"/>
              <w:right w:val="single" w:sz="4" w:space="0" w:color="auto"/>
            </w:tcBorders>
            <w:shd w:val="clear" w:color="auto" w:fill="auto"/>
            <w:noWrap/>
            <w:vAlign w:val="center"/>
            <w:hideMark/>
          </w:tcPr>
          <w:p w14:paraId="3368AF3C" w14:textId="77777777" w:rsidR="00B24B98" w:rsidRPr="00B24B98" w:rsidRDefault="00B24B98" w:rsidP="00B24B98">
            <w:pPr>
              <w:spacing w:after="0" w:line="240" w:lineRule="auto"/>
              <w:jc w:val="right"/>
              <w:rPr>
                <w:rFonts w:ascii="Calibri" w:eastAsia="Times New Roman" w:hAnsi="Calibri" w:cs="Calibri"/>
                <w:color w:val="000000"/>
                <w:lang w:eastAsia="en-GB"/>
              </w:rPr>
            </w:pPr>
            <w:r w:rsidRPr="00B24B98">
              <w:rPr>
                <w:rFonts w:ascii="Calibri" w:eastAsia="Times New Roman" w:hAnsi="Calibri" w:cs="Calibri"/>
                <w:color w:val="000000"/>
                <w:lang w:eastAsia="en-GB"/>
              </w:rPr>
              <w:t>1</w:t>
            </w:r>
          </w:p>
        </w:tc>
        <w:tc>
          <w:tcPr>
            <w:tcW w:w="960" w:type="dxa"/>
            <w:tcBorders>
              <w:top w:val="nil"/>
              <w:left w:val="nil"/>
              <w:bottom w:val="single" w:sz="4" w:space="0" w:color="auto"/>
              <w:right w:val="single" w:sz="4" w:space="0" w:color="auto"/>
            </w:tcBorders>
            <w:shd w:val="clear" w:color="auto" w:fill="auto"/>
            <w:noWrap/>
            <w:vAlign w:val="bottom"/>
            <w:hideMark/>
          </w:tcPr>
          <w:p w14:paraId="521751FC" w14:textId="77777777" w:rsidR="00B24B98" w:rsidRPr="00B24B98" w:rsidRDefault="00B24B98" w:rsidP="00B24B98">
            <w:pPr>
              <w:spacing w:after="0" w:line="240" w:lineRule="auto"/>
              <w:jc w:val="right"/>
              <w:rPr>
                <w:rFonts w:ascii="Calibri" w:eastAsia="Times New Roman" w:hAnsi="Calibri" w:cs="Calibri"/>
                <w:color w:val="000000"/>
                <w:lang w:eastAsia="en-GB"/>
              </w:rPr>
            </w:pPr>
            <w:r w:rsidRPr="00B24B98">
              <w:rPr>
                <w:rFonts w:ascii="Calibri" w:eastAsia="Times New Roman" w:hAnsi="Calibri" w:cs="Calibri"/>
                <w:color w:val="000000"/>
                <w:lang w:eastAsia="en-GB"/>
              </w:rPr>
              <w:t>0.04%</w:t>
            </w:r>
          </w:p>
        </w:tc>
      </w:tr>
      <w:tr w:rsidR="00B24B98" w:rsidRPr="00B24B98" w14:paraId="4521DDF2" w14:textId="77777777" w:rsidTr="00B24B98">
        <w:trPr>
          <w:trHeight w:val="290"/>
        </w:trPr>
        <w:tc>
          <w:tcPr>
            <w:tcW w:w="673" w:type="dxa"/>
            <w:tcBorders>
              <w:top w:val="nil"/>
              <w:left w:val="single" w:sz="4" w:space="0" w:color="auto"/>
              <w:bottom w:val="single" w:sz="4" w:space="0" w:color="auto"/>
              <w:right w:val="single" w:sz="4" w:space="0" w:color="auto"/>
            </w:tcBorders>
            <w:shd w:val="clear" w:color="auto" w:fill="auto"/>
            <w:noWrap/>
            <w:vAlign w:val="bottom"/>
            <w:hideMark/>
          </w:tcPr>
          <w:p w14:paraId="1A1087D4" w14:textId="77777777" w:rsidR="00B24B98" w:rsidRPr="00B24B98" w:rsidRDefault="00B24B98" w:rsidP="00B24B98">
            <w:pPr>
              <w:spacing w:after="0" w:line="240" w:lineRule="auto"/>
              <w:jc w:val="right"/>
              <w:rPr>
                <w:rFonts w:ascii="Calibri" w:eastAsia="Times New Roman" w:hAnsi="Calibri" w:cs="Calibri"/>
                <w:color w:val="000000"/>
                <w:lang w:eastAsia="en-GB"/>
              </w:rPr>
            </w:pPr>
            <w:r w:rsidRPr="00B24B98">
              <w:rPr>
                <w:rFonts w:ascii="Calibri" w:eastAsia="Times New Roman" w:hAnsi="Calibri" w:cs="Calibri"/>
                <w:color w:val="000000"/>
                <w:lang w:eastAsia="en-GB"/>
              </w:rPr>
              <w:t>46</w:t>
            </w:r>
          </w:p>
        </w:tc>
        <w:tc>
          <w:tcPr>
            <w:tcW w:w="1180" w:type="dxa"/>
            <w:tcBorders>
              <w:top w:val="nil"/>
              <w:left w:val="nil"/>
              <w:bottom w:val="single" w:sz="4" w:space="0" w:color="auto"/>
              <w:right w:val="single" w:sz="4" w:space="0" w:color="auto"/>
            </w:tcBorders>
            <w:shd w:val="clear" w:color="auto" w:fill="auto"/>
            <w:noWrap/>
            <w:vAlign w:val="center"/>
            <w:hideMark/>
          </w:tcPr>
          <w:p w14:paraId="07379614" w14:textId="77777777" w:rsidR="00B24B98" w:rsidRPr="00B24B98" w:rsidRDefault="00B24B98" w:rsidP="00B24B98">
            <w:pPr>
              <w:spacing w:after="0" w:line="240" w:lineRule="auto"/>
              <w:rPr>
                <w:rFonts w:ascii="Calibri" w:eastAsia="Times New Roman" w:hAnsi="Calibri" w:cs="Calibri"/>
                <w:color w:val="000000"/>
                <w:lang w:eastAsia="en-GB"/>
              </w:rPr>
            </w:pPr>
            <w:r w:rsidRPr="00B24B98">
              <w:rPr>
                <w:rFonts w:ascii="Calibri" w:eastAsia="Times New Roman" w:hAnsi="Calibri" w:cs="Calibri"/>
                <w:color w:val="000000"/>
                <w:lang w:eastAsia="en-GB"/>
              </w:rPr>
              <w:t>L04</w:t>
            </w:r>
          </w:p>
        </w:tc>
        <w:tc>
          <w:tcPr>
            <w:tcW w:w="4521" w:type="dxa"/>
            <w:tcBorders>
              <w:top w:val="nil"/>
              <w:left w:val="nil"/>
              <w:bottom w:val="single" w:sz="4" w:space="0" w:color="auto"/>
              <w:right w:val="single" w:sz="4" w:space="0" w:color="auto"/>
            </w:tcBorders>
            <w:shd w:val="clear" w:color="auto" w:fill="auto"/>
            <w:noWrap/>
            <w:vAlign w:val="center"/>
            <w:hideMark/>
          </w:tcPr>
          <w:p w14:paraId="7A852A5F" w14:textId="77777777" w:rsidR="00B24B98" w:rsidRPr="00B24B98" w:rsidRDefault="00B24B98" w:rsidP="00B24B98">
            <w:pPr>
              <w:spacing w:after="0" w:line="240" w:lineRule="auto"/>
              <w:rPr>
                <w:rFonts w:ascii="Calibri" w:eastAsia="Times New Roman" w:hAnsi="Calibri" w:cs="Calibri"/>
                <w:color w:val="000000"/>
                <w:lang w:eastAsia="en-GB"/>
              </w:rPr>
            </w:pPr>
            <w:r w:rsidRPr="00B24B98">
              <w:rPr>
                <w:rFonts w:ascii="Calibri" w:eastAsia="Times New Roman" w:hAnsi="Calibri" w:cs="Calibri"/>
                <w:color w:val="000000"/>
                <w:lang w:eastAsia="en-GB"/>
              </w:rPr>
              <w:t>IMMUNOSUPPRESSANTS</w:t>
            </w:r>
          </w:p>
        </w:tc>
        <w:tc>
          <w:tcPr>
            <w:tcW w:w="600" w:type="dxa"/>
            <w:tcBorders>
              <w:top w:val="nil"/>
              <w:left w:val="nil"/>
              <w:bottom w:val="single" w:sz="4" w:space="0" w:color="auto"/>
              <w:right w:val="single" w:sz="4" w:space="0" w:color="auto"/>
            </w:tcBorders>
            <w:shd w:val="clear" w:color="auto" w:fill="auto"/>
            <w:noWrap/>
            <w:vAlign w:val="center"/>
            <w:hideMark/>
          </w:tcPr>
          <w:p w14:paraId="61B765B0" w14:textId="77777777" w:rsidR="00B24B98" w:rsidRPr="00B24B98" w:rsidRDefault="00B24B98" w:rsidP="00B24B98">
            <w:pPr>
              <w:spacing w:after="0" w:line="240" w:lineRule="auto"/>
              <w:jc w:val="right"/>
              <w:rPr>
                <w:rFonts w:ascii="Calibri" w:eastAsia="Times New Roman" w:hAnsi="Calibri" w:cs="Calibri"/>
                <w:color w:val="000000"/>
                <w:lang w:eastAsia="en-GB"/>
              </w:rPr>
            </w:pPr>
            <w:r w:rsidRPr="00B24B98">
              <w:rPr>
                <w:rFonts w:ascii="Calibri" w:eastAsia="Times New Roman" w:hAnsi="Calibri" w:cs="Calibri"/>
                <w:color w:val="000000"/>
                <w:lang w:eastAsia="en-GB"/>
              </w:rPr>
              <w:t>1</w:t>
            </w:r>
          </w:p>
        </w:tc>
        <w:tc>
          <w:tcPr>
            <w:tcW w:w="960" w:type="dxa"/>
            <w:tcBorders>
              <w:top w:val="nil"/>
              <w:left w:val="nil"/>
              <w:bottom w:val="single" w:sz="4" w:space="0" w:color="auto"/>
              <w:right w:val="single" w:sz="4" w:space="0" w:color="auto"/>
            </w:tcBorders>
            <w:shd w:val="clear" w:color="auto" w:fill="auto"/>
            <w:noWrap/>
            <w:vAlign w:val="bottom"/>
            <w:hideMark/>
          </w:tcPr>
          <w:p w14:paraId="53C4EF6C" w14:textId="77777777" w:rsidR="00B24B98" w:rsidRPr="00B24B98" w:rsidRDefault="00B24B98" w:rsidP="00B24B98">
            <w:pPr>
              <w:spacing w:after="0" w:line="240" w:lineRule="auto"/>
              <w:jc w:val="right"/>
              <w:rPr>
                <w:rFonts w:ascii="Calibri" w:eastAsia="Times New Roman" w:hAnsi="Calibri" w:cs="Calibri"/>
                <w:color w:val="000000"/>
                <w:lang w:eastAsia="en-GB"/>
              </w:rPr>
            </w:pPr>
            <w:r w:rsidRPr="00B24B98">
              <w:rPr>
                <w:rFonts w:ascii="Calibri" w:eastAsia="Times New Roman" w:hAnsi="Calibri" w:cs="Calibri"/>
                <w:color w:val="000000"/>
                <w:lang w:eastAsia="en-GB"/>
              </w:rPr>
              <w:t>0.04%</w:t>
            </w:r>
          </w:p>
        </w:tc>
      </w:tr>
      <w:tr w:rsidR="00B24B98" w:rsidRPr="00B24B98" w14:paraId="5C1D23DA" w14:textId="77777777" w:rsidTr="00B24B98">
        <w:trPr>
          <w:trHeight w:val="290"/>
        </w:trPr>
        <w:tc>
          <w:tcPr>
            <w:tcW w:w="673" w:type="dxa"/>
            <w:tcBorders>
              <w:top w:val="nil"/>
              <w:left w:val="single" w:sz="4" w:space="0" w:color="auto"/>
              <w:bottom w:val="single" w:sz="4" w:space="0" w:color="auto"/>
              <w:right w:val="single" w:sz="4" w:space="0" w:color="auto"/>
            </w:tcBorders>
            <w:shd w:val="clear" w:color="auto" w:fill="auto"/>
            <w:noWrap/>
            <w:vAlign w:val="bottom"/>
            <w:hideMark/>
          </w:tcPr>
          <w:p w14:paraId="3F4C7357" w14:textId="77777777" w:rsidR="00B24B98" w:rsidRPr="00B24B98" w:rsidRDefault="00B24B98" w:rsidP="00B24B98">
            <w:pPr>
              <w:spacing w:after="0" w:line="240" w:lineRule="auto"/>
              <w:jc w:val="right"/>
              <w:rPr>
                <w:rFonts w:ascii="Calibri" w:eastAsia="Times New Roman" w:hAnsi="Calibri" w:cs="Calibri"/>
                <w:color w:val="000000"/>
                <w:lang w:eastAsia="en-GB"/>
              </w:rPr>
            </w:pPr>
            <w:r w:rsidRPr="00B24B98">
              <w:rPr>
                <w:rFonts w:ascii="Calibri" w:eastAsia="Times New Roman" w:hAnsi="Calibri" w:cs="Calibri"/>
                <w:color w:val="000000"/>
                <w:lang w:eastAsia="en-GB"/>
              </w:rPr>
              <w:t>47</w:t>
            </w:r>
          </w:p>
        </w:tc>
        <w:tc>
          <w:tcPr>
            <w:tcW w:w="1180" w:type="dxa"/>
            <w:tcBorders>
              <w:top w:val="nil"/>
              <w:left w:val="nil"/>
              <w:bottom w:val="single" w:sz="4" w:space="0" w:color="auto"/>
              <w:right w:val="single" w:sz="4" w:space="0" w:color="auto"/>
            </w:tcBorders>
            <w:shd w:val="clear" w:color="auto" w:fill="auto"/>
            <w:noWrap/>
            <w:vAlign w:val="center"/>
            <w:hideMark/>
          </w:tcPr>
          <w:p w14:paraId="72F1B60E" w14:textId="77777777" w:rsidR="00B24B98" w:rsidRPr="00B24B98" w:rsidRDefault="00B24B98" w:rsidP="00B24B98">
            <w:pPr>
              <w:spacing w:after="0" w:line="240" w:lineRule="auto"/>
              <w:rPr>
                <w:rFonts w:ascii="Calibri" w:eastAsia="Times New Roman" w:hAnsi="Calibri" w:cs="Calibri"/>
                <w:color w:val="000000"/>
                <w:lang w:eastAsia="en-GB"/>
              </w:rPr>
            </w:pPr>
            <w:r w:rsidRPr="00B24B98">
              <w:rPr>
                <w:rFonts w:ascii="Calibri" w:eastAsia="Times New Roman" w:hAnsi="Calibri" w:cs="Calibri"/>
                <w:color w:val="000000"/>
                <w:lang w:eastAsia="en-GB"/>
              </w:rPr>
              <w:t>P01</w:t>
            </w:r>
          </w:p>
        </w:tc>
        <w:tc>
          <w:tcPr>
            <w:tcW w:w="4521" w:type="dxa"/>
            <w:tcBorders>
              <w:top w:val="nil"/>
              <w:left w:val="nil"/>
              <w:bottom w:val="single" w:sz="4" w:space="0" w:color="auto"/>
              <w:right w:val="single" w:sz="4" w:space="0" w:color="auto"/>
            </w:tcBorders>
            <w:shd w:val="clear" w:color="auto" w:fill="auto"/>
            <w:noWrap/>
            <w:vAlign w:val="center"/>
            <w:hideMark/>
          </w:tcPr>
          <w:p w14:paraId="3DE2350A" w14:textId="77777777" w:rsidR="00B24B98" w:rsidRPr="00B24B98" w:rsidRDefault="00B24B98" w:rsidP="00B24B98">
            <w:pPr>
              <w:spacing w:after="0" w:line="240" w:lineRule="auto"/>
              <w:rPr>
                <w:rFonts w:ascii="Calibri" w:eastAsia="Times New Roman" w:hAnsi="Calibri" w:cs="Calibri"/>
                <w:color w:val="000000"/>
                <w:lang w:eastAsia="en-GB"/>
              </w:rPr>
            </w:pPr>
            <w:r w:rsidRPr="00B24B98">
              <w:rPr>
                <w:rFonts w:ascii="Calibri" w:eastAsia="Times New Roman" w:hAnsi="Calibri" w:cs="Calibri"/>
                <w:color w:val="000000"/>
                <w:lang w:eastAsia="en-GB"/>
              </w:rPr>
              <w:t>ANTIPROTOZOALS</w:t>
            </w:r>
          </w:p>
        </w:tc>
        <w:tc>
          <w:tcPr>
            <w:tcW w:w="600" w:type="dxa"/>
            <w:tcBorders>
              <w:top w:val="nil"/>
              <w:left w:val="nil"/>
              <w:bottom w:val="single" w:sz="4" w:space="0" w:color="auto"/>
              <w:right w:val="single" w:sz="4" w:space="0" w:color="auto"/>
            </w:tcBorders>
            <w:shd w:val="clear" w:color="auto" w:fill="auto"/>
            <w:noWrap/>
            <w:vAlign w:val="center"/>
            <w:hideMark/>
          </w:tcPr>
          <w:p w14:paraId="2A19A783" w14:textId="77777777" w:rsidR="00B24B98" w:rsidRPr="00B24B98" w:rsidRDefault="00B24B98" w:rsidP="00B24B98">
            <w:pPr>
              <w:spacing w:after="0" w:line="240" w:lineRule="auto"/>
              <w:jc w:val="right"/>
              <w:rPr>
                <w:rFonts w:ascii="Calibri" w:eastAsia="Times New Roman" w:hAnsi="Calibri" w:cs="Calibri"/>
                <w:color w:val="000000"/>
                <w:lang w:eastAsia="en-GB"/>
              </w:rPr>
            </w:pPr>
            <w:r w:rsidRPr="00B24B98">
              <w:rPr>
                <w:rFonts w:ascii="Calibri" w:eastAsia="Times New Roman" w:hAnsi="Calibri" w:cs="Calibri"/>
                <w:color w:val="000000"/>
                <w:lang w:eastAsia="en-GB"/>
              </w:rPr>
              <w:t>1</w:t>
            </w:r>
          </w:p>
        </w:tc>
        <w:tc>
          <w:tcPr>
            <w:tcW w:w="960" w:type="dxa"/>
            <w:tcBorders>
              <w:top w:val="nil"/>
              <w:left w:val="nil"/>
              <w:bottom w:val="single" w:sz="4" w:space="0" w:color="auto"/>
              <w:right w:val="single" w:sz="4" w:space="0" w:color="auto"/>
            </w:tcBorders>
            <w:shd w:val="clear" w:color="auto" w:fill="auto"/>
            <w:noWrap/>
            <w:vAlign w:val="bottom"/>
            <w:hideMark/>
          </w:tcPr>
          <w:p w14:paraId="353C0F21" w14:textId="77777777" w:rsidR="00B24B98" w:rsidRPr="00B24B98" w:rsidRDefault="00B24B98" w:rsidP="00B24B98">
            <w:pPr>
              <w:spacing w:after="0" w:line="240" w:lineRule="auto"/>
              <w:jc w:val="right"/>
              <w:rPr>
                <w:rFonts w:ascii="Calibri" w:eastAsia="Times New Roman" w:hAnsi="Calibri" w:cs="Calibri"/>
                <w:color w:val="000000"/>
                <w:lang w:eastAsia="en-GB"/>
              </w:rPr>
            </w:pPr>
            <w:r w:rsidRPr="00B24B98">
              <w:rPr>
                <w:rFonts w:ascii="Calibri" w:eastAsia="Times New Roman" w:hAnsi="Calibri" w:cs="Calibri"/>
                <w:color w:val="000000"/>
                <w:lang w:eastAsia="en-GB"/>
              </w:rPr>
              <w:t>0.04%</w:t>
            </w:r>
          </w:p>
        </w:tc>
      </w:tr>
      <w:tr w:rsidR="00B24B98" w:rsidRPr="00B24B98" w14:paraId="6CB0337E" w14:textId="77777777" w:rsidTr="00B24B98">
        <w:trPr>
          <w:trHeight w:val="290"/>
        </w:trPr>
        <w:tc>
          <w:tcPr>
            <w:tcW w:w="673" w:type="dxa"/>
            <w:tcBorders>
              <w:top w:val="nil"/>
              <w:left w:val="single" w:sz="4" w:space="0" w:color="auto"/>
              <w:bottom w:val="single" w:sz="4" w:space="0" w:color="auto"/>
              <w:right w:val="single" w:sz="4" w:space="0" w:color="auto"/>
            </w:tcBorders>
            <w:shd w:val="clear" w:color="auto" w:fill="auto"/>
            <w:noWrap/>
            <w:vAlign w:val="bottom"/>
            <w:hideMark/>
          </w:tcPr>
          <w:p w14:paraId="64F54B3E" w14:textId="77777777" w:rsidR="00B24B98" w:rsidRPr="00B24B98" w:rsidRDefault="00B24B98" w:rsidP="00B24B98">
            <w:pPr>
              <w:spacing w:after="0" w:line="240" w:lineRule="auto"/>
              <w:jc w:val="right"/>
              <w:rPr>
                <w:rFonts w:ascii="Calibri" w:eastAsia="Times New Roman" w:hAnsi="Calibri" w:cs="Calibri"/>
                <w:color w:val="000000"/>
                <w:lang w:eastAsia="en-GB"/>
              </w:rPr>
            </w:pPr>
            <w:r w:rsidRPr="00B24B98">
              <w:rPr>
                <w:rFonts w:ascii="Calibri" w:eastAsia="Times New Roman" w:hAnsi="Calibri" w:cs="Calibri"/>
                <w:color w:val="000000"/>
                <w:lang w:eastAsia="en-GB"/>
              </w:rPr>
              <w:t>48</w:t>
            </w:r>
          </w:p>
        </w:tc>
        <w:tc>
          <w:tcPr>
            <w:tcW w:w="1180" w:type="dxa"/>
            <w:tcBorders>
              <w:top w:val="nil"/>
              <w:left w:val="nil"/>
              <w:bottom w:val="single" w:sz="4" w:space="0" w:color="auto"/>
              <w:right w:val="single" w:sz="4" w:space="0" w:color="auto"/>
            </w:tcBorders>
            <w:shd w:val="clear" w:color="auto" w:fill="auto"/>
            <w:noWrap/>
            <w:vAlign w:val="center"/>
            <w:hideMark/>
          </w:tcPr>
          <w:p w14:paraId="31547CB0" w14:textId="77777777" w:rsidR="00B24B98" w:rsidRPr="00B24B98" w:rsidRDefault="00B24B98" w:rsidP="00B24B98">
            <w:pPr>
              <w:spacing w:after="0" w:line="240" w:lineRule="auto"/>
              <w:rPr>
                <w:rFonts w:ascii="Calibri" w:eastAsia="Times New Roman" w:hAnsi="Calibri" w:cs="Calibri"/>
                <w:color w:val="000000"/>
                <w:lang w:eastAsia="en-GB"/>
              </w:rPr>
            </w:pPr>
            <w:r w:rsidRPr="00B24B98">
              <w:rPr>
                <w:rFonts w:ascii="Calibri" w:eastAsia="Times New Roman" w:hAnsi="Calibri" w:cs="Calibri"/>
                <w:color w:val="000000"/>
                <w:lang w:eastAsia="en-GB"/>
              </w:rPr>
              <w:t>P02</w:t>
            </w:r>
          </w:p>
        </w:tc>
        <w:tc>
          <w:tcPr>
            <w:tcW w:w="4521" w:type="dxa"/>
            <w:tcBorders>
              <w:top w:val="nil"/>
              <w:left w:val="nil"/>
              <w:bottom w:val="single" w:sz="4" w:space="0" w:color="auto"/>
              <w:right w:val="single" w:sz="4" w:space="0" w:color="auto"/>
            </w:tcBorders>
            <w:shd w:val="clear" w:color="auto" w:fill="auto"/>
            <w:noWrap/>
            <w:vAlign w:val="center"/>
            <w:hideMark/>
          </w:tcPr>
          <w:p w14:paraId="11404CBF" w14:textId="77777777" w:rsidR="00B24B98" w:rsidRPr="00B24B98" w:rsidRDefault="00B24B98" w:rsidP="00B24B98">
            <w:pPr>
              <w:spacing w:after="0" w:line="240" w:lineRule="auto"/>
              <w:rPr>
                <w:rFonts w:ascii="Calibri" w:eastAsia="Times New Roman" w:hAnsi="Calibri" w:cs="Calibri"/>
                <w:color w:val="000000"/>
                <w:lang w:eastAsia="en-GB"/>
              </w:rPr>
            </w:pPr>
            <w:r w:rsidRPr="00B24B98">
              <w:rPr>
                <w:rFonts w:ascii="Calibri" w:eastAsia="Times New Roman" w:hAnsi="Calibri" w:cs="Calibri"/>
                <w:color w:val="000000"/>
                <w:lang w:eastAsia="en-GB"/>
              </w:rPr>
              <w:t>ANTHELMINTICS</w:t>
            </w:r>
          </w:p>
        </w:tc>
        <w:tc>
          <w:tcPr>
            <w:tcW w:w="600" w:type="dxa"/>
            <w:tcBorders>
              <w:top w:val="nil"/>
              <w:left w:val="nil"/>
              <w:bottom w:val="single" w:sz="4" w:space="0" w:color="auto"/>
              <w:right w:val="single" w:sz="4" w:space="0" w:color="auto"/>
            </w:tcBorders>
            <w:shd w:val="clear" w:color="auto" w:fill="auto"/>
            <w:noWrap/>
            <w:vAlign w:val="center"/>
            <w:hideMark/>
          </w:tcPr>
          <w:p w14:paraId="6ACD08EF" w14:textId="77777777" w:rsidR="00B24B98" w:rsidRPr="00B24B98" w:rsidRDefault="00B24B98" w:rsidP="00B24B98">
            <w:pPr>
              <w:spacing w:after="0" w:line="240" w:lineRule="auto"/>
              <w:jc w:val="right"/>
              <w:rPr>
                <w:rFonts w:ascii="Calibri" w:eastAsia="Times New Roman" w:hAnsi="Calibri" w:cs="Calibri"/>
                <w:color w:val="000000"/>
                <w:lang w:eastAsia="en-GB"/>
              </w:rPr>
            </w:pPr>
            <w:r w:rsidRPr="00B24B98">
              <w:rPr>
                <w:rFonts w:ascii="Calibri" w:eastAsia="Times New Roman" w:hAnsi="Calibri" w:cs="Calibri"/>
                <w:color w:val="000000"/>
                <w:lang w:eastAsia="en-GB"/>
              </w:rPr>
              <w:t>1</w:t>
            </w:r>
          </w:p>
        </w:tc>
        <w:tc>
          <w:tcPr>
            <w:tcW w:w="960" w:type="dxa"/>
            <w:tcBorders>
              <w:top w:val="nil"/>
              <w:left w:val="nil"/>
              <w:bottom w:val="single" w:sz="4" w:space="0" w:color="auto"/>
              <w:right w:val="single" w:sz="4" w:space="0" w:color="auto"/>
            </w:tcBorders>
            <w:shd w:val="clear" w:color="auto" w:fill="auto"/>
            <w:noWrap/>
            <w:vAlign w:val="bottom"/>
            <w:hideMark/>
          </w:tcPr>
          <w:p w14:paraId="56DCB8F3" w14:textId="77777777" w:rsidR="00B24B98" w:rsidRPr="00B24B98" w:rsidRDefault="00B24B98" w:rsidP="00B24B98">
            <w:pPr>
              <w:spacing w:after="0" w:line="240" w:lineRule="auto"/>
              <w:jc w:val="right"/>
              <w:rPr>
                <w:rFonts w:ascii="Calibri" w:eastAsia="Times New Roman" w:hAnsi="Calibri" w:cs="Calibri"/>
                <w:color w:val="000000"/>
                <w:lang w:eastAsia="en-GB"/>
              </w:rPr>
            </w:pPr>
            <w:r w:rsidRPr="00B24B98">
              <w:rPr>
                <w:rFonts w:ascii="Calibri" w:eastAsia="Times New Roman" w:hAnsi="Calibri" w:cs="Calibri"/>
                <w:color w:val="000000"/>
                <w:lang w:eastAsia="en-GB"/>
              </w:rPr>
              <w:t>0.04%</w:t>
            </w:r>
          </w:p>
        </w:tc>
      </w:tr>
      <w:tr w:rsidR="00B24B98" w:rsidRPr="00B24B98" w14:paraId="7200061A" w14:textId="77777777" w:rsidTr="00B24B98">
        <w:trPr>
          <w:trHeight w:val="290"/>
        </w:trPr>
        <w:tc>
          <w:tcPr>
            <w:tcW w:w="673" w:type="dxa"/>
            <w:tcBorders>
              <w:top w:val="nil"/>
              <w:left w:val="single" w:sz="4" w:space="0" w:color="auto"/>
              <w:bottom w:val="single" w:sz="4" w:space="0" w:color="auto"/>
              <w:right w:val="single" w:sz="4" w:space="0" w:color="auto"/>
            </w:tcBorders>
            <w:shd w:val="clear" w:color="auto" w:fill="auto"/>
            <w:noWrap/>
            <w:vAlign w:val="bottom"/>
            <w:hideMark/>
          </w:tcPr>
          <w:p w14:paraId="3EB45439" w14:textId="77777777" w:rsidR="00B24B98" w:rsidRPr="00B24B98" w:rsidRDefault="00B24B98" w:rsidP="00B24B98">
            <w:pPr>
              <w:spacing w:after="0" w:line="240" w:lineRule="auto"/>
              <w:jc w:val="right"/>
              <w:rPr>
                <w:rFonts w:ascii="Calibri" w:eastAsia="Times New Roman" w:hAnsi="Calibri" w:cs="Calibri"/>
                <w:color w:val="000000"/>
                <w:lang w:eastAsia="en-GB"/>
              </w:rPr>
            </w:pPr>
            <w:r w:rsidRPr="00B24B98">
              <w:rPr>
                <w:rFonts w:ascii="Calibri" w:eastAsia="Times New Roman" w:hAnsi="Calibri" w:cs="Calibri"/>
                <w:color w:val="000000"/>
                <w:lang w:eastAsia="en-GB"/>
              </w:rPr>
              <w:t>49</w:t>
            </w:r>
          </w:p>
        </w:tc>
        <w:tc>
          <w:tcPr>
            <w:tcW w:w="1180" w:type="dxa"/>
            <w:tcBorders>
              <w:top w:val="nil"/>
              <w:left w:val="nil"/>
              <w:bottom w:val="single" w:sz="4" w:space="0" w:color="auto"/>
              <w:right w:val="single" w:sz="4" w:space="0" w:color="auto"/>
            </w:tcBorders>
            <w:shd w:val="clear" w:color="auto" w:fill="auto"/>
            <w:noWrap/>
            <w:vAlign w:val="center"/>
            <w:hideMark/>
          </w:tcPr>
          <w:p w14:paraId="270FD478" w14:textId="77777777" w:rsidR="00B24B98" w:rsidRPr="00B24B98" w:rsidRDefault="00B24B98" w:rsidP="00B24B98">
            <w:pPr>
              <w:spacing w:after="0" w:line="240" w:lineRule="auto"/>
              <w:rPr>
                <w:rFonts w:ascii="Calibri" w:eastAsia="Times New Roman" w:hAnsi="Calibri" w:cs="Calibri"/>
                <w:color w:val="000000"/>
                <w:lang w:eastAsia="en-GB"/>
              </w:rPr>
            </w:pPr>
            <w:r w:rsidRPr="00B24B98">
              <w:rPr>
                <w:rFonts w:ascii="Calibri" w:eastAsia="Times New Roman" w:hAnsi="Calibri" w:cs="Calibri"/>
                <w:color w:val="000000"/>
                <w:lang w:eastAsia="en-GB"/>
              </w:rPr>
              <w:t>V04</w:t>
            </w:r>
          </w:p>
        </w:tc>
        <w:tc>
          <w:tcPr>
            <w:tcW w:w="4521" w:type="dxa"/>
            <w:tcBorders>
              <w:top w:val="nil"/>
              <w:left w:val="nil"/>
              <w:bottom w:val="single" w:sz="4" w:space="0" w:color="auto"/>
              <w:right w:val="single" w:sz="4" w:space="0" w:color="auto"/>
            </w:tcBorders>
            <w:shd w:val="clear" w:color="auto" w:fill="auto"/>
            <w:noWrap/>
            <w:vAlign w:val="center"/>
            <w:hideMark/>
          </w:tcPr>
          <w:p w14:paraId="2556B731" w14:textId="77777777" w:rsidR="00B24B98" w:rsidRPr="00B24B98" w:rsidRDefault="00B24B98" w:rsidP="00B24B98">
            <w:pPr>
              <w:spacing w:after="0" w:line="240" w:lineRule="auto"/>
              <w:rPr>
                <w:rFonts w:ascii="Calibri" w:eastAsia="Times New Roman" w:hAnsi="Calibri" w:cs="Calibri"/>
                <w:color w:val="000000"/>
                <w:lang w:eastAsia="en-GB"/>
              </w:rPr>
            </w:pPr>
            <w:r w:rsidRPr="00B24B98">
              <w:rPr>
                <w:rFonts w:ascii="Calibri" w:eastAsia="Times New Roman" w:hAnsi="Calibri" w:cs="Calibri"/>
                <w:color w:val="000000"/>
                <w:lang w:eastAsia="en-GB"/>
              </w:rPr>
              <w:t>DIAGNOSTIC AGENTS</w:t>
            </w:r>
          </w:p>
        </w:tc>
        <w:tc>
          <w:tcPr>
            <w:tcW w:w="600" w:type="dxa"/>
            <w:tcBorders>
              <w:top w:val="nil"/>
              <w:left w:val="nil"/>
              <w:bottom w:val="single" w:sz="4" w:space="0" w:color="auto"/>
              <w:right w:val="single" w:sz="4" w:space="0" w:color="auto"/>
            </w:tcBorders>
            <w:shd w:val="clear" w:color="auto" w:fill="auto"/>
            <w:noWrap/>
            <w:vAlign w:val="center"/>
            <w:hideMark/>
          </w:tcPr>
          <w:p w14:paraId="0ABEA41A" w14:textId="77777777" w:rsidR="00B24B98" w:rsidRPr="00B24B98" w:rsidRDefault="00B24B98" w:rsidP="00B24B98">
            <w:pPr>
              <w:spacing w:after="0" w:line="240" w:lineRule="auto"/>
              <w:jc w:val="right"/>
              <w:rPr>
                <w:rFonts w:ascii="Calibri" w:eastAsia="Times New Roman" w:hAnsi="Calibri" w:cs="Calibri"/>
                <w:color w:val="000000"/>
                <w:lang w:eastAsia="en-GB"/>
              </w:rPr>
            </w:pPr>
            <w:r w:rsidRPr="00B24B98">
              <w:rPr>
                <w:rFonts w:ascii="Calibri" w:eastAsia="Times New Roman" w:hAnsi="Calibri" w:cs="Calibri"/>
                <w:color w:val="000000"/>
                <w:lang w:eastAsia="en-GB"/>
              </w:rPr>
              <w:t>1</w:t>
            </w:r>
          </w:p>
        </w:tc>
        <w:tc>
          <w:tcPr>
            <w:tcW w:w="960" w:type="dxa"/>
            <w:tcBorders>
              <w:top w:val="nil"/>
              <w:left w:val="nil"/>
              <w:bottom w:val="single" w:sz="4" w:space="0" w:color="auto"/>
              <w:right w:val="single" w:sz="4" w:space="0" w:color="auto"/>
            </w:tcBorders>
            <w:shd w:val="clear" w:color="auto" w:fill="auto"/>
            <w:noWrap/>
            <w:vAlign w:val="bottom"/>
            <w:hideMark/>
          </w:tcPr>
          <w:p w14:paraId="4EAA2FFE" w14:textId="77777777" w:rsidR="00B24B98" w:rsidRPr="00B24B98" w:rsidRDefault="00B24B98" w:rsidP="00B24B98">
            <w:pPr>
              <w:spacing w:after="0" w:line="240" w:lineRule="auto"/>
              <w:jc w:val="right"/>
              <w:rPr>
                <w:rFonts w:ascii="Calibri" w:eastAsia="Times New Roman" w:hAnsi="Calibri" w:cs="Calibri"/>
                <w:color w:val="000000"/>
                <w:lang w:eastAsia="en-GB"/>
              </w:rPr>
            </w:pPr>
            <w:r w:rsidRPr="00B24B98">
              <w:rPr>
                <w:rFonts w:ascii="Calibri" w:eastAsia="Times New Roman" w:hAnsi="Calibri" w:cs="Calibri"/>
                <w:color w:val="000000"/>
                <w:lang w:eastAsia="en-GB"/>
              </w:rPr>
              <w:t>0.04%</w:t>
            </w:r>
          </w:p>
        </w:tc>
      </w:tr>
    </w:tbl>
    <w:p w14:paraId="15EFDE60" w14:textId="1E84EC88" w:rsidR="00B260B5" w:rsidRDefault="00B260B5" w:rsidP="0078596E">
      <w:pPr>
        <w:spacing w:line="360" w:lineRule="auto"/>
        <w:jc w:val="both"/>
      </w:pPr>
      <w:r>
        <w:br w:type="page"/>
      </w:r>
    </w:p>
    <w:p w14:paraId="08960265" w14:textId="77777777" w:rsidR="00B260B5" w:rsidRDefault="00B260B5" w:rsidP="00B260B5">
      <w:pPr>
        <w:spacing w:after="0" w:line="240" w:lineRule="auto"/>
        <w:rPr>
          <w:rFonts w:ascii="Calibri" w:eastAsia="Times New Roman" w:hAnsi="Calibri" w:cs="Calibri"/>
          <w:color w:val="000000"/>
          <w:lang w:eastAsia="en-GB"/>
        </w:rPr>
        <w:sectPr w:rsidR="00B260B5">
          <w:pgSz w:w="11906" w:h="16838"/>
          <w:pgMar w:top="1440" w:right="1440" w:bottom="1440" w:left="1440" w:header="708" w:footer="708" w:gutter="0"/>
          <w:cols w:space="708"/>
          <w:docGrid w:linePitch="360"/>
        </w:sectPr>
      </w:pPr>
    </w:p>
    <w:p w14:paraId="6440F9BC" w14:textId="4A775DC6" w:rsidR="00B260B5" w:rsidRDefault="0078596E" w:rsidP="00C36689">
      <w:pPr>
        <w:spacing w:line="360" w:lineRule="auto"/>
        <w:jc w:val="both"/>
        <w:rPr>
          <w:b/>
          <w:bCs/>
          <w:iCs/>
        </w:rPr>
      </w:pPr>
      <w:r>
        <w:rPr>
          <w:b/>
          <w:bCs/>
          <w:iCs/>
        </w:rPr>
        <w:lastRenderedPageBreak/>
        <w:t xml:space="preserve"> </w:t>
      </w:r>
    </w:p>
    <w:tbl>
      <w:tblPr>
        <w:tblStyle w:val="TableGrid"/>
        <w:tblW w:w="14454" w:type="dxa"/>
        <w:tblLook w:val="04A0" w:firstRow="1" w:lastRow="0" w:firstColumn="1" w:lastColumn="0" w:noHBand="0" w:noVBand="1"/>
      </w:tblPr>
      <w:tblGrid>
        <w:gridCol w:w="2263"/>
        <w:gridCol w:w="993"/>
        <w:gridCol w:w="2559"/>
        <w:gridCol w:w="984"/>
        <w:gridCol w:w="1127"/>
        <w:gridCol w:w="1127"/>
        <w:gridCol w:w="2147"/>
        <w:gridCol w:w="1128"/>
        <w:gridCol w:w="2126"/>
      </w:tblGrid>
      <w:tr w:rsidR="002B40E8" w:rsidRPr="00316392" w14:paraId="2002D47E" w14:textId="3FD297BC" w:rsidTr="00316392">
        <w:tc>
          <w:tcPr>
            <w:tcW w:w="12328" w:type="dxa"/>
            <w:gridSpan w:val="8"/>
          </w:tcPr>
          <w:p w14:paraId="3FFE7608" w14:textId="286A58EE" w:rsidR="002B40E8" w:rsidRPr="00316392" w:rsidRDefault="002B40E8" w:rsidP="00187AB7">
            <w:pPr>
              <w:spacing w:line="360" w:lineRule="auto"/>
              <w:jc w:val="both"/>
              <w:rPr>
                <w:sz w:val="16"/>
                <w:szCs w:val="16"/>
              </w:rPr>
            </w:pPr>
            <w:commentRangeStart w:id="25"/>
            <w:r w:rsidRPr="00316392">
              <w:rPr>
                <w:sz w:val="16"/>
                <w:szCs w:val="16"/>
              </w:rPr>
              <w:t xml:space="preserve">Table comparison of most frequent presentations and drugs </w:t>
            </w:r>
            <w:commentRangeEnd w:id="25"/>
            <w:r w:rsidRPr="00316392">
              <w:rPr>
                <w:rStyle w:val="CommentReference"/>
              </w:rPr>
              <w:commentReference w:id="25"/>
            </w:r>
          </w:p>
        </w:tc>
        <w:tc>
          <w:tcPr>
            <w:tcW w:w="2126" w:type="dxa"/>
          </w:tcPr>
          <w:p w14:paraId="0D13CB8F" w14:textId="77777777" w:rsidR="002B40E8" w:rsidRPr="00316392" w:rsidRDefault="002B40E8" w:rsidP="00187AB7">
            <w:pPr>
              <w:spacing w:line="360" w:lineRule="auto"/>
              <w:jc w:val="both"/>
              <w:rPr>
                <w:sz w:val="16"/>
                <w:szCs w:val="16"/>
              </w:rPr>
            </w:pPr>
          </w:p>
        </w:tc>
      </w:tr>
      <w:tr w:rsidR="002B40E8" w:rsidRPr="00316392" w14:paraId="5E7E2074" w14:textId="1D72BEE4" w:rsidTr="00316392">
        <w:tc>
          <w:tcPr>
            <w:tcW w:w="2263" w:type="dxa"/>
          </w:tcPr>
          <w:p w14:paraId="2D86E791" w14:textId="1EBC4062" w:rsidR="002B40E8" w:rsidRPr="00316392" w:rsidRDefault="002B40E8" w:rsidP="002B40E8">
            <w:pPr>
              <w:spacing w:line="360" w:lineRule="auto"/>
              <w:jc w:val="center"/>
              <w:rPr>
                <w:b/>
                <w:sz w:val="16"/>
                <w:szCs w:val="16"/>
              </w:rPr>
            </w:pPr>
            <w:r w:rsidRPr="00316392">
              <w:rPr>
                <w:b/>
                <w:sz w:val="16"/>
                <w:szCs w:val="16"/>
              </w:rPr>
              <w:t xml:space="preserve">Most common ADR Presentation </w:t>
            </w:r>
          </w:p>
        </w:tc>
        <w:tc>
          <w:tcPr>
            <w:tcW w:w="993" w:type="dxa"/>
          </w:tcPr>
          <w:p w14:paraId="2B6E6118" w14:textId="77777777" w:rsidR="002B40E8" w:rsidRPr="00316392" w:rsidRDefault="002B40E8" w:rsidP="002B40E8">
            <w:pPr>
              <w:spacing w:line="360" w:lineRule="auto"/>
              <w:jc w:val="center"/>
              <w:rPr>
                <w:b/>
                <w:sz w:val="16"/>
                <w:szCs w:val="16"/>
              </w:rPr>
            </w:pPr>
            <w:r w:rsidRPr="00316392">
              <w:rPr>
                <w:b/>
                <w:sz w:val="16"/>
                <w:szCs w:val="16"/>
              </w:rPr>
              <w:t xml:space="preserve">% </w:t>
            </w:r>
            <w:r w:rsidRPr="00316392">
              <w:rPr>
                <w:b/>
                <w:i/>
                <w:sz w:val="16"/>
                <w:szCs w:val="16"/>
              </w:rPr>
              <w:t>(n)</w:t>
            </w:r>
          </w:p>
        </w:tc>
        <w:tc>
          <w:tcPr>
            <w:tcW w:w="2559" w:type="dxa"/>
          </w:tcPr>
          <w:p w14:paraId="448FB122" w14:textId="25A65861" w:rsidR="002B40E8" w:rsidRPr="00316392" w:rsidRDefault="002B40E8" w:rsidP="00752DA2">
            <w:pPr>
              <w:spacing w:line="360" w:lineRule="auto"/>
              <w:jc w:val="center"/>
              <w:rPr>
                <w:b/>
                <w:sz w:val="16"/>
                <w:szCs w:val="16"/>
              </w:rPr>
            </w:pPr>
            <w:r w:rsidRPr="00316392">
              <w:rPr>
                <w:b/>
                <w:sz w:val="16"/>
                <w:szCs w:val="16"/>
              </w:rPr>
              <w:t xml:space="preserve">Most common </w:t>
            </w:r>
            <w:r w:rsidR="00752DA2" w:rsidRPr="00316392">
              <w:rPr>
                <w:b/>
                <w:sz w:val="16"/>
                <w:szCs w:val="16"/>
              </w:rPr>
              <w:t>reported causative</w:t>
            </w:r>
            <w:r w:rsidRPr="00316392">
              <w:rPr>
                <w:b/>
                <w:sz w:val="16"/>
                <w:szCs w:val="16"/>
              </w:rPr>
              <w:t xml:space="preserve"> drug for presentation </w:t>
            </w:r>
          </w:p>
        </w:tc>
        <w:tc>
          <w:tcPr>
            <w:tcW w:w="984" w:type="dxa"/>
          </w:tcPr>
          <w:p w14:paraId="578B2FE7" w14:textId="62C91F0B" w:rsidR="002B40E8" w:rsidRPr="00316392" w:rsidRDefault="002B40E8" w:rsidP="002B40E8">
            <w:pPr>
              <w:spacing w:line="360" w:lineRule="auto"/>
              <w:jc w:val="center"/>
              <w:rPr>
                <w:b/>
                <w:sz w:val="16"/>
                <w:szCs w:val="16"/>
              </w:rPr>
            </w:pPr>
            <w:r w:rsidRPr="00316392">
              <w:rPr>
                <w:b/>
                <w:sz w:val="16"/>
                <w:szCs w:val="16"/>
              </w:rPr>
              <w:t xml:space="preserve">% </w:t>
            </w:r>
            <w:r w:rsidRPr="00316392">
              <w:rPr>
                <w:b/>
                <w:i/>
                <w:sz w:val="16"/>
                <w:szCs w:val="16"/>
              </w:rPr>
              <w:t>(of all drugs)</w:t>
            </w:r>
          </w:p>
        </w:tc>
        <w:tc>
          <w:tcPr>
            <w:tcW w:w="1127" w:type="dxa"/>
          </w:tcPr>
          <w:p w14:paraId="11B9A6DC" w14:textId="6432F725" w:rsidR="002B40E8" w:rsidRPr="00316392" w:rsidRDefault="002B40E8" w:rsidP="002B40E8">
            <w:pPr>
              <w:spacing w:line="360" w:lineRule="auto"/>
              <w:jc w:val="center"/>
              <w:rPr>
                <w:b/>
                <w:sz w:val="16"/>
                <w:szCs w:val="16"/>
              </w:rPr>
            </w:pPr>
            <w:r w:rsidRPr="00316392">
              <w:rPr>
                <w:b/>
                <w:sz w:val="16"/>
                <w:szCs w:val="16"/>
              </w:rPr>
              <w:t xml:space="preserve">% </w:t>
            </w:r>
            <w:r w:rsidRPr="00316392">
              <w:rPr>
                <w:b/>
                <w:i/>
                <w:sz w:val="16"/>
                <w:szCs w:val="16"/>
              </w:rPr>
              <w:t>(of all ADRs)</w:t>
            </w:r>
          </w:p>
        </w:tc>
        <w:tc>
          <w:tcPr>
            <w:tcW w:w="1127" w:type="dxa"/>
          </w:tcPr>
          <w:p w14:paraId="1A42F5A7" w14:textId="77777777" w:rsidR="002B40E8" w:rsidRPr="00316392" w:rsidRDefault="002B40E8" w:rsidP="002B40E8">
            <w:pPr>
              <w:spacing w:line="360" w:lineRule="auto"/>
              <w:jc w:val="center"/>
              <w:rPr>
                <w:b/>
                <w:sz w:val="16"/>
                <w:szCs w:val="16"/>
              </w:rPr>
            </w:pPr>
          </w:p>
        </w:tc>
        <w:tc>
          <w:tcPr>
            <w:tcW w:w="2147" w:type="dxa"/>
          </w:tcPr>
          <w:p w14:paraId="15D6D632" w14:textId="7E7DD243" w:rsidR="002B40E8" w:rsidRPr="00316392" w:rsidRDefault="002B40E8" w:rsidP="002B40E8">
            <w:pPr>
              <w:spacing w:line="360" w:lineRule="auto"/>
              <w:jc w:val="center"/>
              <w:rPr>
                <w:b/>
                <w:sz w:val="16"/>
                <w:szCs w:val="16"/>
              </w:rPr>
            </w:pPr>
            <w:r w:rsidRPr="00316392">
              <w:rPr>
                <w:b/>
                <w:sz w:val="16"/>
                <w:szCs w:val="16"/>
              </w:rPr>
              <w:t>Most common drug by ATC 2</w:t>
            </w:r>
            <w:r w:rsidRPr="00316392">
              <w:rPr>
                <w:b/>
                <w:sz w:val="16"/>
                <w:szCs w:val="16"/>
                <w:vertAlign w:val="superscript"/>
              </w:rPr>
              <w:t xml:space="preserve">nd </w:t>
            </w:r>
            <w:r w:rsidRPr="00316392">
              <w:rPr>
                <w:b/>
                <w:sz w:val="16"/>
                <w:szCs w:val="16"/>
              </w:rPr>
              <w:t>level, therapeutic subgroup</w:t>
            </w:r>
          </w:p>
        </w:tc>
        <w:tc>
          <w:tcPr>
            <w:tcW w:w="1128" w:type="dxa"/>
          </w:tcPr>
          <w:p w14:paraId="6DE3FD6D" w14:textId="4D8B47C4" w:rsidR="002B40E8" w:rsidRPr="00316392" w:rsidRDefault="00316392" w:rsidP="002B40E8">
            <w:pPr>
              <w:spacing w:line="360" w:lineRule="auto"/>
              <w:jc w:val="center"/>
              <w:rPr>
                <w:b/>
                <w:sz w:val="16"/>
                <w:szCs w:val="16"/>
              </w:rPr>
            </w:pPr>
            <w:r w:rsidRPr="00316392">
              <w:rPr>
                <w:b/>
                <w:sz w:val="16"/>
                <w:szCs w:val="16"/>
              </w:rPr>
              <w:t>% of 2382 (n</w:t>
            </w:r>
            <w:r w:rsidR="002B40E8" w:rsidRPr="00316392">
              <w:rPr>
                <w:b/>
                <w:sz w:val="16"/>
                <w:szCs w:val="16"/>
              </w:rPr>
              <w:t>)</w:t>
            </w:r>
          </w:p>
        </w:tc>
        <w:tc>
          <w:tcPr>
            <w:tcW w:w="2126" w:type="dxa"/>
          </w:tcPr>
          <w:p w14:paraId="5611E700" w14:textId="12B62D8E" w:rsidR="002B40E8" w:rsidRPr="00316392" w:rsidRDefault="002B40E8" w:rsidP="002B40E8">
            <w:pPr>
              <w:spacing w:line="360" w:lineRule="auto"/>
              <w:jc w:val="center"/>
              <w:rPr>
                <w:b/>
                <w:sz w:val="16"/>
                <w:szCs w:val="16"/>
              </w:rPr>
            </w:pPr>
            <w:r w:rsidRPr="00316392">
              <w:rPr>
                <w:b/>
                <w:sz w:val="16"/>
                <w:szCs w:val="16"/>
              </w:rPr>
              <w:t xml:space="preserve">Higher level subgroup and % where possible </w:t>
            </w:r>
          </w:p>
        </w:tc>
      </w:tr>
      <w:tr w:rsidR="00316392" w:rsidRPr="00316392" w14:paraId="2E9B05D5" w14:textId="49E8E86C" w:rsidTr="00316392">
        <w:tc>
          <w:tcPr>
            <w:tcW w:w="2263" w:type="dxa"/>
          </w:tcPr>
          <w:p w14:paraId="27AFE4AC" w14:textId="77777777" w:rsidR="00316392" w:rsidRPr="00316392" w:rsidRDefault="00316392" w:rsidP="00316392">
            <w:pPr>
              <w:spacing w:line="360" w:lineRule="auto"/>
              <w:jc w:val="both"/>
              <w:rPr>
                <w:sz w:val="16"/>
                <w:szCs w:val="16"/>
              </w:rPr>
            </w:pPr>
          </w:p>
        </w:tc>
        <w:tc>
          <w:tcPr>
            <w:tcW w:w="993" w:type="dxa"/>
          </w:tcPr>
          <w:p w14:paraId="21E46EDB" w14:textId="77777777" w:rsidR="00316392" w:rsidRPr="00316392" w:rsidRDefault="00316392" w:rsidP="00316392">
            <w:pPr>
              <w:spacing w:line="360" w:lineRule="auto"/>
              <w:jc w:val="both"/>
              <w:rPr>
                <w:sz w:val="16"/>
                <w:szCs w:val="16"/>
              </w:rPr>
            </w:pPr>
          </w:p>
        </w:tc>
        <w:tc>
          <w:tcPr>
            <w:tcW w:w="2559" w:type="dxa"/>
          </w:tcPr>
          <w:p w14:paraId="537D8F44" w14:textId="77777777" w:rsidR="00316392" w:rsidRPr="00316392" w:rsidRDefault="00316392" w:rsidP="00316392">
            <w:pPr>
              <w:spacing w:line="360" w:lineRule="auto"/>
              <w:jc w:val="both"/>
              <w:rPr>
                <w:sz w:val="16"/>
                <w:szCs w:val="16"/>
              </w:rPr>
            </w:pPr>
          </w:p>
        </w:tc>
        <w:tc>
          <w:tcPr>
            <w:tcW w:w="984" w:type="dxa"/>
          </w:tcPr>
          <w:p w14:paraId="12EDF707" w14:textId="77777777" w:rsidR="00316392" w:rsidRPr="00316392" w:rsidRDefault="00316392" w:rsidP="00316392">
            <w:pPr>
              <w:spacing w:line="360" w:lineRule="auto"/>
              <w:jc w:val="both"/>
              <w:rPr>
                <w:sz w:val="16"/>
                <w:szCs w:val="16"/>
              </w:rPr>
            </w:pPr>
          </w:p>
        </w:tc>
        <w:tc>
          <w:tcPr>
            <w:tcW w:w="1127" w:type="dxa"/>
          </w:tcPr>
          <w:p w14:paraId="4E2A7A6B" w14:textId="77777777" w:rsidR="00316392" w:rsidRPr="00316392" w:rsidRDefault="00316392" w:rsidP="00316392">
            <w:pPr>
              <w:spacing w:line="360" w:lineRule="auto"/>
              <w:jc w:val="both"/>
              <w:rPr>
                <w:sz w:val="16"/>
                <w:szCs w:val="16"/>
              </w:rPr>
            </w:pPr>
          </w:p>
        </w:tc>
        <w:tc>
          <w:tcPr>
            <w:tcW w:w="1127" w:type="dxa"/>
          </w:tcPr>
          <w:p w14:paraId="4EA74186" w14:textId="77777777" w:rsidR="00316392" w:rsidRPr="00316392" w:rsidRDefault="00316392" w:rsidP="00316392">
            <w:pPr>
              <w:spacing w:line="360" w:lineRule="auto"/>
              <w:jc w:val="both"/>
              <w:rPr>
                <w:sz w:val="16"/>
                <w:szCs w:val="16"/>
              </w:rPr>
            </w:pPr>
          </w:p>
        </w:tc>
        <w:tc>
          <w:tcPr>
            <w:tcW w:w="2147" w:type="dxa"/>
            <w:vAlign w:val="center"/>
          </w:tcPr>
          <w:p w14:paraId="018985AE" w14:textId="48FB7180" w:rsidR="00316392" w:rsidRPr="00316392" w:rsidRDefault="00316392" w:rsidP="00316392">
            <w:pPr>
              <w:spacing w:line="360" w:lineRule="auto"/>
              <w:jc w:val="both"/>
              <w:rPr>
                <w:sz w:val="16"/>
                <w:szCs w:val="16"/>
              </w:rPr>
            </w:pPr>
            <w:r w:rsidRPr="00316392">
              <w:rPr>
                <w:rFonts w:ascii="Calibri" w:hAnsi="Calibri" w:cs="Calibri"/>
                <w:color w:val="000000"/>
                <w:sz w:val="16"/>
                <w:szCs w:val="16"/>
              </w:rPr>
              <w:t>Diuretics</w:t>
            </w:r>
          </w:p>
        </w:tc>
        <w:tc>
          <w:tcPr>
            <w:tcW w:w="1128" w:type="dxa"/>
          </w:tcPr>
          <w:p w14:paraId="13DA0914" w14:textId="685878FD" w:rsidR="00316392" w:rsidRPr="00316392" w:rsidRDefault="00316392" w:rsidP="00316392">
            <w:pPr>
              <w:spacing w:line="360" w:lineRule="auto"/>
              <w:jc w:val="both"/>
              <w:rPr>
                <w:sz w:val="16"/>
                <w:szCs w:val="16"/>
              </w:rPr>
            </w:pPr>
            <w:r>
              <w:rPr>
                <w:sz w:val="16"/>
                <w:szCs w:val="16"/>
              </w:rPr>
              <w:t>19.86% (473)</w:t>
            </w:r>
          </w:p>
        </w:tc>
        <w:tc>
          <w:tcPr>
            <w:tcW w:w="2126" w:type="dxa"/>
          </w:tcPr>
          <w:p w14:paraId="07295DAA" w14:textId="6144D723" w:rsidR="00316392" w:rsidRPr="00316392" w:rsidRDefault="00164683" w:rsidP="00316392">
            <w:pPr>
              <w:spacing w:line="360" w:lineRule="auto"/>
              <w:jc w:val="both"/>
              <w:rPr>
                <w:sz w:val="16"/>
                <w:szCs w:val="16"/>
              </w:rPr>
            </w:pPr>
            <w:r>
              <w:rPr>
                <w:sz w:val="16"/>
                <w:szCs w:val="16"/>
              </w:rPr>
              <w:t>High-ceiling diuretics</w:t>
            </w:r>
            <w:r w:rsidR="000C12D8">
              <w:rPr>
                <w:sz w:val="16"/>
                <w:szCs w:val="16"/>
              </w:rPr>
              <w:t xml:space="preserve"> 9.82%</w:t>
            </w:r>
            <w:r>
              <w:rPr>
                <w:sz w:val="16"/>
                <w:szCs w:val="16"/>
              </w:rPr>
              <w:t xml:space="preserve"> (234)</w:t>
            </w:r>
          </w:p>
        </w:tc>
      </w:tr>
      <w:tr w:rsidR="00316392" w:rsidRPr="00316392" w14:paraId="0EB89D15" w14:textId="22104B0A" w:rsidTr="00316392">
        <w:tc>
          <w:tcPr>
            <w:tcW w:w="2263" w:type="dxa"/>
          </w:tcPr>
          <w:p w14:paraId="0C3B78E3" w14:textId="77777777" w:rsidR="00316392" w:rsidRPr="00316392" w:rsidRDefault="00316392" w:rsidP="00316392">
            <w:pPr>
              <w:spacing w:line="360" w:lineRule="auto"/>
              <w:jc w:val="both"/>
              <w:rPr>
                <w:sz w:val="16"/>
                <w:szCs w:val="16"/>
              </w:rPr>
            </w:pPr>
          </w:p>
        </w:tc>
        <w:tc>
          <w:tcPr>
            <w:tcW w:w="993" w:type="dxa"/>
          </w:tcPr>
          <w:p w14:paraId="609956A5" w14:textId="77777777" w:rsidR="00316392" w:rsidRPr="00316392" w:rsidRDefault="00316392" w:rsidP="00316392">
            <w:pPr>
              <w:spacing w:line="360" w:lineRule="auto"/>
              <w:jc w:val="both"/>
              <w:rPr>
                <w:sz w:val="16"/>
                <w:szCs w:val="16"/>
              </w:rPr>
            </w:pPr>
          </w:p>
        </w:tc>
        <w:tc>
          <w:tcPr>
            <w:tcW w:w="2559" w:type="dxa"/>
          </w:tcPr>
          <w:p w14:paraId="759DE6A5" w14:textId="77777777" w:rsidR="00316392" w:rsidRPr="00316392" w:rsidRDefault="00316392" w:rsidP="00316392">
            <w:pPr>
              <w:spacing w:line="360" w:lineRule="auto"/>
              <w:jc w:val="both"/>
              <w:rPr>
                <w:sz w:val="16"/>
                <w:szCs w:val="16"/>
              </w:rPr>
            </w:pPr>
          </w:p>
        </w:tc>
        <w:tc>
          <w:tcPr>
            <w:tcW w:w="984" w:type="dxa"/>
          </w:tcPr>
          <w:p w14:paraId="45A64346" w14:textId="77777777" w:rsidR="00316392" w:rsidRPr="00316392" w:rsidRDefault="00316392" w:rsidP="00316392">
            <w:pPr>
              <w:spacing w:line="360" w:lineRule="auto"/>
              <w:jc w:val="both"/>
              <w:rPr>
                <w:sz w:val="16"/>
                <w:szCs w:val="16"/>
              </w:rPr>
            </w:pPr>
          </w:p>
        </w:tc>
        <w:tc>
          <w:tcPr>
            <w:tcW w:w="1127" w:type="dxa"/>
          </w:tcPr>
          <w:p w14:paraId="166FADAC" w14:textId="77777777" w:rsidR="00316392" w:rsidRPr="00316392" w:rsidRDefault="00316392" w:rsidP="00316392">
            <w:pPr>
              <w:spacing w:line="360" w:lineRule="auto"/>
              <w:jc w:val="both"/>
              <w:rPr>
                <w:sz w:val="16"/>
                <w:szCs w:val="16"/>
              </w:rPr>
            </w:pPr>
          </w:p>
        </w:tc>
        <w:tc>
          <w:tcPr>
            <w:tcW w:w="1127" w:type="dxa"/>
          </w:tcPr>
          <w:p w14:paraId="55665FC6" w14:textId="77777777" w:rsidR="00316392" w:rsidRPr="00316392" w:rsidRDefault="00316392" w:rsidP="00316392">
            <w:pPr>
              <w:spacing w:line="360" w:lineRule="auto"/>
              <w:jc w:val="both"/>
              <w:rPr>
                <w:sz w:val="16"/>
                <w:szCs w:val="16"/>
              </w:rPr>
            </w:pPr>
          </w:p>
        </w:tc>
        <w:tc>
          <w:tcPr>
            <w:tcW w:w="2147" w:type="dxa"/>
            <w:vAlign w:val="center"/>
          </w:tcPr>
          <w:p w14:paraId="537502EC" w14:textId="02FEBB5C" w:rsidR="00316392" w:rsidRPr="00316392" w:rsidRDefault="00316392" w:rsidP="00316392">
            <w:pPr>
              <w:spacing w:line="360" w:lineRule="auto"/>
              <w:jc w:val="both"/>
              <w:rPr>
                <w:sz w:val="16"/>
                <w:szCs w:val="16"/>
              </w:rPr>
            </w:pPr>
            <w:r>
              <w:rPr>
                <w:rFonts w:ascii="Calibri" w:hAnsi="Calibri" w:cs="Calibri"/>
                <w:color w:val="000000"/>
                <w:sz w:val="16"/>
                <w:szCs w:val="16"/>
              </w:rPr>
              <w:t>Antibacterials (</w:t>
            </w:r>
            <w:r w:rsidRPr="00316392">
              <w:rPr>
                <w:rFonts w:ascii="Calibri" w:hAnsi="Calibri" w:cs="Calibri"/>
                <w:color w:val="000000"/>
                <w:sz w:val="16"/>
                <w:szCs w:val="16"/>
              </w:rPr>
              <w:t>systemic use</w:t>
            </w:r>
            <w:r>
              <w:rPr>
                <w:rFonts w:ascii="Calibri" w:hAnsi="Calibri" w:cs="Calibri"/>
                <w:color w:val="000000"/>
                <w:sz w:val="16"/>
                <w:szCs w:val="16"/>
              </w:rPr>
              <w:t>)</w:t>
            </w:r>
          </w:p>
        </w:tc>
        <w:tc>
          <w:tcPr>
            <w:tcW w:w="1128" w:type="dxa"/>
          </w:tcPr>
          <w:p w14:paraId="4AFE0953" w14:textId="6CDB2A9E" w:rsidR="00316392" w:rsidRPr="00316392" w:rsidRDefault="00316392" w:rsidP="00316392">
            <w:pPr>
              <w:spacing w:line="360" w:lineRule="auto"/>
              <w:jc w:val="both"/>
              <w:rPr>
                <w:sz w:val="16"/>
                <w:szCs w:val="16"/>
              </w:rPr>
            </w:pPr>
            <w:r>
              <w:rPr>
                <w:sz w:val="16"/>
                <w:szCs w:val="16"/>
              </w:rPr>
              <w:t>14.82% (353)</w:t>
            </w:r>
          </w:p>
        </w:tc>
        <w:tc>
          <w:tcPr>
            <w:tcW w:w="2126" w:type="dxa"/>
          </w:tcPr>
          <w:p w14:paraId="661B7A33" w14:textId="2E209495" w:rsidR="00316392" w:rsidRPr="00316392" w:rsidRDefault="00164683" w:rsidP="00316392">
            <w:pPr>
              <w:spacing w:line="360" w:lineRule="auto"/>
              <w:jc w:val="both"/>
              <w:rPr>
                <w:sz w:val="16"/>
                <w:szCs w:val="16"/>
              </w:rPr>
            </w:pPr>
            <w:r>
              <w:rPr>
                <w:sz w:val="16"/>
                <w:szCs w:val="16"/>
              </w:rPr>
              <w:t>Beta-lactam antibacterial</w:t>
            </w:r>
            <w:r w:rsidR="000C12D8">
              <w:rPr>
                <w:sz w:val="16"/>
                <w:szCs w:val="16"/>
              </w:rPr>
              <w:t xml:space="preserve"> 4.45%</w:t>
            </w:r>
            <w:r>
              <w:rPr>
                <w:sz w:val="16"/>
                <w:szCs w:val="16"/>
              </w:rPr>
              <w:t xml:space="preserve"> (106)</w:t>
            </w:r>
          </w:p>
        </w:tc>
      </w:tr>
      <w:tr w:rsidR="00316392" w:rsidRPr="00316392" w14:paraId="43E447A6" w14:textId="07222C0D" w:rsidTr="00316392">
        <w:tc>
          <w:tcPr>
            <w:tcW w:w="2263" w:type="dxa"/>
          </w:tcPr>
          <w:p w14:paraId="5B6EDFA1" w14:textId="77777777" w:rsidR="00316392" w:rsidRPr="00316392" w:rsidRDefault="00316392" w:rsidP="00316392">
            <w:pPr>
              <w:spacing w:line="360" w:lineRule="auto"/>
              <w:jc w:val="both"/>
              <w:rPr>
                <w:sz w:val="16"/>
                <w:szCs w:val="16"/>
              </w:rPr>
            </w:pPr>
          </w:p>
        </w:tc>
        <w:tc>
          <w:tcPr>
            <w:tcW w:w="993" w:type="dxa"/>
          </w:tcPr>
          <w:p w14:paraId="47861BC0" w14:textId="77777777" w:rsidR="00316392" w:rsidRPr="00316392" w:rsidRDefault="00316392" w:rsidP="00316392">
            <w:pPr>
              <w:spacing w:line="360" w:lineRule="auto"/>
              <w:jc w:val="both"/>
              <w:rPr>
                <w:sz w:val="16"/>
                <w:szCs w:val="16"/>
              </w:rPr>
            </w:pPr>
          </w:p>
        </w:tc>
        <w:tc>
          <w:tcPr>
            <w:tcW w:w="2559" w:type="dxa"/>
          </w:tcPr>
          <w:p w14:paraId="7EE35CAD" w14:textId="77777777" w:rsidR="00316392" w:rsidRPr="00316392" w:rsidRDefault="00316392" w:rsidP="00316392">
            <w:pPr>
              <w:spacing w:line="360" w:lineRule="auto"/>
              <w:jc w:val="both"/>
              <w:rPr>
                <w:sz w:val="16"/>
                <w:szCs w:val="16"/>
              </w:rPr>
            </w:pPr>
          </w:p>
        </w:tc>
        <w:tc>
          <w:tcPr>
            <w:tcW w:w="984" w:type="dxa"/>
          </w:tcPr>
          <w:p w14:paraId="7367676F" w14:textId="77777777" w:rsidR="00316392" w:rsidRPr="00316392" w:rsidRDefault="00316392" w:rsidP="00316392">
            <w:pPr>
              <w:spacing w:line="360" w:lineRule="auto"/>
              <w:jc w:val="both"/>
              <w:rPr>
                <w:sz w:val="16"/>
                <w:szCs w:val="16"/>
              </w:rPr>
            </w:pPr>
          </w:p>
        </w:tc>
        <w:tc>
          <w:tcPr>
            <w:tcW w:w="1127" w:type="dxa"/>
          </w:tcPr>
          <w:p w14:paraId="60F800A3" w14:textId="77777777" w:rsidR="00316392" w:rsidRPr="00316392" w:rsidRDefault="00316392" w:rsidP="00316392">
            <w:pPr>
              <w:spacing w:line="360" w:lineRule="auto"/>
              <w:jc w:val="both"/>
              <w:rPr>
                <w:sz w:val="16"/>
                <w:szCs w:val="16"/>
              </w:rPr>
            </w:pPr>
          </w:p>
        </w:tc>
        <w:tc>
          <w:tcPr>
            <w:tcW w:w="1127" w:type="dxa"/>
          </w:tcPr>
          <w:p w14:paraId="253D5C09" w14:textId="77777777" w:rsidR="00316392" w:rsidRPr="00316392" w:rsidRDefault="00316392" w:rsidP="00316392">
            <w:pPr>
              <w:spacing w:line="360" w:lineRule="auto"/>
              <w:jc w:val="both"/>
              <w:rPr>
                <w:sz w:val="16"/>
                <w:szCs w:val="16"/>
              </w:rPr>
            </w:pPr>
          </w:p>
        </w:tc>
        <w:tc>
          <w:tcPr>
            <w:tcW w:w="2147" w:type="dxa"/>
            <w:vAlign w:val="center"/>
          </w:tcPr>
          <w:p w14:paraId="3E00918C" w14:textId="3E20543A" w:rsidR="00316392" w:rsidRPr="00316392" w:rsidRDefault="00316392" w:rsidP="00316392">
            <w:pPr>
              <w:spacing w:line="360" w:lineRule="auto"/>
              <w:jc w:val="both"/>
              <w:rPr>
                <w:sz w:val="16"/>
                <w:szCs w:val="16"/>
              </w:rPr>
            </w:pPr>
            <w:r w:rsidRPr="00316392">
              <w:rPr>
                <w:rFonts w:ascii="Calibri" w:hAnsi="Calibri" w:cs="Calibri"/>
                <w:color w:val="000000"/>
                <w:sz w:val="16"/>
                <w:szCs w:val="16"/>
              </w:rPr>
              <w:t>Antithrombotic agents</w:t>
            </w:r>
          </w:p>
        </w:tc>
        <w:tc>
          <w:tcPr>
            <w:tcW w:w="1128" w:type="dxa"/>
          </w:tcPr>
          <w:p w14:paraId="36DC7E41" w14:textId="2E11A4D9" w:rsidR="00316392" w:rsidRPr="00316392" w:rsidRDefault="00316392" w:rsidP="00316392">
            <w:pPr>
              <w:spacing w:line="360" w:lineRule="auto"/>
              <w:jc w:val="both"/>
              <w:rPr>
                <w:sz w:val="16"/>
                <w:szCs w:val="16"/>
              </w:rPr>
            </w:pPr>
            <w:r>
              <w:rPr>
                <w:sz w:val="16"/>
                <w:szCs w:val="16"/>
              </w:rPr>
              <w:t>12.17% (290)</w:t>
            </w:r>
          </w:p>
        </w:tc>
        <w:tc>
          <w:tcPr>
            <w:tcW w:w="2126" w:type="dxa"/>
          </w:tcPr>
          <w:p w14:paraId="45009769" w14:textId="77777777" w:rsidR="00316392" w:rsidRPr="00316392" w:rsidRDefault="00316392" w:rsidP="00316392">
            <w:pPr>
              <w:spacing w:line="360" w:lineRule="auto"/>
              <w:jc w:val="both"/>
              <w:rPr>
                <w:sz w:val="16"/>
                <w:szCs w:val="16"/>
              </w:rPr>
            </w:pPr>
          </w:p>
        </w:tc>
      </w:tr>
      <w:tr w:rsidR="00316392" w:rsidRPr="00316392" w14:paraId="184247D8" w14:textId="67042165" w:rsidTr="00316392">
        <w:tc>
          <w:tcPr>
            <w:tcW w:w="2263" w:type="dxa"/>
          </w:tcPr>
          <w:p w14:paraId="279D8273" w14:textId="77777777" w:rsidR="00316392" w:rsidRPr="00316392" w:rsidRDefault="00316392" w:rsidP="00316392">
            <w:pPr>
              <w:spacing w:line="360" w:lineRule="auto"/>
              <w:jc w:val="both"/>
              <w:rPr>
                <w:sz w:val="16"/>
                <w:szCs w:val="16"/>
              </w:rPr>
            </w:pPr>
          </w:p>
        </w:tc>
        <w:tc>
          <w:tcPr>
            <w:tcW w:w="993" w:type="dxa"/>
          </w:tcPr>
          <w:p w14:paraId="60A232C4" w14:textId="77777777" w:rsidR="00316392" w:rsidRPr="00316392" w:rsidRDefault="00316392" w:rsidP="00316392">
            <w:pPr>
              <w:spacing w:line="360" w:lineRule="auto"/>
              <w:jc w:val="both"/>
              <w:rPr>
                <w:sz w:val="16"/>
                <w:szCs w:val="16"/>
              </w:rPr>
            </w:pPr>
          </w:p>
        </w:tc>
        <w:tc>
          <w:tcPr>
            <w:tcW w:w="2559" w:type="dxa"/>
          </w:tcPr>
          <w:p w14:paraId="498283DC" w14:textId="77777777" w:rsidR="00316392" w:rsidRPr="00316392" w:rsidRDefault="00316392" w:rsidP="00316392">
            <w:pPr>
              <w:spacing w:line="360" w:lineRule="auto"/>
              <w:jc w:val="both"/>
              <w:rPr>
                <w:sz w:val="16"/>
                <w:szCs w:val="16"/>
              </w:rPr>
            </w:pPr>
          </w:p>
        </w:tc>
        <w:tc>
          <w:tcPr>
            <w:tcW w:w="984" w:type="dxa"/>
          </w:tcPr>
          <w:p w14:paraId="2F097606" w14:textId="77777777" w:rsidR="00316392" w:rsidRPr="00316392" w:rsidRDefault="00316392" w:rsidP="00316392">
            <w:pPr>
              <w:spacing w:line="360" w:lineRule="auto"/>
              <w:jc w:val="both"/>
              <w:rPr>
                <w:sz w:val="16"/>
                <w:szCs w:val="16"/>
              </w:rPr>
            </w:pPr>
          </w:p>
        </w:tc>
        <w:tc>
          <w:tcPr>
            <w:tcW w:w="1127" w:type="dxa"/>
          </w:tcPr>
          <w:p w14:paraId="19019BA0" w14:textId="77777777" w:rsidR="00316392" w:rsidRPr="00316392" w:rsidRDefault="00316392" w:rsidP="00316392">
            <w:pPr>
              <w:spacing w:line="360" w:lineRule="auto"/>
              <w:jc w:val="both"/>
              <w:rPr>
                <w:sz w:val="16"/>
                <w:szCs w:val="16"/>
              </w:rPr>
            </w:pPr>
          </w:p>
        </w:tc>
        <w:tc>
          <w:tcPr>
            <w:tcW w:w="1127" w:type="dxa"/>
          </w:tcPr>
          <w:p w14:paraId="6DBBFBA0" w14:textId="77777777" w:rsidR="00316392" w:rsidRPr="00316392" w:rsidRDefault="00316392" w:rsidP="00316392">
            <w:pPr>
              <w:spacing w:line="360" w:lineRule="auto"/>
              <w:jc w:val="both"/>
              <w:rPr>
                <w:sz w:val="16"/>
                <w:szCs w:val="16"/>
              </w:rPr>
            </w:pPr>
          </w:p>
        </w:tc>
        <w:tc>
          <w:tcPr>
            <w:tcW w:w="2147" w:type="dxa"/>
            <w:vAlign w:val="center"/>
          </w:tcPr>
          <w:p w14:paraId="5FB1134C" w14:textId="7F66616A" w:rsidR="00316392" w:rsidRPr="00316392" w:rsidRDefault="00316392" w:rsidP="00316392">
            <w:pPr>
              <w:spacing w:line="360" w:lineRule="auto"/>
              <w:jc w:val="both"/>
              <w:rPr>
                <w:sz w:val="16"/>
                <w:szCs w:val="16"/>
              </w:rPr>
            </w:pPr>
            <w:r w:rsidRPr="00316392">
              <w:rPr>
                <w:rFonts w:ascii="Calibri" w:hAnsi="Calibri" w:cs="Calibri"/>
                <w:color w:val="000000"/>
                <w:sz w:val="16"/>
                <w:szCs w:val="16"/>
              </w:rPr>
              <w:t>Analgesics</w:t>
            </w:r>
          </w:p>
        </w:tc>
        <w:tc>
          <w:tcPr>
            <w:tcW w:w="1128" w:type="dxa"/>
          </w:tcPr>
          <w:p w14:paraId="273E3349" w14:textId="428C3893" w:rsidR="00316392" w:rsidRPr="00316392" w:rsidRDefault="00316392" w:rsidP="00316392">
            <w:pPr>
              <w:spacing w:line="360" w:lineRule="auto"/>
              <w:jc w:val="both"/>
              <w:rPr>
                <w:sz w:val="16"/>
                <w:szCs w:val="16"/>
              </w:rPr>
            </w:pPr>
            <w:r>
              <w:rPr>
                <w:sz w:val="16"/>
                <w:szCs w:val="16"/>
              </w:rPr>
              <w:t>10.92% (260)</w:t>
            </w:r>
          </w:p>
        </w:tc>
        <w:tc>
          <w:tcPr>
            <w:tcW w:w="2126" w:type="dxa"/>
          </w:tcPr>
          <w:p w14:paraId="24821A33" w14:textId="0C5A7233" w:rsidR="00316392" w:rsidRPr="00316392" w:rsidRDefault="00164683" w:rsidP="00316392">
            <w:pPr>
              <w:spacing w:line="360" w:lineRule="auto"/>
              <w:jc w:val="both"/>
              <w:rPr>
                <w:sz w:val="16"/>
                <w:szCs w:val="16"/>
              </w:rPr>
            </w:pPr>
            <w:r>
              <w:rPr>
                <w:sz w:val="16"/>
                <w:szCs w:val="16"/>
              </w:rPr>
              <w:t xml:space="preserve">Opioids </w:t>
            </w:r>
            <w:r w:rsidR="000C12D8">
              <w:rPr>
                <w:sz w:val="16"/>
                <w:szCs w:val="16"/>
              </w:rPr>
              <w:t xml:space="preserve">8.61% </w:t>
            </w:r>
            <w:r>
              <w:rPr>
                <w:sz w:val="16"/>
                <w:szCs w:val="16"/>
              </w:rPr>
              <w:t>(205)</w:t>
            </w:r>
          </w:p>
        </w:tc>
      </w:tr>
      <w:tr w:rsidR="00316392" w:rsidRPr="00316392" w14:paraId="1CBB1E2B" w14:textId="40B9F3AA" w:rsidTr="00316392">
        <w:tc>
          <w:tcPr>
            <w:tcW w:w="2263" w:type="dxa"/>
          </w:tcPr>
          <w:p w14:paraId="41CAF885" w14:textId="77777777" w:rsidR="00316392" w:rsidRPr="00316392" w:rsidRDefault="00316392" w:rsidP="00316392">
            <w:pPr>
              <w:spacing w:line="360" w:lineRule="auto"/>
              <w:jc w:val="both"/>
              <w:rPr>
                <w:sz w:val="16"/>
                <w:szCs w:val="16"/>
              </w:rPr>
            </w:pPr>
          </w:p>
        </w:tc>
        <w:tc>
          <w:tcPr>
            <w:tcW w:w="993" w:type="dxa"/>
          </w:tcPr>
          <w:p w14:paraId="22ACD1FF" w14:textId="77777777" w:rsidR="00316392" w:rsidRPr="00316392" w:rsidRDefault="00316392" w:rsidP="00316392">
            <w:pPr>
              <w:spacing w:line="360" w:lineRule="auto"/>
              <w:jc w:val="both"/>
              <w:rPr>
                <w:sz w:val="16"/>
                <w:szCs w:val="16"/>
              </w:rPr>
            </w:pPr>
          </w:p>
        </w:tc>
        <w:tc>
          <w:tcPr>
            <w:tcW w:w="2559" w:type="dxa"/>
          </w:tcPr>
          <w:p w14:paraId="5B00E8A5" w14:textId="77777777" w:rsidR="00316392" w:rsidRPr="00316392" w:rsidRDefault="00316392" w:rsidP="00316392">
            <w:pPr>
              <w:spacing w:line="360" w:lineRule="auto"/>
              <w:jc w:val="both"/>
              <w:rPr>
                <w:sz w:val="16"/>
                <w:szCs w:val="16"/>
              </w:rPr>
            </w:pPr>
          </w:p>
        </w:tc>
        <w:tc>
          <w:tcPr>
            <w:tcW w:w="984" w:type="dxa"/>
          </w:tcPr>
          <w:p w14:paraId="4CE9E6F2" w14:textId="77777777" w:rsidR="00316392" w:rsidRPr="00316392" w:rsidRDefault="00316392" w:rsidP="00316392">
            <w:pPr>
              <w:spacing w:line="360" w:lineRule="auto"/>
              <w:jc w:val="both"/>
              <w:rPr>
                <w:sz w:val="16"/>
                <w:szCs w:val="16"/>
              </w:rPr>
            </w:pPr>
          </w:p>
        </w:tc>
        <w:tc>
          <w:tcPr>
            <w:tcW w:w="1127" w:type="dxa"/>
          </w:tcPr>
          <w:p w14:paraId="444DA60F" w14:textId="77777777" w:rsidR="00316392" w:rsidRPr="00316392" w:rsidRDefault="00316392" w:rsidP="00316392">
            <w:pPr>
              <w:spacing w:line="360" w:lineRule="auto"/>
              <w:jc w:val="both"/>
              <w:rPr>
                <w:sz w:val="16"/>
                <w:szCs w:val="16"/>
              </w:rPr>
            </w:pPr>
          </w:p>
        </w:tc>
        <w:tc>
          <w:tcPr>
            <w:tcW w:w="1127" w:type="dxa"/>
          </w:tcPr>
          <w:p w14:paraId="71E8669C" w14:textId="77777777" w:rsidR="00316392" w:rsidRPr="00316392" w:rsidRDefault="00316392" w:rsidP="00316392">
            <w:pPr>
              <w:spacing w:line="360" w:lineRule="auto"/>
              <w:jc w:val="both"/>
              <w:rPr>
                <w:sz w:val="16"/>
                <w:szCs w:val="16"/>
              </w:rPr>
            </w:pPr>
          </w:p>
        </w:tc>
        <w:tc>
          <w:tcPr>
            <w:tcW w:w="2147" w:type="dxa"/>
            <w:vAlign w:val="center"/>
          </w:tcPr>
          <w:p w14:paraId="7BB574B7" w14:textId="557BFC9F" w:rsidR="00316392" w:rsidRPr="00316392" w:rsidRDefault="00316392" w:rsidP="00316392">
            <w:pPr>
              <w:spacing w:line="360" w:lineRule="auto"/>
              <w:jc w:val="both"/>
              <w:rPr>
                <w:sz w:val="16"/>
                <w:szCs w:val="16"/>
              </w:rPr>
            </w:pPr>
            <w:r w:rsidRPr="00316392">
              <w:rPr>
                <w:rFonts w:ascii="Calibri" w:hAnsi="Calibri" w:cs="Calibri"/>
                <w:color w:val="000000"/>
                <w:sz w:val="16"/>
                <w:szCs w:val="16"/>
              </w:rPr>
              <w:t>Drugs for obstructive airway diseases</w:t>
            </w:r>
          </w:p>
        </w:tc>
        <w:tc>
          <w:tcPr>
            <w:tcW w:w="1128" w:type="dxa"/>
          </w:tcPr>
          <w:p w14:paraId="7B4B8F08" w14:textId="76DE8B06" w:rsidR="00316392" w:rsidRPr="00316392" w:rsidRDefault="00316392" w:rsidP="00316392">
            <w:pPr>
              <w:spacing w:line="360" w:lineRule="auto"/>
              <w:jc w:val="both"/>
              <w:rPr>
                <w:sz w:val="16"/>
                <w:szCs w:val="16"/>
              </w:rPr>
            </w:pPr>
            <w:r>
              <w:rPr>
                <w:sz w:val="16"/>
                <w:szCs w:val="16"/>
              </w:rPr>
              <w:t>4.74% (113)</w:t>
            </w:r>
          </w:p>
        </w:tc>
        <w:tc>
          <w:tcPr>
            <w:tcW w:w="2126" w:type="dxa"/>
          </w:tcPr>
          <w:p w14:paraId="38C58B9D" w14:textId="7D674EE7" w:rsidR="00316392" w:rsidRPr="00316392" w:rsidRDefault="00164683" w:rsidP="00316392">
            <w:pPr>
              <w:spacing w:line="360" w:lineRule="auto"/>
              <w:jc w:val="both"/>
              <w:rPr>
                <w:sz w:val="16"/>
                <w:szCs w:val="16"/>
              </w:rPr>
            </w:pPr>
            <w:r>
              <w:rPr>
                <w:sz w:val="16"/>
                <w:szCs w:val="16"/>
              </w:rPr>
              <w:t xml:space="preserve">Adrenergic, inhalants </w:t>
            </w:r>
            <w:r w:rsidR="000C12D8">
              <w:rPr>
                <w:sz w:val="16"/>
                <w:szCs w:val="16"/>
              </w:rPr>
              <w:t xml:space="preserve">3.27% </w:t>
            </w:r>
            <w:r>
              <w:rPr>
                <w:sz w:val="16"/>
                <w:szCs w:val="16"/>
              </w:rPr>
              <w:t>(78)</w:t>
            </w:r>
          </w:p>
        </w:tc>
      </w:tr>
      <w:tr w:rsidR="00316392" w:rsidRPr="00316392" w14:paraId="2F5760C0" w14:textId="77777777" w:rsidTr="00316392">
        <w:tc>
          <w:tcPr>
            <w:tcW w:w="2263" w:type="dxa"/>
          </w:tcPr>
          <w:p w14:paraId="18AFEF47" w14:textId="1C3C588D" w:rsidR="00316392" w:rsidRPr="00316392" w:rsidRDefault="00316392" w:rsidP="00316392">
            <w:pPr>
              <w:spacing w:line="360" w:lineRule="auto"/>
              <w:jc w:val="both"/>
              <w:rPr>
                <w:sz w:val="16"/>
                <w:szCs w:val="16"/>
              </w:rPr>
            </w:pPr>
          </w:p>
        </w:tc>
        <w:tc>
          <w:tcPr>
            <w:tcW w:w="993" w:type="dxa"/>
          </w:tcPr>
          <w:p w14:paraId="307B398E" w14:textId="77777777" w:rsidR="00316392" w:rsidRPr="00316392" w:rsidRDefault="00316392" w:rsidP="00316392">
            <w:pPr>
              <w:spacing w:line="360" w:lineRule="auto"/>
              <w:jc w:val="both"/>
              <w:rPr>
                <w:sz w:val="16"/>
                <w:szCs w:val="16"/>
              </w:rPr>
            </w:pPr>
          </w:p>
        </w:tc>
        <w:tc>
          <w:tcPr>
            <w:tcW w:w="2559" w:type="dxa"/>
          </w:tcPr>
          <w:p w14:paraId="025BD05C" w14:textId="77777777" w:rsidR="00316392" w:rsidRPr="00316392" w:rsidRDefault="00316392" w:rsidP="00316392">
            <w:pPr>
              <w:spacing w:line="360" w:lineRule="auto"/>
              <w:jc w:val="both"/>
              <w:rPr>
                <w:sz w:val="16"/>
                <w:szCs w:val="16"/>
              </w:rPr>
            </w:pPr>
          </w:p>
        </w:tc>
        <w:tc>
          <w:tcPr>
            <w:tcW w:w="984" w:type="dxa"/>
          </w:tcPr>
          <w:p w14:paraId="17550FBF" w14:textId="77777777" w:rsidR="00316392" w:rsidRPr="00316392" w:rsidRDefault="00316392" w:rsidP="00316392">
            <w:pPr>
              <w:spacing w:line="360" w:lineRule="auto"/>
              <w:jc w:val="both"/>
              <w:rPr>
                <w:sz w:val="16"/>
                <w:szCs w:val="16"/>
              </w:rPr>
            </w:pPr>
          </w:p>
        </w:tc>
        <w:tc>
          <w:tcPr>
            <w:tcW w:w="1127" w:type="dxa"/>
          </w:tcPr>
          <w:p w14:paraId="3549E051" w14:textId="77777777" w:rsidR="00316392" w:rsidRPr="00316392" w:rsidRDefault="00316392" w:rsidP="00316392">
            <w:pPr>
              <w:spacing w:line="360" w:lineRule="auto"/>
              <w:jc w:val="both"/>
              <w:rPr>
                <w:sz w:val="16"/>
                <w:szCs w:val="16"/>
              </w:rPr>
            </w:pPr>
          </w:p>
        </w:tc>
        <w:tc>
          <w:tcPr>
            <w:tcW w:w="1127" w:type="dxa"/>
          </w:tcPr>
          <w:p w14:paraId="6E2F4A4E" w14:textId="77777777" w:rsidR="00316392" w:rsidRPr="00316392" w:rsidRDefault="00316392" w:rsidP="00316392">
            <w:pPr>
              <w:spacing w:line="360" w:lineRule="auto"/>
              <w:jc w:val="both"/>
              <w:rPr>
                <w:sz w:val="16"/>
                <w:szCs w:val="16"/>
              </w:rPr>
            </w:pPr>
          </w:p>
        </w:tc>
        <w:tc>
          <w:tcPr>
            <w:tcW w:w="2147" w:type="dxa"/>
            <w:vAlign w:val="center"/>
          </w:tcPr>
          <w:p w14:paraId="27428C19" w14:textId="6DF76BD9" w:rsidR="00316392" w:rsidRPr="00316392" w:rsidRDefault="00316392" w:rsidP="00316392">
            <w:pPr>
              <w:spacing w:line="360" w:lineRule="auto"/>
              <w:jc w:val="both"/>
              <w:rPr>
                <w:sz w:val="16"/>
                <w:szCs w:val="16"/>
              </w:rPr>
            </w:pPr>
            <w:r w:rsidRPr="00316392">
              <w:rPr>
                <w:rFonts w:ascii="Calibri" w:hAnsi="Calibri" w:cs="Calibri"/>
                <w:color w:val="000000"/>
                <w:sz w:val="16"/>
                <w:szCs w:val="16"/>
              </w:rPr>
              <w:t>Agents acting on the renin-angiotensin system</w:t>
            </w:r>
          </w:p>
        </w:tc>
        <w:tc>
          <w:tcPr>
            <w:tcW w:w="1128" w:type="dxa"/>
          </w:tcPr>
          <w:p w14:paraId="3F055501" w14:textId="4293012D" w:rsidR="00316392" w:rsidRPr="00316392" w:rsidRDefault="00E960E0" w:rsidP="00316392">
            <w:pPr>
              <w:spacing w:line="360" w:lineRule="auto"/>
              <w:jc w:val="both"/>
              <w:rPr>
                <w:sz w:val="16"/>
                <w:szCs w:val="16"/>
              </w:rPr>
            </w:pPr>
            <w:r>
              <w:rPr>
                <w:sz w:val="16"/>
                <w:szCs w:val="16"/>
              </w:rPr>
              <w:t>4.11% (98)</w:t>
            </w:r>
          </w:p>
        </w:tc>
        <w:tc>
          <w:tcPr>
            <w:tcW w:w="2126" w:type="dxa"/>
          </w:tcPr>
          <w:p w14:paraId="4A9ACA80" w14:textId="0724722A" w:rsidR="00316392" w:rsidRPr="00316392" w:rsidRDefault="00316392" w:rsidP="00316392">
            <w:pPr>
              <w:spacing w:line="360" w:lineRule="auto"/>
              <w:jc w:val="both"/>
              <w:rPr>
                <w:sz w:val="16"/>
                <w:szCs w:val="16"/>
              </w:rPr>
            </w:pPr>
          </w:p>
        </w:tc>
      </w:tr>
      <w:tr w:rsidR="00316392" w:rsidRPr="00316392" w14:paraId="1A77C777" w14:textId="77777777" w:rsidTr="00316392">
        <w:tc>
          <w:tcPr>
            <w:tcW w:w="2263" w:type="dxa"/>
          </w:tcPr>
          <w:p w14:paraId="35751A22" w14:textId="7173EBA8" w:rsidR="00316392" w:rsidRPr="00316392" w:rsidRDefault="00316392" w:rsidP="00316392">
            <w:pPr>
              <w:spacing w:line="360" w:lineRule="auto"/>
              <w:jc w:val="both"/>
              <w:rPr>
                <w:sz w:val="16"/>
                <w:szCs w:val="16"/>
              </w:rPr>
            </w:pPr>
          </w:p>
        </w:tc>
        <w:tc>
          <w:tcPr>
            <w:tcW w:w="993" w:type="dxa"/>
          </w:tcPr>
          <w:p w14:paraId="68785F9E" w14:textId="77777777" w:rsidR="00316392" w:rsidRPr="00316392" w:rsidRDefault="00316392" w:rsidP="00316392">
            <w:pPr>
              <w:spacing w:line="360" w:lineRule="auto"/>
              <w:jc w:val="both"/>
              <w:rPr>
                <w:sz w:val="16"/>
                <w:szCs w:val="16"/>
              </w:rPr>
            </w:pPr>
          </w:p>
        </w:tc>
        <w:tc>
          <w:tcPr>
            <w:tcW w:w="2559" w:type="dxa"/>
          </w:tcPr>
          <w:p w14:paraId="6CF9255C" w14:textId="77777777" w:rsidR="00316392" w:rsidRPr="00316392" w:rsidRDefault="00316392" w:rsidP="00316392">
            <w:pPr>
              <w:spacing w:line="360" w:lineRule="auto"/>
              <w:jc w:val="both"/>
              <w:rPr>
                <w:sz w:val="16"/>
                <w:szCs w:val="16"/>
              </w:rPr>
            </w:pPr>
          </w:p>
        </w:tc>
        <w:tc>
          <w:tcPr>
            <w:tcW w:w="984" w:type="dxa"/>
          </w:tcPr>
          <w:p w14:paraId="2D1B2904" w14:textId="77777777" w:rsidR="00316392" w:rsidRPr="00316392" w:rsidRDefault="00316392" w:rsidP="00316392">
            <w:pPr>
              <w:spacing w:line="360" w:lineRule="auto"/>
              <w:jc w:val="both"/>
              <w:rPr>
                <w:sz w:val="16"/>
                <w:szCs w:val="16"/>
              </w:rPr>
            </w:pPr>
          </w:p>
        </w:tc>
        <w:tc>
          <w:tcPr>
            <w:tcW w:w="1127" w:type="dxa"/>
          </w:tcPr>
          <w:p w14:paraId="06015C31" w14:textId="77777777" w:rsidR="00316392" w:rsidRPr="00316392" w:rsidRDefault="00316392" w:rsidP="00316392">
            <w:pPr>
              <w:spacing w:line="360" w:lineRule="auto"/>
              <w:jc w:val="both"/>
              <w:rPr>
                <w:sz w:val="16"/>
                <w:szCs w:val="16"/>
              </w:rPr>
            </w:pPr>
          </w:p>
        </w:tc>
        <w:tc>
          <w:tcPr>
            <w:tcW w:w="1127" w:type="dxa"/>
          </w:tcPr>
          <w:p w14:paraId="7D3A8031" w14:textId="77777777" w:rsidR="00316392" w:rsidRPr="00316392" w:rsidRDefault="00316392" w:rsidP="00316392">
            <w:pPr>
              <w:spacing w:line="360" w:lineRule="auto"/>
              <w:jc w:val="both"/>
              <w:rPr>
                <w:sz w:val="16"/>
                <w:szCs w:val="16"/>
              </w:rPr>
            </w:pPr>
          </w:p>
        </w:tc>
        <w:tc>
          <w:tcPr>
            <w:tcW w:w="2147" w:type="dxa"/>
            <w:vAlign w:val="center"/>
          </w:tcPr>
          <w:p w14:paraId="4854C113" w14:textId="23D665CE" w:rsidR="00316392" w:rsidRPr="00316392" w:rsidRDefault="00316392" w:rsidP="00316392">
            <w:pPr>
              <w:spacing w:line="360" w:lineRule="auto"/>
              <w:jc w:val="both"/>
              <w:rPr>
                <w:sz w:val="16"/>
                <w:szCs w:val="16"/>
              </w:rPr>
            </w:pPr>
            <w:r w:rsidRPr="00316392">
              <w:rPr>
                <w:rFonts w:ascii="Calibri" w:hAnsi="Calibri" w:cs="Calibri"/>
                <w:color w:val="000000"/>
                <w:sz w:val="16"/>
                <w:szCs w:val="16"/>
              </w:rPr>
              <w:t>Psycholeptics</w:t>
            </w:r>
          </w:p>
        </w:tc>
        <w:tc>
          <w:tcPr>
            <w:tcW w:w="1128" w:type="dxa"/>
          </w:tcPr>
          <w:p w14:paraId="767FD7AE" w14:textId="51C88D36" w:rsidR="00316392" w:rsidRPr="00316392" w:rsidRDefault="00E960E0" w:rsidP="00316392">
            <w:pPr>
              <w:spacing w:line="360" w:lineRule="auto"/>
              <w:jc w:val="both"/>
              <w:rPr>
                <w:sz w:val="16"/>
                <w:szCs w:val="16"/>
              </w:rPr>
            </w:pPr>
            <w:r>
              <w:rPr>
                <w:sz w:val="16"/>
                <w:szCs w:val="16"/>
              </w:rPr>
              <w:t>3.86% (92)</w:t>
            </w:r>
          </w:p>
        </w:tc>
        <w:tc>
          <w:tcPr>
            <w:tcW w:w="2126" w:type="dxa"/>
          </w:tcPr>
          <w:p w14:paraId="21822FFD" w14:textId="1210BEC5" w:rsidR="00316392" w:rsidRPr="00316392" w:rsidRDefault="00164683" w:rsidP="00316392">
            <w:pPr>
              <w:spacing w:line="360" w:lineRule="auto"/>
              <w:jc w:val="both"/>
              <w:rPr>
                <w:sz w:val="16"/>
                <w:szCs w:val="16"/>
              </w:rPr>
            </w:pPr>
            <w:r>
              <w:rPr>
                <w:sz w:val="16"/>
                <w:szCs w:val="16"/>
              </w:rPr>
              <w:t xml:space="preserve">Anxiolytics </w:t>
            </w:r>
            <w:r w:rsidR="000C12D8">
              <w:rPr>
                <w:sz w:val="16"/>
                <w:szCs w:val="16"/>
              </w:rPr>
              <w:t xml:space="preserve">2.56% </w:t>
            </w:r>
            <w:r>
              <w:rPr>
                <w:sz w:val="16"/>
                <w:szCs w:val="16"/>
              </w:rPr>
              <w:t>(61)</w:t>
            </w:r>
          </w:p>
        </w:tc>
      </w:tr>
      <w:tr w:rsidR="00316392" w:rsidRPr="00316392" w14:paraId="4E10C29A" w14:textId="77777777" w:rsidTr="00316392">
        <w:tc>
          <w:tcPr>
            <w:tcW w:w="2263" w:type="dxa"/>
          </w:tcPr>
          <w:p w14:paraId="60D7DA29" w14:textId="5DADE567" w:rsidR="00316392" w:rsidRPr="00316392" w:rsidRDefault="00316392" w:rsidP="00316392">
            <w:pPr>
              <w:spacing w:line="360" w:lineRule="auto"/>
              <w:jc w:val="both"/>
              <w:rPr>
                <w:sz w:val="16"/>
                <w:szCs w:val="16"/>
              </w:rPr>
            </w:pPr>
          </w:p>
        </w:tc>
        <w:tc>
          <w:tcPr>
            <w:tcW w:w="993" w:type="dxa"/>
          </w:tcPr>
          <w:p w14:paraId="53D94A0F" w14:textId="77777777" w:rsidR="00316392" w:rsidRPr="00316392" w:rsidRDefault="00316392" w:rsidP="00316392">
            <w:pPr>
              <w:spacing w:line="360" w:lineRule="auto"/>
              <w:jc w:val="both"/>
              <w:rPr>
                <w:sz w:val="16"/>
                <w:szCs w:val="16"/>
              </w:rPr>
            </w:pPr>
          </w:p>
        </w:tc>
        <w:tc>
          <w:tcPr>
            <w:tcW w:w="2559" w:type="dxa"/>
          </w:tcPr>
          <w:p w14:paraId="51FB0241" w14:textId="77777777" w:rsidR="00316392" w:rsidRPr="00316392" w:rsidRDefault="00316392" w:rsidP="00316392">
            <w:pPr>
              <w:spacing w:line="360" w:lineRule="auto"/>
              <w:jc w:val="both"/>
              <w:rPr>
                <w:sz w:val="16"/>
                <w:szCs w:val="16"/>
              </w:rPr>
            </w:pPr>
          </w:p>
        </w:tc>
        <w:tc>
          <w:tcPr>
            <w:tcW w:w="984" w:type="dxa"/>
          </w:tcPr>
          <w:p w14:paraId="25926B87" w14:textId="77777777" w:rsidR="00316392" w:rsidRPr="00316392" w:rsidRDefault="00316392" w:rsidP="00316392">
            <w:pPr>
              <w:spacing w:line="360" w:lineRule="auto"/>
              <w:jc w:val="both"/>
              <w:rPr>
                <w:sz w:val="16"/>
                <w:szCs w:val="16"/>
              </w:rPr>
            </w:pPr>
          </w:p>
        </w:tc>
        <w:tc>
          <w:tcPr>
            <w:tcW w:w="1127" w:type="dxa"/>
          </w:tcPr>
          <w:p w14:paraId="7D33F3CE" w14:textId="77777777" w:rsidR="00316392" w:rsidRPr="00316392" w:rsidRDefault="00316392" w:rsidP="00316392">
            <w:pPr>
              <w:spacing w:line="360" w:lineRule="auto"/>
              <w:jc w:val="both"/>
              <w:rPr>
                <w:sz w:val="16"/>
                <w:szCs w:val="16"/>
              </w:rPr>
            </w:pPr>
          </w:p>
        </w:tc>
        <w:tc>
          <w:tcPr>
            <w:tcW w:w="1127" w:type="dxa"/>
          </w:tcPr>
          <w:p w14:paraId="4D1D16E7" w14:textId="77777777" w:rsidR="00316392" w:rsidRPr="00316392" w:rsidRDefault="00316392" w:rsidP="00316392">
            <w:pPr>
              <w:spacing w:line="360" w:lineRule="auto"/>
              <w:jc w:val="both"/>
              <w:rPr>
                <w:sz w:val="16"/>
                <w:szCs w:val="16"/>
              </w:rPr>
            </w:pPr>
          </w:p>
        </w:tc>
        <w:tc>
          <w:tcPr>
            <w:tcW w:w="2147" w:type="dxa"/>
            <w:vAlign w:val="center"/>
          </w:tcPr>
          <w:p w14:paraId="70047980" w14:textId="06BF4352" w:rsidR="00316392" w:rsidRPr="00316392" w:rsidRDefault="00316392" w:rsidP="00316392">
            <w:pPr>
              <w:spacing w:line="360" w:lineRule="auto"/>
              <w:jc w:val="both"/>
              <w:rPr>
                <w:sz w:val="16"/>
                <w:szCs w:val="16"/>
              </w:rPr>
            </w:pPr>
            <w:r w:rsidRPr="00316392">
              <w:rPr>
                <w:rFonts w:ascii="Calibri" w:hAnsi="Calibri" w:cs="Calibri"/>
                <w:color w:val="000000"/>
                <w:sz w:val="16"/>
                <w:szCs w:val="16"/>
              </w:rPr>
              <w:t>Corticosteroids for systemic use</w:t>
            </w:r>
          </w:p>
        </w:tc>
        <w:tc>
          <w:tcPr>
            <w:tcW w:w="1128" w:type="dxa"/>
          </w:tcPr>
          <w:p w14:paraId="76B61EAE" w14:textId="5C3379E1" w:rsidR="00316392" w:rsidRPr="00316392" w:rsidRDefault="00E960E0" w:rsidP="00316392">
            <w:pPr>
              <w:spacing w:line="360" w:lineRule="auto"/>
              <w:jc w:val="both"/>
              <w:rPr>
                <w:sz w:val="16"/>
                <w:szCs w:val="16"/>
              </w:rPr>
            </w:pPr>
            <w:r>
              <w:rPr>
                <w:sz w:val="16"/>
                <w:szCs w:val="16"/>
              </w:rPr>
              <w:t>3.23% (77)</w:t>
            </w:r>
          </w:p>
        </w:tc>
        <w:tc>
          <w:tcPr>
            <w:tcW w:w="2126" w:type="dxa"/>
          </w:tcPr>
          <w:p w14:paraId="43C3EABA" w14:textId="6DD593F3" w:rsidR="00316392" w:rsidRPr="00316392" w:rsidRDefault="00164683" w:rsidP="00316392">
            <w:pPr>
              <w:spacing w:line="360" w:lineRule="auto"/>
              <w:jc w:val="both"/>
              <w:rPr>
                <w:sz w:val="16"/>
                <w:szCs w:val="16"/>
              </w:rPr>
            </w:pPr>
            <w:r>
              <w:rPr>
                <w:sz w:val="16"/>
                <w:szCs w:val="16"/>
              </w:rPr>
              <w:t xml:space="preserve">Glucocorticoids </w:t>
            </w:r>
            <w:r w:rsidR="000C12D8">
              <w:rPr>
                <w:sz w:val="16"/>
                <w:szCs w:val="16"/>
              </w:rPr>
              <w:t xml:space="preserve">2.52% </w:t>
            </w:r>
            <w:r>
              <w:rPr>
                <w:sz w:val="16"/>
                <w:szCs w:val="16"/>
              </w:rPr>
              <w:t>(60)</w:t>
            </w:r>
          </w:p>
        </w:tc>
      </w:tr>
      <w:tr w:rsidR="00316392" w:rsidRPr="00316392" w14:paraId="6C64D104" w14:textId="77777777" w:rsidTr="00316392">
        <w:tc>
          <w:tcPr>
            <w:tcW w:w="2263" w:type="dxa"/>
          </w:tcPr>
          <w:p w14:paraId="2708FBE6" w14:textId="5245D114" w:rsidR="00316392" w:rsidRPr="00316392" w:rsidRDefault="00316392" w:rsidP="00316392">
            <w:pPr>
              <w:spacing w:line="360" w:lineRule="auto"/>
              <w:jc w:val="both"/>
              <w:rPr>
                <w:sz w:val="16"/>
                <w:szCs w:val="16"/>
              </w:rPr>
            </w:pPr>
          </w:p>
        </w:tc>
        <w:tc>
          <w:tcPr>
            <w:tcW w:w="993" w:type="dxa"/>
          </w:tcPr>
          <w:p w14:paraId="1EB4607A" w14:textId="77777777" w:rsidR="00316392" w:rsidRPr="00316392" w:rsidRDefault="00316392" w:rsidP="00316392">
            <w:pPr>
              <w:spacing w:line="360" w:lineRule="auto"/>
              <w:jc w:val="both"/>
              <w:rPr>
                <w:sz w:val="16"/>
                <w:szCs w:val="16"/>
              </w:rPr>
            </w:pPr>
          </w:p>
        </w:tc>
        <w:tc>
          <w:tcPr>
            <w:tcW w:w="2559" w:type="dxa"/>
          </w:tcPr>
          <w:p w14:paraId="08E5EB76" w14:textId="77777777" w:rsidR="00316392" w:rsidRPr="00316392" w:rsidRDefault="00316392" w:rsidP="00316392">
            <w:pPr>
              <w:spacing w:line="360" w:lineRule="auto"/>
              <w:jc w:val="both"/>
              <w:rPr>
                <w:sz w:val="16"/>
                <w:szCs w:val="16"/>
              </w:rPr>
            </w:pPr>
          </w:p>
        </w:tc>
        <w:tc>
          <w:tcPr>
            <w:tcW w:w="984" w:type="dxa"/>
          </w:tcPr>
          <w:p w14:paraId="7786B7C0" w14:textId="77777777" w:rsidR="00316392" w:rsidRPr="00316392" w:rsidRDefault="00316392" w:rsidP="00316392">
            <w:pPr>
              <w:spacing w:line="360" w:lineRule="auto"/>
              <w:jc w:val="both"/>
              <w:rPr>
                <w:sz w:val="16"/>
                <w:szCs w:val="16"/>
              </w:rPr>
            </w:pPr>
          </w:p>
        </w:tc>
        <w:tc>
          <w:tcPr>
            <w:tcW w:w="1127" w:type="dxa"/>
          </w:tcPr>
          <w:p w14:paraId="06442F33" w14:textId="77777777" w:rsidR="00316392" w:rsidRPr="00316392" w:rsidRDefault="00316392" w:rsidP="00316392">
            <w:pPr>
              <w:spacing w:line="360" w:lineRule="auto"/>
              <w:jc w:val="both"/>
              <w:rPr>
                <w:sz w:val="16"/>
                <w:szCs w:val="16"/>
              </w:rPr>
            </w:pPr>
          </w:p>
        </w:tc>
        <w:tc>
          <w:tcPr>
            <w:tcW w:w="1127" w:type="dxa"/>
          </w:tcPr>
          <w:p w14:paraId="00D3611E" w14:textId="77777777" w:rsidR="00316392" w:rsidRPr="00316392" w:rsidRDefault="00316392" w:rsidP="00316392">
            <w:pPr>
              <w:spacing w:line="360" w:lineRule="auto"/>
              <w:jc w:val="both"/>
              <w:rPr>
                <w:sz w:val="16"/>
                <w:szCs w:val="16"/>
              </w:rPr>
            </w:pPr>
          </w:p>
        </w:tc>
        <w:tc>
          <w:tcPr>
            <w:tcW w:w="2147" w:type="dxa"/>
            <w:vAlign w:val="center"/>
          </w:tcPr>
          <w:p w14:paraId="4841681B" w14:textId="53077230" w:rsidR="00316392" w:rsidRPr="00316392" w:rsidRDefault="00316392" w:rsidP="00316392">
            <w:pPr>
              <w:spacing w:line="360" w:lineRule="auto"/>
              <w:jc w:val="both"/>
              <w:rPr>
                <w:sz w:val="16"/>
                <w:szCs w:val="16"/>
              </w:rPr>
            </w:pPr>
            <w:r w:rsidRPr="00316392">
              <w:rPr>
                <w:rFonts w:ascii="Calibri" w:hAnsi="Calibri" w:cs="Calibri"/>
                <w:color w:val="000000"/>
                <w:sz w:val="16"/>
                <w:szCs w:val="16"/>
              </w:rPr>
              <w:t>Cardiac therapy</w:t>
            </w:r>
          </w:p>
        </w:tc>
        <w:tc>
          <w:tcPr>
            <w:tcW w:w="1128" w:type="dxa"/>
          </w:tcPr>
          <w:p w14:paraId="1043B419" w14:textId="466B1E83" w:rsidR="00316392" w:rsidRPr="00316392" w:rsidRDefault="00E960E0" w:rsidP="00316392">
            <w:pPr>
              <w:spacing w:line="360" w:lineRule="auto"/>
              <w:jc w:val="both"/>
              <w:rPr>
                <w:sz w:val="16"/>
                <w:szCs w:val="16"/>
              </w:rPr>
            </w:pPr>
            <w:r>
              <w:rPr>
                <w:sz w:val="16"/>
                <w:szCs w:val="16"/>
              </w:rPr>
              <w:t>2.98% (71)</w:t>
            </w:r>
          </w:p>
        </w:tc>
        <w:tc>
          <w:tcPr>
            <w:tcW w:w="2126" w:type="dxa"/>
          </w:tcPr>
          <w:p w14:paraId="1060CB52" w14:textId="070269C5" w:rsidR="00316392" w:rsidRPr="00316392" w:rsidRDefault="00164683" w:rsidP="00316392">
            <w:pPr>
              <w:spacing w:line="360" w:lineRule="auto"/>
              <w:jc w:val="both"/>
              <w:rPr>
                <w:sz w:val="16"/>
                <w:szCs w:val="16"/>
              </w:rPr>
            </w:pPr>
            <w:r>
              <w:rPr>
                <w:sz w:val="16"/>
                <w:szCs w:val="16"/>
              </w:rPr>
              <w:t xml:space="preserve">Cardiac glycosides </w:t>
            </w:r>
            <w:r w:rsidR="000C12D8">
              <w:rPr>
                <w:sz w:val="16"/>
                <w:szCs w:val="16"/>
              </w:rPr>
              <w:t xml:space="preserve">1.84% </w:t>
            </w:r>
            <w:r>
              <w:rPr>
                <w:sz w:val="16"/>
                <w:szCs w:val="16"/>
              </w:rPr>
              <w:t>(44)</w:t>
            </w:r>
          </w:p>
        </w:tc>
      </w:tr>
      <w:tr w:rsidR="00316392" w:rsidRPr="00316392" w14:paraId="5870B650" w14:textId="77777777" w:rsidTr="00316392">
        <w:tc>
          <w:tcPr>
            <w:tcW w:w="2263" w:type="dxa"/>
          </w:tcPr>
          <w:p w14:paraId="3C948B6A" w14:textId="543ECBDF" w:rsidR="00316392" w:rsidRPr="00316392" w:rsidRDefault="00316392" w:rsidP="00316392">
            <w:pPr>
              <w:spacing w:line="360" w:lineRule="auto"/>
              <w:jc w:val="both"/>
              <w:rPr>
                <w:sz w:val="16"/>
                <w:szCs w:val="16"/>
              </w:rPr>
            </w:pPr>
          </w:p>
        </w:tc>
        <w:tc>
          <w:tcPr>
            <w:tcW w:w="993" w:type="dxa"/>
          </w:tcPr>
          <w:p w14:paraId="29B5374D" w14:textId="77777777" w:rsidR="00316392" w:rsidRPr="00316392" w:rsidRDefault="00316392" w:rsidP="00316392">
            <w:pPr>
              <w:spacing w:line="360" w:lineRule="auto"/>
              <w:jc w:val="both"/>
              <w:rPr>
                <w:sz w:val="16"/>
                <w:szCs w:val="16"/>
              </w:rPr>
            </w:pPr>
          </w:p>
        </w:tc>
        <w:tc>
          <w:tcPr>
            <w:tcW w:w="2559" w:type="dxa"/>
          </w:tcPr>
          <w:p w14:paraId="28175DFD" w14:textId="77777777" w:rsidR="00316392" w:rsidRPr="00316392" w:rsidRDefault="00316392" w:rsidP="00316392">
            <w:pPr>
              <w:spacing w:line="360" w:lineRule="auto"/>
              <w:jc w:val="both"/>
              <w:rPr>
                <w:sz w:val="16"/>
                <w:szCs w:val="16"/>
              </w:rPr>
            </w:pPr>
          </w:p>
        </w:tc>
        <w:tc>
          <w:tcPr>
            <w:tcW w:w="984" w:type="dxa"/>
          </w:tcPr>
          <w:p w14:paraId="237D84A9" w14:textId="77777777" w:rsidR="00316392" w:rsidRPr="00316392" w:rsidRDefault="00316392" w:rsidP="00316392">
            <w:pPr>
              <w:spacing w:line="360" w:lineRule="auto"/>
              <w:jc w:val="both"/>
              <w:rPr>
                <w:sz w:val="16"/>
                <w:szCs w:val="16"/>
              </w:rPr>
            </w:pPr>
          </w:p>
        </w:tc>
        <w:tc>
          <w:tcPr>
            <w:tcW w:w="1127" w:type="dxa"/>
          </w:tcPr>
          <w:p w14:paraId="21570164" w14:textId="77777777" w:rsidR="00316392" w:rsidRPr="00316392" w:rsidRDefault="00316392" w:rsidP="00316392">
            <w:pPr>
              <w:spacing w:line="360" w:lineRule="auto"/>
              <w:jc w:val="both"/>
              <w:rPr>
                <w:sz w:val="16"/>
                <w:szCs w:val="16"/>
              </w:rPr>
            </w:pPr>
          </w:p>
        </w:tc>
        <w:tc>
          <w:tcPr>
            <w:tcW w:w="1127" w:type="dxa"/>
          </w:tcPr>
          <w:p w14:paraId="21DD236F" w14:textId="77777777" w:rsidR="00316392" w:rsidRPr="00316392" w:rsidRDefault="00316392" w:rsidP="00316392">
            <w:pPr>
              <w:spacing w:line="360" w:lineRule="auto"/>
              <w:jc w:val="both"/>
              <w:rPr>
                <w:sz w:val="16"/>
                <w:szCs w:val="16"/>
              </w:rPr>
            </w:pPr>
          </w:p>
        </w:tc>
        <w:tc>
          <w:tcPr>
            <w:tcW w:w="2147" w:type="dxa"/>
            <w:vAlign w:val="center"/>
          </w:tcPr>
          <w:p w14:paraId="3BA52574" w14:textId="704525F9" w:rsidR="00316392" w:rsidRPr="00316392" w:rsidRDefault="00316392" w:rsidP="00316392">
            <w:pPr>
              <w:spacing w:line="360" w:lineRule="auto"/>
              <w:jc w:val="both"/>
              <w:rPr>
                <w:sz w:val="16"/>
                <w:szCs w:val="16"/>
              </w:rPr>
            </w:pPr>
            <w:r w:rsidRPr="00316392">
              <w:rPr>
                <w:rFonts w:ascii="Calibri" w:hAnsi="Calibri" w:cs="Calibri"/>
                <w:color w:val="000000"/>
                <w:sz w:val="16"/>
                <w:szCs w:val="16"/>
              </w:rPr>
              <w:t xml:space="preserve">Drugs used in diabetes </w:t>
            </w:r>
          </w:p>
        </w:tc>
        <w:tc>
          <w:tcPr>
            <w:tcW w:w="1128" w:type="dxa"/>
          </w:tcPr>
          <w:p w14:paraId="499A9B99" w14:textId="1A23B91B" w:rsidR="00316392" w:rsidRPr="00316392" w:rsidRDefault="00E960E0" w:rsidP="00316392">
            <w:pPr>
              <w:spacing w:line="360" w:lineRule="auto"/>
              <w:jc w:val="both"/>
              <w:rPr>
                <w:sz w:val="16"/>
                <w:szCs w:val="16"/>
              </w:rPr>
            </w:pPr>
            <w:r>
              <w:rPr>
                <w:sz w:val="16"/>
                <w:szCs w:val="16"/>
              </w:rPr>
              <w:t>2.56% (61)</w:t>
            </w:r>
          </w:p>
        </w:tc>
        <w:tc>
          <w:tcPr>
            <w:tcW w:w="2126" w:type="dxa"/>
          </w:tcPr>
          <w:p w14:paraId="4B5008DC" w14:textId="7CA6870A" w:rsidR="00316392" w:rsidRPr="00316392" w:rsidRDefault="00BB591C" w:rsidP="00316392">
            <w:pPr>
              <w:spacing w:line="360" w:lineRule="auto"/>
              <w:jc w:val="both"/>
              <w:rPr>
                <w:sz w:val="16"/>
                <w:szCs w:val="16"/>
              </w:rPr>
            </w:pPr>
            <w:r>
              <w:rPr>
                <w:sz w:val="16"/>
                <w:szCs w:val="16"/>
              </w:rPr>
              <w:t xml:space="preserve">Insulins and analogies </w:t>
            </w:r>
            <w:r w:rsidR="000C12D8">
              <w:rPr>
                <w:sz w:val="16"/>
                <w:szCs w:val="16"/>
              </w:rPr>
              <w:t xml:space="preserve">1.64% </w:t>
            </w:r>
            <w:r>
              <w:rPr>
                <w:sz w:val="16"/>
                <w:szCs w:val="16"/>
              </w:rPr>
              <w:t>(39)</w:t>
            </w:r>
          </w:p>
        </w:tc>
      </w:tr>
      <w:tr w:rsidR="00316392" w:rsidRPr="00316392" w14:paraId="384CF7D5" w14:textId="77777777" w:rsidTr="00316392">
        <w:tc>
          <w:tcPr>
            <w:tcW w:w="2263" w:type="dxa"/>
          </w:tcPr>
          <w:p w14:paraId="68C37D59" w14:textId="3613265B" w:rsidR="00316392" w:rsidRPr="00316392" w:rsidRDefault="00316392" w:rsidP="00316392">
            <w:pPr>
              <w:spacing w:line="360" w:lineRule="auto"/>
              <w:jc w:val="both"/>
              <w:rPr>
                <w:sz w:val="16"/>
                <w:szCs w:val="16"/>
              </w:rPr>
            </w:pPr>
          </w:p>
        </w:tc>
        <w:tc>
          <w:tcPr>
            <w:tcW w:w="993" w:type="dxa"/>
          </w:tcPr>
          <w:p w14:paraId="2EACBDF6" w14:textId="77777777" w:rsidR="00316392" w:rsidRPr="00316392" w:rsidRDefault="00316392" w:rsidP="00316392">
            <w:pPr>
              <w:spacing w:line="360" w:lineRule="auto"/>
              <w:jc w:val="both"/>
              <w:rPr>
                <w:sz w:val="16"/>
                <w:szCs w:val="16"/>
              </w:rPr>
            </w:pPr>
          </w:p>
        </w:tc>
        <w:tc>
          <w:tcPr>
            <w:tcW w:w="2559" w:type="dxa"/>
          </w:tcPr>
          <w:p w14:paraId="34005F29" w14:textId="77777777" w:rsidR="00316392" w:rsidRPr="00316392" w:rsidRDefault="00316392" w:rsidP="00316392">
            <w:pPr>
              <w:spacing w:line="360" w:lineRule="auto"/>
              <w:jc w:val="both"/>
              <w:rPr>
                <w:sz w:val="16"/>
                <w:szCs w:val="16"/>
              </w:rPr>
            </w:pPr>
          </w:p>
        </w:tc>
        <w:tc>
          <w:tcPr>
            <w:tcW w:w="984" w:type="dxa"/>
          </w:tcPr>
          <w:p w14:paraId="0D4F64BD" w14:textId="77777777" w:rsidR="00316392" w:rsidRPr="00316392" w:rsidRDefault="00316392" w:rsidP="00316392">
            <w:pPr>
              <w:spacing w:line="360" w:lineRule="auto"/>
              <w:jc w:val="both"/>
              <w:rPr>
                <w:sz w:val="16"/>
                <w:szCs w:val="16"/>
              </w:rPr>
            </w:pPr>
          </w:p>
        </w:tc>
        <w:tc>
          <w:tcPr>
            <w:tcW w:w="1127" w:type="dxa"/>
          </w:tcPr>
          <w:p w14:paraId="39D86D05" w14:textId="77777777" w:rsidR="00316392" w:rsidRPr="00316392" w:rsidRDefault="00316392" w:rsidP="00316392">
            <w:pPr>
              <w:spacing w:line="360" w:lineRule="auto"/>
              <w:jc w:val="both"/>
              <w:rPr>
                <w:sz w:val="16"/>
                <w:szCs w:val="16"/>
              </w:rPr>
            </w:pPr>
          </w:p>
        </w:tc>
        <w:tc>
          <w:tcPr>
            <w:tcW w:w="1127" w:type="dxa"/>
          </w:tcPr>
          <w:p w14:paraId="3EDB21CC" w14:textId="77777777" w:rsidR="00316392" w:rsidRPr="00316392" w:rsidRDefault="00316392" w:rsidP="00316392">
            <w:pPr>
              <w:spacing w:line="360" w:lineRule="auto"/>
              <w:jc w:val="both"/>
              <w:rPr>
                <w:sz w:val="16"/>
                <w:szCs w:val="16"/>
              </w:rPr>
            </w:pPr>
          </w:p>
        </w:tc>
        <w:tc>
          <w:tcPr>
            <w:tcW w:w="2147" w:type="dxa"/>
            <w:vAlign w:val="center"/>
          </w:tcPr>
          <w:p w14:paraId="77AC65CC" w14:textId="3CDB4FF2" w:rsidR="00316392" w:rsidRPr="00316392" w:rsidRDefault="00316392" w:rsidP="00316392">
            <w:pPr>
              <w:spacing w:line="360" w:lineRule="auto"/>
              <w:jc w:val="both"/>
              <w:rPr>
                <w:sz w:val="16"/>
                <w:szCs w:val="16"/>
              </w:rPr>
            </w:pPr>
            <w:r w:rsidRPr="00316392">
              <w:rPr>
                <w:rFonts w:ascii="Calibri" w:hAnsi="Calibri" w:cs="Calibri"/>
                <w:color w:val="000000"/>
                <w:sz w:val="16"/>
                <w:szCs w:val="16"/>
              </w:rPr>
              <w:t>Antimycobacterials</w:t>
            </w:r>
          </w:p>
        </w:tc>
        <w:tc>
          <w:tcPr>
            <w:tcW w:w="1128" w:type="dxa"/>
          </w:tcPr>
          <w:p w14:paraId="2BCA4962" w14:textId="47EA2969" w:rsidR="00316392" w:rsidRPr="00316392" w:rsidRDefault="00E960E0" w:rsidP="00316392">
            <w:pPr>
              <w:spacing w:line="360" w:lineRule="auto"/>
              <w:jc w:val="both"/>
              <w:rPr>
                <w:sz w:val="16"/>
                <w:szCs w:val="16"/>
              </w:rPr>
            </w:pPr>
            <w:r>
              <w:rPr>
                <w:sz w:val="16"/>
                <w:szCs w:val="16"/>
              </w:rPr>
              <w:t>2.27% (54)</w:t>
            </w:r>
          </w:p>
        </w:tc>
        <w:tc>
          <w:tcPr>
            <w:tcW w:w="2126" w:type="dxa"/>
          </w:tcPr>
          <w:p w14:paraId="0A6DFB43" w14:textId="22230F6A" w:rsidR="00316392" w:rsidRPr="00316392" w:rsidRDefault="00316392" w:rsidP="00316392">
            <w:pPr>
              <w:spacing w:line="360" w:lineRule="auto"/>
              <w:jc w:val="both"/>
              <w:rPr>
                <w:sz w:val="16"/>
                <w:szCs w:val="16"/>
              </w:rPr>
            </w:pPr>
          </w:p>
        </w:tc>
      </w:tr>
      <w:tr w:rsidR="00316392" w:rsidRPr="00316392" w14:paraId="6640E0B8" w14:textId="77777777" w:rsidTr="00316392">
        <w:tc>
          <w:tcPr>
            <w:tcW w:w="2263" w:type="dxa"/>
          </w:tcPr>
          <w:p w14:paraId="69C71A46" w14:textId="30E6D26B" w:rsidR="00316392" w:rsidRPr="00316392" w:rsidRDefault="00316392" w:rsidP="00316392">
            <w:pPr>
              <w:spacing w:line="360" w:lineRule="auto"/>
              <w:jc w:val="both"/>
              <w:rPr>
                <w:sz w:val="16"/>
                <w:szCs w:val="16"/>
              </w:rPr>
            </w:pPr>
          </w:p>
        </w:tc>
        <w:tc>
          <w:tcPr>
            <w:tcW w:w="993" w:type="dxa"/>
          </w:tcPr>
          <w:p w14:paraId="1647EF1C" w14:textId="77777777" w:rsidR="00316392" w:rsidRPr="00316392" w:rsidRDefault="00316392" w:rsidP="00316392">
            <w:pPr>
              <w:spacing w:line="360" w:lineRule="auto"/>
              <w:jc w:val="both"/>
              <w:rPr>
                <w:sz w:val="16"/>
                <w:szCs w:val="16"/>
              </w:rPr>
            </w:pPr>
          </w:p>
        </w:tc>
        <w:tc>
          <w:tcPr>
            <w:tcW w:w="2559" w:type="dxa"/>
          </w:tcPr>
          <w:p w14:paraId="60ACCC6D" w14:textId="77777777" w:rsidR="00316392" w:rsidRPr="00316392" w:rsidRDefault="00316392" w:rsidP="00316392">
            <w:pPr>
              <w:spacing w:line="360" w:lineRule="auto"/>
              <w:jc w:val="both"/>
              <w:rPr>
                <w:sz w:val="16"/>
                <w:szCs w:val="16"/>
              </w:rPr>
            </w:pPr>
          </w:p>
        </w:tc>
        <w:tc>
          <w:tcPr>
            <w:tcW w:w="984" w:type="dxa"/>
          </w:tcPr>
          <w:p w14:paraId="602B67D5" w14:textId="77777777" w:rsidR="00316392" w:rsidRPr="00316392" w:rsidRDefault="00316392" w:rsidP="00316392">
            <w:pPr>
              <w:spacing w:line="360" w:lineRule="auto"/>
              <w:jc w:val="both"/>
              <w:rPr>
                <w:sz w:val="16"/>
                <w:szCs w:val="16"/>
              </w:rPr>
            </w:pPr>
          </w:p>
        </w:tc>
        <w:tc>
          <w:tcPr>
            <w:tcW w:w="1127" w:type="dxa"/>
          </w:tcPr>
          <w:p w14:paraId="7C3B4857" w14:textId="77777777" w:rsidR="00316392" w:rsidRPr="00316392" w:rsidRDefault="00316392" w:rsidP="00316392">
            <w:pPr>
              <w:spacing w:line="360" w:lineRule="auto"/>
              <w:jc w:val="both"/>
              <w:rPr>
                <w:sz w:val="16"/>
                <w:szCs w:val="16"/>
              </w:rPr>
            </w:pPr>
          </w:p>
        </w:tc>
        <w:tc>
          <w:tcPr>
            <w:tcW w:w="1127" w:type="dxa"/>
          </w:tcPr>
          <w:p w14:paraId="09533C60" w14:textId="77777777" w:rsidR="00316392" w:rsidRPr="00316392" w:rsidRDefault="00316392" w:rsidP="00316392">
            <w:pPr>
              <w:spacing w:line="360" w:lineRule="auto"/>
              <w:jc w:val="both"/>
              <w:rPr>
                <w:sz w:val="16"/>
                <w:szCs w:val="16"/>
              </w:rPr>
            </w:pPr>
          </w:p>
        </w:tc>
        <w:tc>
          <w:tcPr>
            <w:tcW w:w="2147" w:type="dxa"/>
            <w:vAlign w:val="center"/>
          </w:tcPr>
          <w:p w14:paraId="593FF1A3" w14:textId="6F3B3C60" w:rsidR="00316392" w:rsidRPr="00316392" w:rsidRDefault="00316392" w:rsidP="00316392">
            <w:pPr>
              <w:spacing w:line="360" w:lineRule="auto"/>
              <w:jc w:val="both"/>
              <w:rPr>
                <w:sz w:val="16"/>
                <w:szCs w:val="16"/>
              </w:rPr>
            </w:pPr>
            <w:r w:rsidRPr="00316392">
              <w:rPr>
                <w:rFonts w:ascii="Calibri" w:hAnsi="Calibri" w:cs="Calibri"/>
                <w:color w:val="000000"/>
                <w:sz w:val="16"/>
                <w:szCs w:val="16"/>
              </w:rPr>
              <w:t>Antihypertensives</w:t>
            </w:r>
          </w:p>
        </w:tc>
        <w:tc>
          <w:tcPr>
            <w:tcW w:w="1128" w:type="dxa"/>
          </w:tcPr>
          <w:p w14:paraId="0525CDFD" w14:textId="55EB5A3E" w:rsidR="00316392" w:rsidRPr="00316392" w:rsidRDefault="00E960E0" w:rsidP="00316392">
            <w:pPr>
              <w:spacing w:line="360" w:lineRule="auto"/>
              <w:jc w:val="both"/>
              <w:rPr>
                <w:sz w:val="16"/>
                <w:szCs w:val="16"/>
              </w:rPr>
            </w:pPr>
            <w:r>
              <w:rPr>
                <w:sz w:val="16"/>
                <w:szCs w:val="16"/>
              </w:rPr>
              <w:t>2.18% (52)</w:t>
            </w:r>
          </w:p>
        </w:tc>
        <w:tc>
          <w:tcPr>
            <w:tcW w:w="2126" w:type="dxa"/>
          </w:tcPr>
          <w:p w14:paraId="165C193C" w14:textId="4F134264" w:rsidR="00316392" w:rsidRPr="00316392" w:rsidRDefault="00316392" w:rsidP="00316392">
            <w:pPr>
              <w:spacing w:line="360" w:lineRule="auto"/>
              <w:jc w:val="both"/>
              <w:rPr>
                <w:sz w:val="16"/>
                <w:szCs w:val="16"/>
              </w:rPr>
            </w:pPr>
          </w:p>
        </w:tc>
      </w:tr>
      <w:tr w:rsidR="002C10AB" w:rsidRPr="00316392" w14:paraId="70FEBFBE" w14:textId="77777777" w:rsidTr="00316392">
        <w:tc>
          <w:tcPr>
            <w:tcW w:w="2263" w:type="dxa"/>
          </w:tcPr>
          <w:p w14:paraId="287FD8B8" w14:textId="4DAAB7F9" w:rsidR="002C10AB" w:rsidRPr="00316392" w:rsidRDefault="002C10AB" w:rsidP="002C10AB">
            <w:pPr>
              <w:spacing w:line="360" w:lineRule="auto"/>
              <w:jc w:val="both"/>
              <w:rPr>
                <w:sz w:val="16"/>
                <w:szCs w:val="16"/>
              </w:rPr>
            </w:pPr>
          </w:p>
        </w:tc>
        <w:tc>
          <w:tcPr>
            <w:tcW w:w="993" w:type="dxa"/>
          </w:tcPr>
          <w:p w14:paraId="4BA9E5CE" w14:textId="77777777" w:rsidR="002C10AB" w:rsidRPr="00316392" w:rsidRDefault="002C10AB" w:rsidP="002C10AB">
            <w:pPr>
              <w:spacing w:line="360" w:lineRule="auto"/>
              <w:jc w:val="both"/>
              <w:rPr>
                <w:sz w:val="16"/>
                <w:szCs w:val="16"/>
              </w:rPr>
            </w:pPr>
          </w:p>
        </w:tc>
        <w:tc>
          <w:tcPr>
            <w:tcW w:w="2559" w:type="dxa"/>
          </w:tcPr>
          <w:p w14:paraId="4FE1FD4E" w14:textId="77777777" w:rsidR="002C10AB" w:rsidRPr="00316392" w:rsidRDefault="002C10AB" w:rsidP="002C10AB">
            <w:pPr>
              <w:spacing w:line="360" w:lineRule="auto"/>
              <w:jc w:val="both"/>
              <w:rPr>
                <w:sz w:val="16"/>
                <w:szCs w:val="16"/>
              </w:rPr>
            </w:pPr>
          </w:p>
        </w:tc>
        <w:tc>
          <w:tcPr>
            <w:tcW w:w="984" w:type="dxa"/>
          </w:tcPr>
          <w:p w14:paraId="2BBF81A3" w14:textId="77777777" w:rsidR="002C10AB" w:rsidRPr="00316392" w:rsidRDefault="002C10AB" w:rsidP="002C10AB">
            <w:pPr>
              <w:spacing w:line="360" w:lineRule="auto"/>
              <w:jc w:val="both"/>
              <w:rPr>
                <w:sz w:val="16"/>
                <w:szCs w:val="16"/>
              </w:rPr>
            </w:pPr>
          </w:p>
        </w:tc>
        <w:tc>
          <w:tcPr>
            <w:tcW w:w="1127" w:type="dxa"/>
          </w:tcPr>
          <w:p w14:paraId="6CDD1E0F" w14:textId="77777777" w:rsidR="002C10AB" w:rsidRPr="00316392" w:rsidRDefault="002C10AB" w:rsidP="002C10AB">
            <w:pPr>
              <w:spacing w:line="360" w:lineRule="auto"/>
              <w:jc w:val="both"/>
              <w:rPr>
                <w:sz w:val="16"/>
                <w:szCs w:val="16"/>
              </w:rPr>
            </w:pPr>
          </w:p>
        </w:tc>
        <w:tc>
          <w:tcPr>
            <w:tcW w:w="1127" w:type="dxa"/>
          </w:tcPr>
          <w:p w14:paraId="79D7091A" w14:textId="77777777" w:rsidR="002C10AB" w:rsidRPr="00316392" w:rsidRDefault="002C10AB" w:rsidP="002C10AB">
            <w:pPr>
              <w:spacing w:line="360" w:lineRule="auto"/>
              <w:jc w:val="both"/>
              <w:rPr>
                <w:sz w:val="16"/>
                <w:szCs w:val="16"/>
              </w:rPr>
            </w:pPr>
          </w:p>
        </w:tc>
        <w:tc>
          <w:tcPr>
            <w:tcW w:w="2147" w:type="dxa"/>
            <w:vAlign w:val="center"/>
          </w:tcPr>
          <w:p w14:paraId="49851AC3" w14:textId="4E18C356" w:rsidR="002C10AB" w:rsidRPr="00316392" w:rsidRDefault="002C10AB" w:rsidP="002C10AB">
            <w:pPr>
              <w:spacing w:line="360" w:lineRule="auto"/>
              <w:jc w:val="both"/>
              <w:rPr>
                <w:rFonts w:ascii="Calibri" w:hAnsi="Calibri" w:cs="Calibri"/>
                <w:color w:val="000000"/>
                <w:sz w:val="16"/>
                <w:szCs w:val="16"/>
              </w:rPr>
            </w:pPr>
            <w:r w:rsidRPr="00316392">
              <w:rPr>
                <w:rFonts w:ascii="Calibri" w:hAnsi="Calibri" w:cs="Calibri"/>
                <w:color w:val="000000"/>
                <w:sz w:val="16"/>
                <w:szCs w:val="16"/>
              </w:rPr>
              <w:t>Mineral supplements</w:t>
            </w:r>
          </w:p>
        </w:tc>
        <w:tc>
          <w:tcPr>
            <w:tcW w:w="1128" w:type="dxa"/>
          </w:tcPr>
          <w:p w14:paraId="12608F79" w14:textId="270A9B47" w:rsidR="002C10AB" w:rsidRDefault="002C10AB" w:rsidP="002C10AB">
            <w:pPr>
              <w:spacing w:line="360" w:lineRule="auto"/>
              <w:jc w:val="both"/>
              <w:rPr>
                <w:sz w:val="16"/>
                <w:szCs w:val="16"/>
              </w:rPr>
            </w:pPr>
            <w:r>
              <w:rPr>
                <w:sz w:val="16"/>
                <w:szCs w:val="16"/>
              </w:rPr>
              <w:t>2.10% (50)</w:t>
            </w:r>
          </w:p>
        </w:tc>
        <w:tc>
          <w:tcPr>
            <w:tcW w:w="2126" w:type="dxa"/>
          </w:tcPr>
          <w:p w14:paraId="1D6CC643" w14:textId="3D2477D1" w:rsidR="002C10AB" w:rsidRPr="00316392" w:rsidRDefault="002C10AB" w:rsidP="002C10AB">
            <w:pPr>
              <w:spacing w:line="360" w:lineRule="auto"/>
              <w:jc w:val="both"/>
              <w:rPr>
                <w:sz w:val="16"/>
                <w:szCs w:val="16"/>
              </w:rPr>
            </w:pPr>
            <w:r>
              <w:rPr>
                <w:sz w:val="16"/>
                <w:szCs w:val="16"/>
              </w:rPr>
              <w:t>Calcium 1.72% (41)</w:t>
            </w:r>
          </w:p>
        </w:tc>
      </w:tr>
      <w:tr w:rsidR="002C10AB" w:rsidRPr="00316392" w14:paraId="374076E6" w14:textId="77777777" w:rsidTr="00316392">
        <w:tc>
          <w:tcPr>
            <w:tcW w:w="2263" w:type="dxa"/>
          </w:tcPr>
          <w:p w14:paraId="4710BE3F" w14:textId="051699B4" w:rsidR="002C10AB" w:rsidRPr="00316392" w:rsidRDefault="002C10AB" w:rsidP="002C10AB">
            <w:pPr>
              <w:spacing w:line="360" w:lineRule="auto"/>
              <w:jc w:val="both"/>
              <w:rPr>
                <w:sz w:val="16"/>
                <w:szCs w:val="16"/>
              </w:rPr>
            </w:pPr>
          </w:p>
        </w:tc>
        <w:tc>
          <w:tcPr>
            <w:tcW w:w="993" w:type="dxa"/>
          </w:tcPr>
          <w:p w14:paraId="685F5B70" w14:textId="77777777" w:rsidR="002C10AB" w:rsidRPr="00316392" w:rsidRDefault="002C10AB" w:rsidP="002C10AB">
            <w:pPr>
              <w:spacing w:line="360" w:lineRule="auto"/>
              <w:jc w:val="both"/>
              <w:rPr>
                <w:sz w:val="16"/>
                <w:szCs w:val="16"/>
              </w:rPr>
            </w:pPr>
          </w:p>
        </w:tc>
        <w:tc>
          <w:tcPr>
            <w:tcW w:w="2559" w:type="dxa"/>
          </w:tcPr>
          <w:p w14:paraId="2D43CEC0" w14:textId="77777777" w:rsidR="002C10AB" w:rsidRPr="00316392" w:rsidRDefault="002C10AB" w:rsidP="002C10AB">
            <w:pPr>
              <w:spacing w:line="360" w:lineRule="auto"/>
              <w:jc w:val="both"/>
              <w:rPr>
                <w:sz w:val="16"/>
                <w:szCs w:val="16"/>
              </w:rPr>
            </w:pPr>
          </w:p>
        </w:tc>
        <w:tc>
          <w:tcPr>
            <w:tcW w:w="984" w:type="dxa"/>
          </w:tcPr>
          <w:p w14:paraId="1D5F6748" w14:textId="77777777" w:rsidR="002C10AB" w:rsidRPr="00316392" w:rsidRDefault="002C10AB" w:rsidP="002C10AB">
            <w:pPr>
              <w:spacing w:line="360" w:lineRule="auto"/>
              <w:jc w:val="both"/>
              <w:rPr>
                <w:sz w:val="16"/>
                <w:szCs w:val="16"/>
              </w:rPr>
            </w:pPr>
          </w:p>
        </w:tc>
        <w:tc>
          <w:tcPr>
            <w:tcW w:w="1127" w:type="dxa"/>
          </w:tcPr>
          <w:p w14:paraId="7009EC3A" w14:textId="77777777" w:rsidR="002C10AB" w:rsidRPr="00316392" w:rsidRDefault="002C10AB" w:rsidP="002C10AB">
            <w:pPr>
              <w:spacing w:line="360" w:lineRule="auto"/>
              <w:jc w:val="both"/>
              <w:rPr>
                <w:sz w:val="16"/>
                <w:szCs w:val="16"/>
              </w:rPr>
            </w:pPr>
          </w:p>
        </w:tc>
        <w:tc>
          <w:tcPr>
            <w:tcW w:w="1127" w:type="dxa"/>
          </w:tcPr>
          <w:p w14:paraId="47B85A51" w14:textId="77777777" w:rsidR="002C10AB" w:rsidRPr="00316392" w:rsidRDefault="002C10AB" w:rsidP="002C10AB">
            <w:pPr>
              <w:spacing w:line="360" w:lineRule="auto"/>
              <w:jc w:val="both"/>
              <w:rPr>
                <w:sz w:val="16"/>
                <w:szCs w:val="16"/>
              </w:rPr>
            </w:pPr>
          </w:p>
        </w:tc>
        <w:tc>
          <w:tcPr>
            <w:tcW w:w="2147" w:type="dxa"/>
            <w:vAlign w:val="center"/>
          </w:tcPr>
          <w:p w14:paraId="066DA8FA" w14:textId="51E10957" w:rsidR="002C10AB" w:rsidRPr="00316392" w:rsidRDefault="002C10AB" w:rsidP="002C10AB">
            <w:pPr>
              <w:spacing w:line="360" w:lineRule="auto"/>
              <w:jc w:val="both"/>
              <w:rPr>
                <w:sz w:val="16"/>
                <w:szCs w:val="16"/>
              </w:rPr>
            </w:pPr>
            <w:r w:rsidRPr="00316392">
              <w:rPr>
                <w:rFonts w:ascii="Calibri" w:hAnsi="Calibri" w:cs="Calibri"/>
                <w:color w:val="000000"/>
                <w:sz w:val="16"/>
                <w:szCs w:val="16"/>
              </w:rPr>
              <w:t>Calcium channel blockers</w:t>
            </w:r>
          </w:p>
        </w:tc>
        <w:tc>
          <w:tcPr>
            <w:tcW w:w="1128" w:type="dxa"/>
          </w:tcPr>
          <w:p w14:paraId="37F8203D" w14:textId="5C0BAC82" w:rsidR="002C10AB" w:rsidRPr="00316392" w:rsidRDefault="002C10AB" w:rsidP="002C10AB">
            <w:pPr>
              <w:spacing w:line="360" w:lineRule="auto"/>
              <w:jc w:val="both"/>
              <w:rPr>
                <w:sz w:val="16"/>
                <w:szCs w:val="16"/>
              </w:rPr>
            </w:pPr>
            <w:r>
              <w:rPr>
                <w:sz w:val="16"/>
                <w:szCs w:val="16"/>
              </w:rPr>
              <w:t>1.72% (41)</w:t>
            </w:r>
          </w:p>
        </w:tc>
        <w:tc>
          <w:tcPr>
            <w:tcW w:w="2126" w:type="dxa"/>
          </w:tcPr>
          <w:p w14:paraId="44F99E73" w14:textId="4952B5D5" w:rsidR="002C10AB" w:rsidRPr="00316392" w:rsidRDefault="002C10AB" w:rsidP="002C10AB">
            <w:pPr>
              <w:spacing w:line="360" w:lineRule="auto"/>
              <w:jc w:val="both"/>
              <w:rPr>
                <w:sz w:val="16"/>
                <w:szCs w:val="16"/>
              </w:rPr>
            </w:pPr>
          </w:p>
        </w:tc>
      </w:tr>
      <w:tr w:rsidR="002C10AB" w:rsidRPr="00316392" w14:paraId="73DA246E" w14:textId="77777777" w:rsidTr="00316392">
        <w:tc>
          <w:tcPr>
            <w:tcW w:w="2263" w:type="dxa"/>
          </w:tcPr>
          <w:p w14:paraId="769C7AFE" w14:textId="7B78188C" w:rsidR="002C10AB" w:rsidRPr="00316392" w:rsidRDefault="002C10AB" w:rsidP="002C10AB">
            <w:pPr>
              <w:spacing w:line="360" w:lineRule="auto"/>
              <w:jc w:val="both"/>
              <w:rPr>
                <w:sz w:val="16"/>
                <w:szCs w:val="16"/>
              </w:rPr>
            </w:pPr>
          </w:p>
        </w:tc>
        <w:tc>
          <w:tcPr>
            <w:tcW w:w="993" w:type="dxa"/>
          </w:tcPr>
          <w:p w14:paraId="6C2769BE" w14:textId="77777777" w:rsidR="002C10AB" w:rsidRPr="00316392" w:rsidRDefault="002C10AB" w:rsidP="002C10AB">
            <w:pPr>
              <w:spacing w:line="360" w:lineRule="auto"/>
              <w:jc w:val="both"/>
              <w:rPr>
                <w:sz w:val="16"/>
                <w:szCs w:val="16"/>
              </w:rPr>
            </w:pPr>
          </w:p>
        </w:tc>
        <w:tc>
          <w:tcPr>
            <w:tcW w:w="2559" w:type="dxa"/>
          </w:tcPr>
          <w:p w14:paraId="3F108773" w14:textId="77777777" w:rsidR="002C10AB" w:rsidRPr="00316392" w:rsidRDefault="002C10AB" w:rsidP="002C10AB">
            <w:pPr>
              <w:spacing w:line="360" w:lineRule="auto"/>
              <w:jc w:val="both"/>
              <w:rPr>
                <w:sz w:val="16"/>
                <w:szCs w:val="16"/>
              </w:rPr>
            </w:pPr>
          </w:p>
        </w:tc>
        <w:tc>
          <w:tcPr>
            <w:tcW w:w="984" w:type="dxa"/>
          </w:tcPr>
          <w:p w14:paraId="78291021" w14:textId="77777777" w:rsidR="002C10AB" w:rsidRPr="00316392" w:rsidRDefault="002C10AB" w:rsidP="002C10AB">
            <w:pPr>
              <w:spacing w:line="360" w:lineRule="auto"/>
              <w:jc w:val="both"/>
              <w:rPr>
                <w:sz w:val="16"/>
                <w:szCs w:val="16"/>
              </w:rPr>
            </w:pPr>
          </w:p>
        </w:tc>
        <w:tc>
          <w:tcPr>
            <w:tcW w:w="1127" w:type="dxa"/>
          </w:tcPr>
          <w:p w14:paraId="5A5CBB85" w14:textId="77777777" w:rsidR="002C10AB" w:rsidRPr="00316392" w:rsidRDefault="002C10AB" w:rsidP="002C10AB">
            <w:pPr>
              <w:spacing w:line="360" w:lineRule="auto"/>
              <w:jc w:val="both"/>
              <w:rPr>
                <w:sz w:val="16"/>
                <w:szCs w:val="16"/>
              </w:rPr>
            </w:pPr>
          </w:p>
        </w:tc>
        <w:tc>
          <w:tcPr>
            <w:tcW w:w="1127" w:type="dxa"/>
          </w:tcPr>
          <w:p w14:paraId="3292CF22" w14:textId="77777777" w:rsidR="002C10AB" w:rsidRPr="00316392" w:rsidRDefault="002C10AB" w:rsidP="002C10AB">
            <w:pPr>
              <w:spacing w:line="360" w:lineRule="auto"/>
              <w:jc w:val="both"/>
              <w:rPr>
                <w:sz w:val="16"/>
                <w:szCs w:val="16"/>
              </w:rPr>
            </w:pPr>
          </w:p>
        </w:tc>
        <w:tc>
          <w:tcPr>
            <w:tcW w:w="2147" w:type="dxa"/>
            <w:vAlign w:val="center"/>
          </w:tcPr>
          <w:p w14:paraId="452121D2" w14:textId="45C118C3" w:rsidR="002C10AB" w:rsidRPr="00316392" w:rsidRDefault="002C10AB" w:rsidP="002C10AB">
            <w:pPr>
              <w:spacing w:line="360" w:lineRule="auto"/>
              <w:jc w:val="both"/>
              <w:rPr>
                <w:sz w:val="16"/>
                <w:szCs w:val="16"/>
              </w:rPr>
            </w:pPr>
            <w:r w:rsidRPr="00316392">
              <w:rPr>
                <w:rFonts w:ascii="Calibri" w:hAnsi="Calibri" w:cs="Calibri"/>
                <w:color w:val="000000"/>
                <w:sz w:val="16"/>
                <w:szCs w:val="16"/>
              </w:rPr>
              <w:t>Antiinflammatory</w:t>
            </w:r>
            <w:r>
              <w:rPr>
                <w:rFonts w:ascii="Calibri" w:hAnsi="Calibri" w:cs="Calibri"/>
                <w:color w:val="000000"/>
                <w:sz w:val="16"/>
                <w:szCs w:val="16"/>
              </w:rPr>
              <w:t xml:space="preserve">, </w:t>
            </w:r>
            <w:r w:rsidRPr="00316392">
              <w:rPr>
                <w:rFonts w:ascii="Calibri" w:hAnsi="Calibri" w:cs="Calibri"/>
                <w:color w:val="000000"/>
                <w:sz w:val="16"/>
                <w:szCs w:val="16"/>
              </w:rPr>
              <w:t>antirheumatic</w:t>
            </w:r>
            <w:r>
              <w:rPr>
                <w:rFonts w:ascii="Calibri" w:hAnsi="Calibri" w:cs="Calibri"/>
                <w:color w:val="000000"/>
                <w:sz w:val="16"/>
                <w:szCs w:val="16"/>
              </w:rPr>
              <w:t xml:space="preserve"> </w:t>
            </w:r>
            <w:r w:rsidRPr="00316392">
              <w:rPr>
                <w:rFonts w:ascii="Calibri" w:hAnsi="Calibri" w:cs="Calibri"/>
                <w:color w:val="000000"/>
                <w:sz w:val="16"/>
                <w:szCs w:val="16"/>
              </w:rPr>
              <w:t>products</w:t>
            </w:r>
          </w:p>
        </w:tc>
        <w:tc>
          <w:tcPr>
            <w:tcW w:w="1128" w:type="dxa"/>
          </w:tcPr>
          <w:p w14:paraId="231B404B" w14:textId="750AFBC4" w:rsidR="002C10AB" w:rsidRPr="00316392" w:rsidRDefault="002C10AB" w:rsidP="002C10AB">
            <w:pPr>
              <w:spacing w:line="360" w:lineRule="auto"/>
              <w:jc w:val="both"/>
              <w:rPr>
                <w:sz w:val="16"/>
                <w:szCs w:val="16"/>
              </w:rPr>
            </w:pPr>
            <w:r>
              <w:rPr>
                <w:sz w:val="16"/>
                <w:szCs w:val="16"/>
              </w:rPr>
              <w:t>1.68% (40)</w:t>
            </w:r>
          </w:p>
        </w:tc>
        <w:tc>
          <w:tcPr>
            <w:tcW w:w="2126" w:type="dxa"/>
          </w:tcPr>
          <w:p w14:paraId="677E5044" w14:textId="7E802920" w:rsidR="002C10AB" w:rsidRPr="00316392" w:rsidRDefault="002C10AB" w:rsidP="002C10AB">
            <w:pPr>
              <w:spacing w:line="360" w:lineRule="auto"/>
              <w:jc w:val="both"/>
              <w:rPr>
                <w:sz w:val="16"/>
                <w:szCs w:val="16"/>
              </w:rPr>
            </w:pPr>
            <w:r>
              <w:rPr>
                <w:sz w:val="16"/>
                <w:szCs w:val="16"/>
              </w:rPr>
              <w:t>NSAIDs 1.68% (40)</w:t>
            </w:r>
          </w:p>
        </w:tc>
      </w:tr>
    </w:tbl>
    <w:p w14:paraId="60556086" w14:textId="77777777" w:rsidR="0078596E" w:rsidRDefault="0078596E" w:rsidP="00C36689">
      <w:pPr>
        <w:spacing w:line="360" w:lineRule="auto"/>
        <w:jc w:val="both"/>
        <w:rPr>
          <w:b/>
          <w:bCs/>
          <w:iCs/>
        </w:rPr>
        <w:sectPr w:rsidR="0078596E" w:rsidSect="00B260B5">
          <w:pgSz w:w="16838" w:h="11906" w:orient="landscape"/>
          <w:pgMar w:top="1440" w:right="1440" w:bottom="1440" w:left="1440" w:header="709" w:footer="709" w:gutter="0"/>
          <w:cols w:space="708"/>
          <w:docGrid w:linePitch="360"/>
        </w:sectPr>
      </w:pPr>
    </w:p>
    <w:p w14:paraId="59556B1C" w14:textId="173841CC" w:rsidR="00B260B5" w:rsidRPr="005417E6" w:rsidRDefault="00B260B5" w:rsidP="00C36689">
      <w:pPr>
        <w:spacing w:line="360" w:lineRule="auto"/>
        <w:jc w:val="both"/>
        <w:rPr>
          <w:b/>
          <w:bCs/>
          <w:iCs/>
        </w:rPr>
      </w:pPr>
    </w:p>
    <w:p w14:paraId="0759BABE" w14:textId="25A7E920" w:rsidR="00C36689" w:rsidRPr="00C36689" w:rsidRDefault="000D6DAB" w:rsidP="00C36689">
      <w:pPr>
        <w:spacing w:line="360" w:lineRule="auto"/>
        <w:jc w:val="both"/>
      </w:pPr>
      <w:r>
        <w:rPr>
          <w:b/>
          <w:bCs/>
          <w:i/>
          <w:iCs/>
        </w:rPr>
        <w:t xml:space="preserve">3.8 </w:t>
      </w:r>
      <w:r w:rsidR="00C36689" w:rsidRPr="00C36689">
        <w:rPr>
          <w:b/>
          <w:bCs/>
          <w:i/>
          <w:iCs/>
        </w:rPr>
        <w:t>ADR Severity</w:t>
      </w:r>
    </w:p>
    <w:p w14:paraId="7B95B6B6" w14:textId="0EB7124E" w:rsidR="00E65D46" w:rsidRPr="007C7096" w:rsidRDefault="002B40E8" w:rsidP="00C36689">
      <w:pPr>
        <w:spacing w:line="360" w:lineRule="auto"/>
        <w:jc w:val="both"/>
      </w:pPr>
      <w:r>
        <w:t>17</w:t>
      </w:r>
      <w:r w:rsidR="00C36689" w:rsidRPr="00C36689">
        <w:t xml:space="preserve"> studies</w:t>
      </w:r>
      <w:r w:rsidR="00303CA5">
        <w:t xml:space="preserve"> </w:t>
      </w:r>
      <w:r>
        <w:rPr>
          <w:noProof/>
        </w:rPr>
        <w:t>[23-26, 29, 32, 33, 35, 37, 39, 42-45, 47, 49-51]</w:t>
      </w:r>
      <w:r w:rsidR="00C36689" w:rsidRPr="00C36689">
        <w:t xml:space="preserve"> reported severity ().  72% of reported ADRs were at least of moderate severity. 29% (560 ADRs) were severe. </w:t>
      </w:r>
      <w:r w:rsidR="007C7096" w:rsidRPr="007C7096">
        <w:t xml:space="preserve"> </w:t>
      </w:r>
      <w:r w:rsidR="00B17EEE">
        <w:rPr>
          <w:i/>
          <w:color w:val="FF0000"/>
        </w:rPr>
        <w:t>[</w:t>
      </w:r>
      <w:r w:rsidR="007C7096" w:rsidRPr="007C7096">
        <w:rPr>
          <w:i/>
          <w:color w:val="FF0000"/>
        </w:rPr>
        <w:t>Check these numbers ?</w:t>
      </w:r>
      <w:r w:rsidR="007C7096">
        <w:rPr>
          <w:i/>
          <w:color w:val="FF0000"/>
        </w:rPr>
        <w:t xml:space="preserve"> n reported</w:t>
      </w:r>
      <w:r w:rsidR="007C7096" w:rsidRPr="007C7096">
        <w:rPr>
          <w:i/>
          <w:color w:val="FF0000"/>
        </w:rPr>
        <w:t xml:space="preserve"> based </w:t>
      </w:r>
      <w:r w:rsidR="00B17EEE">
        <w:rPr>
          <w:i/>
          <w:color w:val="FF0000"/>
        </w:rPr>
        <w:t>on 14 studies]</w:t>
      </w:r>
    </w:p>
    <w:p w14:paraId="6575BFBA" w14:textId="77777777" w:rsidR="007C7096" w:rsidRDefault="007C7096" w:rsidP="00C36689">
      <w:pPr>
        <w:spacing w:line="360" w:lineRule="auto"/>
        <w:jc w:val="both"/>
        <w:rPr>
          <w:b/>
          <w:bCs/>
          <w:i/>
          <w:iCs/>
        </w:rPr>
      </w:pPr>
    </w:p>
    <w:p w14:paraId="5F95C3D8" w14:textId="56DA3EAA" w:rsidR="00C36689" w:rsidRPr="00C36689" w:rsidRDefault="000D6DAB" w:rsidP="00C36689">
      <w:pPr>
        <w:spacing w:line="360" w:lineRule="auto"/>
        <w:jc w:val="both"/>
      </w:pPr>
      <w:r>
        <w:rPr>
          <w:b/>
          <w:bCs/>
          <w:i/>
          <w:iCs/>
        </w:rPr>
        <w:t xml:space="preserve">3.9 </w:t>
      </w:r>
      <w:r w:rsidR="00C36689" w:rsidRPr="00C36689">
        <w:rPr>
          <w:b/>
          <w:bCs/>
          <w:i/>
          <w:iCs/>
        </w:rPr>
        <w:t>ADR Preventability</w:t>
      </w:r>
    </w:p>
    <w:p w14:paraId="593B673A" w14:textId="66964273" w:rsidR="00E65D46" w:rsidRDefault="00C36689" w:rsidP="00C36689">
      <w:pPr>
        <w:spacing w:line="360" w:lineRule="auto"/>
        <w:jc w:val="both"/>
      </w:pPr>
      <w:r w:rsidRPr="00C36689">
        <w:t xml:space="preserve">5 studies </w:t>
      </w:r>
      <w:r w:rsidR="00A75F77">
        <w:rPr>
          <w:noProof/>
        </w:rPr>
        <w:t>[24, 29, 32, 43, 47]</w:t>
      </w:r>
      <w:r w:rsidR="00303CA5">
        <w:t xml:space="preserve"> </w:t>
      </w:r>
      <w:r w:rsidRPr="00C36689">
        <w:t xml:space="preserve">assessed preventability (n = 3602, reporting 672 ADRs), 69% of reported ADRs were </w:t>
      </w:r>
      <w:r w:rsidR="004D74E5">
        <w:t xml:space="preserve">deemed </w:t>
      </w:r>
      <w:r w:rsidRPr="00C36689">
        <w:t xml:space="preserve">preventable. </w:t>
      </w:r>
    </w:p>
    <w:p w14:paraId="64ED6E18" w14:textId="77777777" w:rsidR="00E65D46" w:rsidRDefault="00E65D46" w:rsidP="00C36689">
      <w:pPr>
        <w:spacing w:line="360" w:lineRule="auto"/>
        <w:jc w:val="both"/>
      </w:pPr>
    </w:p>
    <w:p w14:paraId="1E64CC54" w14:textId="733426C0" w:rsidR="00E65D46" w:rsidRPr="00E65D46" w:rsidRDefault="000D6DAB" w:rsidP="00C36689">
      <w:pPr>
        <w:spacing w:line="360" w:lineRule="auto"/>
        <w:jc w:val="both"/>
        <w:rPr>
          <w:b/>
          <w:i/>
        </w:rPr>
      </w:pPr>
      <w:r>
        <w:rPr>
          <w:b/>
          <w:i/>
        </w:rPr>
        <w:t xml:space="preserve">3.10 </w:t>
      </w:r>
      <w:r w:rsidR="004D74E5">
        <w:rPr>
          <w:b/>
          <w:i/>
        </w:rPr>
        <w:t>Sub-group analysis p</w:t>
      </w:r>
      <w:r w:rsidR="00E65D46" w:rsidRPr="00E65D46">
        <w:rPr>
          <w:b/>
          <w:i/>
        </w:rPr>
        <w:t>olypharmacy</w:t>
      </w:r>
      <w:r w:rsidR="00DC7D85">
        <w:rPr>
          <w:b/>
          <w:i/>
        </w:rPr>
        <w:t xml:space="preserve"> and</w:t>
      </w:r>
      <w:r w:rsidR="00E65D46" w:rsidRPr="00E65D46">
        <w:rPr>
          <w:b/>
          <w:i/>
        </w:rPr>
        <w:t xml:space="preserve"> </w:t>
      </w:r>
      <w:r w:rsidR="00DC7D85" w:rsidRPr="00E65D46">
        <w:rPr>
          <w:b/>
          <w:i/>
        </w:rPr>
        <w:t xml:space="preserve">Multi-morbidity </w:t>
      </w:r>
    </w:p>
    <w:p w14:paraId="12702DD7" w14:textId="32ECD69A" w:rsidR="00523701" w:rsidRDefault="00A167C8" w:rsidP="00DC7D85">
      <w:pPr>
        <w:spacing w:line="360" w:lineRule="auto"/>
        <w:jc w:val="both"/>
      </w:pPr>
      <w:r w:rsidRPr="00C36689">
        <w:t xml:space="preserve">Polypharmacy (reported as a mean/median ≥5 medications at baseline) was </w:t>
      </w:r>
      <w:r w:rsidR="00546E9B">
        <w:t xml:space="preserve">reported and present in </w:t>
      </w:r>
      <w:commentRangeStart w:id="26"/>
      <w:r w:rsidR="00546E9B">
        <w:t>11</w:t>
      </w:r>
      <w:r w:rsidRPr="00C36689">
        <w:t xml:space="preserve"> studies</w:t>
      </w:r>
      <w:r w:rsidR="00546E9B">
        <w:t xml:space="preserve"> </w:t>
      </w:r>
      <w:r w:rsidR="00BC6FDE">
        <w:rPr>
          <w:noProof/>
        </w:rPr>
        <w:t>[22, 30, 33, 38, 39, 42-45, 48, 50]</w:t>
      </w:r>
      <w:commentRangeEnd w:id="26"/>
      <w:r w:rsidR="00A94054">
        <w:rPr>
          <w:rStyle w:val="CommentReference"/>
        </w:rPr>
        <w:commentReference w:id="26"/>
      </w:r>
      <w:r w:rsidRPr="00C36689">
        <w:t>. Multi-morbidity (reported as a mean/median number of diagnoses ≥3 at baseline) was reporte</w:t>
      </w:r>
      <w:r>
        <w:t>d in 9 and present in 8 studies</w:t>
      </w:r>
      <w:r w:rsidR="00FE04A1">
        <w:t xml:space="preserve"> </w:t>
      </w:r>
      <w:r w:rsidR="00BC6FDE">
        <w:rPr>
          <w:noProof/>
        </w:rPr>
        <w:t>[22, 30, 38, 42-44, 48, 50]</w:t>
      </w:r>
      <w:r w:rsidR="00E97A04">
        <w:t xml:space="preserve"> (in two cases </w:t>
      </w:r>
      <w:r w:rsidR="00A75F77">
        <w:rPr>
          <w:noProof/>
        </w:rPr>
        <w:t>[42, 43]</w:t>
      </w:r>
      <w:r w:rsidR="00E97A04">
        <w:t xml:space="preserve"> multi-morbidity was not described in the primary published paper, but was described in a subsequent publication </w:t>
      </w:r>
      <w:r w:rsidR="00A75F77">
        <w:rPr>
          <w:noProof/>
        </w:rPr>
        <w:t>[52]</w:t>
      </w:r>
      <w:r w:rsidR="00E97A04">
        <w:t>)</w:t>
      </w:r>
    </w:p>
    <w:p w14:paraId="1264D8A4" w14:textId="587D27CF" w:rsidR="003B6DC5" w:rsidRPr="00C73FAD" w:rsidRDefault="000C7987" w:rsidP="00C73FAD">
      <w:pPr>
        <w:spacing w:line="360" w:lineRule="auto"/>
        <w:jc w:val="both"/>
        <w:sectPr w:rsidR="003B6DC5" w:rsidRPr="00C73FAD">
          <w:pgSz w:w="11906" w:h="16838"/>
          <w:pgMar w:top="1440" w:right="1440" w:bottom="1440" w:left="1440" w:header="708" w:footer="708" w:gutter="0"/>
          <w:cols w:space="708"/>
          <w:docGrid w:linePitch="360"/>
        </w:sectPr>
      </w:pPr>
      <w:r>
        <w:t xml:space="preserve">ADRs occurred in </w:t>
      </w:r>
      <w:commentRangeStart w:id="27"/>
      <w:r w:rsidR="003575DA">
        <w:t xml:space="preserve">14.87% +/- 7.18% in the 8 studies that </w:t>
      </w:r>
      <w:r w:rsidR="00A06F4F">
        <w:t xml:space="preserve">reported </w:t>
      </w:r>
      <w:r w:rsidR="003575DA">
        <w:t>both polypharmacy and multi-morbidity</w:t>
      </w:r>
      <w:r w:rsidR="00AD787F">
        <w:t xml:space="preserve">; </w:t>
      </w:r>
      <w:commentRangeEnd w:id="27"/>
      <w:r w:rsidR="004D74E5">
        <w:rPr>
          <w:rStyle w:val="CommentReference"/>
        </w:rPr>
        <w:commentReference w:id="27"/>
      </w:r>
      <w:r w:rsidR="00AD787F">
        <w:t>min 4.95 max 26.32</w:t>
      </w:r>
      <w:r w:rsidR="003575DA">
        <w:t>.</w:t>
      </w:r>
      <w:r w:rsidR="00015C80">
        <w:t xml:space="preserve"> </w:t>
      </w:r>
      <w:r w:rsidR="00427265">
        <w:t xml:space="preserve">Data regarding culprit drugs for ADRs in this subset was only available for 5 </w:t>
      </w:r>
      <w:r w:rsidR="00BC6FDE">
        <w:rPr>
          <w:noProof/>
        </w:rPr>
        <w:t>[22, 42, 43, 47, 50]</w:t>
      </w:r>
      <w:r w:rsidR="00427265">
        <w:t xml:space="preserve"> of the 8 studies, ac</w:t>
      </w:r>
      <w:r w:rsidR="002530FE">
        <w:t xml:space="preserve">counting for 466 ADRs, 461 drugs. </w:t>
      </w:r>
    </w:p>
    <w:p w14:paraId="4BB397C0" w14:textId="1C383291" w:rsidR="00C36689" w:rsidRPr="00C36689" w:rsidRDefault="00854B48" w:rsidP="00C36689">
      <w:pPr>
        <w:spacing w:line="360" w:lineRule="auto"/>
        <w:jc w:val="both"/>
      </w:pPr>
      <w:r>
        <w:rPr>
          <w:b/>
          <w:bCs/>
          <w:i/>
          <w:iCs/>
        </w:rPr>
        <w:lastRenderedPageBreak/>
        <w:t xml:space="preserve">ADR </w:t>
      </w:r>
      <w:r w:rsidR="00C36689" w:rsidRPr="00C36689">
        <w:rPr>
          <w:b/>
          <w:bCs/>
          <w:i/>
          <w:iCs/>
        </w:rPr>
        <w:t>Outcomes</w:t>
      </w:r>
    </w:p>
    <w:p w14:paraId="43D179D7" w14:textId="47C8516E" w:rsidR="00C36689" w:rsidRDefault="00753527" w:rsidP="00C36689">
      <w:pPr>
        <w:spacing w:line="360" w:lineRule="auto"/>
        <w:jc w:val="both"/>
      </w:pPr>
      <w:r>
        <w:t xml:space="preserve">Post ADR occurrence outcomes were rarely reported. </w:t>
      </w:r>
      <w:r w:rsidR="00C36689" w:rsidRPr="00C36689">
        <w:t>5 papers</w:t>
      </w:r>
      <w:r>
        <w:t xml:space="preserve"> reported on post ADR outcomes; </w:t>
      </w:r>
      <w:r w:rsidR="00C36689" w:rsidRPr="00C36689">
        <w:t>3 length of stay [LOS], 1 LOS-death, 1 functional decl</w:t>
      </w:r>
      <w:r>
        <w:t>ine</w:t>
      </w:r>
      <w:r w:rsidR="00C36689" w:rsidRPr="00C36689">
        <w:t xml:space="preserve">. </w:t>
      </w:r>
      <w:r w:rsidR="00B17EEE">
        <w:rPr>
          <w:i/>
          <w:color w:val="FF0000"/>
        </w:rPr>
        <w:t>[</w:t>
      </w:r>
      <w:r w:rsidR="0027320F">
        <w:rPr>
          <w:i/>
          <w:color w:val="FF0000"/>
        </w:rPr>
        <w:t xml:space="preserve">? </w:t>
      </w:r>
      <w:r w:rsidR="0035148A" w:rsidRPr="0035148A">
        <w:rPr>
          <w:i/>
          <w:color w:val="FF0000"/>
        </w:rPr>
        <w:t>potential to forest plot pooled analysis this LOS non-ADR group vs LOS ADR Group</w:t>
      </w:r>
      <w:r w:rsidR="0027320F">
        <w:rPr>
          <w:i/>
          <w:color w:val="FF0000"/>
        </w:rPr>
        <w:t xml:space="preserve"> – need mean and SD for all</w:t>
      </w:r>
      <w:r w:rsidR="00B17EEE">
        <w:rPr>
          <w:i/>
          <w:color w:val="FF0000"/>
        </w:rPr>
        <w:t>]</w:t>
      </w:r>
    </w:p>
    <w:tbl>
      <w:tblPr>
        <w:tblW w:w="982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100"/>
        <w:gridCol w:w="1100"/>
        <w:gridCol w:w="1100"/>
        <w:gridCol w:w="1100"/>
        <w:gridCol w:w="1100"/>
        <w:gridCol w:w="1100"/>
        <w:gridCol w:w="1249"/>
      </w:tblGrid>
      <w:tr w:rsidR="00897BEE" w:rsidRPr="00897BEE" w14:paraId="09483D6D" w14:textId="77777777" w:rsidTr="00897BEE">
        <w:trPr>
          <w:trHeight w:val="580"/>
        </w:trPr>
        <w:tc>
          <w:tcPr>
            <w:tcW w:w="9829" w:type="dxa"/>
            <w:gridSpan w:val="8"/>
            <w:shd w:val="clear" w:color="auto" w:fill="auto"/>
            <w:vAlign w:val="bottom"/>
          </w:tcPr>
          <w:p w14:paraId="0C3285EB" w14:textId="77FDBBB9" w:rsidR="00897BEE" w:rsidRPr="00897BEE" w:rsidRDefault="00897BEE" w:rsidP="00897BEE">
            <w:pPr>
              <w:rPr>
                <w:rFonts w:ascii="Calibri" w:eastAsia="Times New Roman" w:hAnsi="Calibri" w:cs="Calibri"/>
                <w:b/>
                <w:bCs/>
                <w:color w:val="000000"/>
                <w:u w:val="single"/>
                <w:lang w:eastAsia="en-GB"/>
              </w:rPr>
            </w:pPr>
            <w:r w:rsidRPr="00897BEE">
              <w:rPr>
                <w:rFonts w:ascii="Calibri" w:eastAsia="Times New Roman" w:hAnsi="Calibri" w:cs="Calibri"/>
                <w:b/>
                <w:bCs/>
                <w:color w:val="000000"/>
                <w:u w:val="single"/>
                <w:lang w:eastAsia="en-GB"/>
              </w:rPr>
              <w:t>Table</w:t>
            </w:r>
            <w:r>
              <w:rPr>
                <w:rFonts w:ascii="Calibri" w:eastAsia="Times New Roman" w:hAnsi="Calibri" w:cs="Calibri"/>
                <w:b/>
                <w:bCs/>
                <w:color w:val="000000"/>
                <w:u w:val="single"/>
                <w:lang w:eastAsia="en-GB"/>
              </w:rPr>
              <w:t xml:space="preserve"> 14</w:t>
            </w:r>
            <w:r w:rsidRPr="00897BEE">
              <w:rPr>
                <w:rFonts w:ascii="Calibri" w:eastAsia="Times New Roman" w:hAnsi="Calibri" w:cs="Calibri"/>
                <w:b/>
                <w:bCs/>
                <w:color w:val="000000"/>
                <w:u w:val="single"/>
                <w:lang w:eastAsia="en-GB"/>
              </w:rPr>
              <w:t xml:space="preserve">: Comparison of reported outcomes </w:t>
            </w:r>
          </w:p>
        </w:tc>
      </w:tr>
      <w:tr w:rsidR="004F3EBA" w:rsidRPr="00897BEE" w14:paraId="63EC6D0D" w14:textId="77777777" w:rsidTr="00897BEE">
        <w:trPr>
          <w:trHeight w:val="580"/>
        </w:trPr>
        <w:tc>
          <w:tcPr>
            <w:tcW w:w="1980" w:type="dxa"/>
            <w:shd w:val="clear" w:color="auto" w:fill="auto"/>
            <w:vAlign w:val="bottom"/>
            <w:hideMark/>
          </w:tcPr>
          <w:p w14:paraId="59CEA941" w14:textId="77777777" w:rsidR="004F3EBA" w:rsidRPr="00897BEE" w:rsidRDefault="004F3EBA">
            <w:pPr>
              <w:rPr>
                <w:rFonts w:ascii="Calibri" w:eastAsia="Times New Roman" w:hAnsi="Calibri" w:cs="Calibri"/>
                <w:b/>
                <w:bCs/>
                <w:color w:val="000000"/>
                <w:u w:val="single"/>
                <w:lang w:eastAsia="en-GB"/>
              </w:rPr>
            </w:pPr>
            <w:r w:rsidRPr="00897BEE">
              <w:rPr>
                <w:rFonts w:ascii="Calibri" w:eastAsia="Times New Roman" w:hAnsi="Calibri" w:cs="Calibri"/>
                <w:b/>
                <w:bCs/>
                <w:color w:val="000000"/>
                <w:u w:val="single"/>
                <w:lang w:eastAsia="en-GB"/>
              </w:rPr>
              <w:t>Author</w:t>
            </w:r>
          </w:p>
        </w:tc>
        <w:tc>
          <w:tcPr>
            <w:tcW w:w="1100" w:type="dxa"/>
            <w:shd w:val="clear" w:color="auto" w:fill="auto"/>
            <w:vAlign w:val="center"/>
            <w:hideMark/>
          </w:tcPr>
          <w:p w14:paraId="6840194C" w14:textId="77777777" w:rsidR="004F3EBA" w:rsidRPr="00897BEE" w:rsidRDefault="004F3EBA" w:rsidP="004F3EBA">
            <w:pPr>
              <w:spacing w:after="0" w:line="240" w:lineRule="auto"/>
              <w:rPr>
                <w:rFonts w:ascii="Calibri" w:eastAsia="Times New Roman" w:hAnsi="Calibri" w:cs="Calibri"/>
                <w:color w:val="000000"/>
                <w:lang w:eastAsia="en-GB"/>
              </w:rPr>
            </w:pPr>
            <w:r w:rsidRPr="00897BEE">
              <w:rPr>
                <w:rFonts w:ascii="Calibri" w:eastAsia="Times New Roman" w:hAnsi="Calibri" w:cs="Calibri"/>
                <w:color w:val="000000"/>
                <w:lang w:eastAsia="en-GB"/>
              </w:rPr>
              <w:t>Conforti</w:t>
            </w:r>
          </w:p>
        </w:tc>
        <w:tc>
          <w:tcPr>
            <w:tcW w:w="1100" w:type="dxa"/>
            <w:shd w:val="clear" w:color="auto" w:fill="auto"/>
            <w:vAlign w:val="center"/>
            <w:hideMark/>
          </w:tcPr>
          <w:p w14:paraId="7E176E05" w14:textId="77777777" w:rsidR="004F3EBA" w:rsidRPr="00897BEE" w:rsidRDefault="004F3EBA" w:rsidP="004F3EBA">
            <w:pPr>
              <w:spacing w:after="0" w:line="240" w:lineRule="auto"/>
              <w:rPr>
                <w:rFonts w:ascii="Calibri" w:eastAsia="Times New Roman" w:hAnsi="Calibri" w:cs="Calibri"/>
                <w:color w:val="000000"/>
                <w:lang w:eastAsia="en-GB"/>
              </w:rPr>
            </w:pPr>
            <w:r w:rsidRPr="00897BEE">
              <w:rPr>
                <w:rFonts w:ascii="Calibri" w:eastAsia="Times New Roman" w:hAnsi="Calibri" w:cs="Calibri"/>
                <w:color w:val="000000"/>
                <w:lang w:eastAsia="en-GB"/>
              </w:rPr>
              <w:t>Davies</w:t>
            </w:r>
          </w:p>
        </w:tc>
        <w:tc>
          <w:tcPr>
            <w:tcW w:w="1100" w:type="dxa"/>
            <w:shd w:val="clear" w:color="auto" w:fill="auto"/>
            <w:vAlign w:val="center"/>
            <w:hideMark/>
          </w:tcPr>
          <w:p w14:paraId="63E4A7DB" w14:textId="77777777" w:rsidR="004F3EBA" w:rsidRPr="00897BEE" w:rsidRDefault="004F3EBA" w:rsidP="004F3EBA">
            <w:pPr>
              <w:spacing w:after="0" w:line="240" w:lineRule="auto"/>
              <w:rPr>
                <w:rFonts w:ascii="Calibri" w:eastAsia="Times New Roman" w:hAnsi="Calibri" w:cs="Calibri"/>
                <w:color w:val="000000"/>
                <w:lang w:eastAsia="en-GB"/>
              </w:rPr>
            </w:pPr>
            <w:r w:rsidRPr="00897BEE">
              <w:rPr>
                <w:rFonts w:ascii="Calibri" w:eastAsia="Times New Roman" w:hAnsi="Calibri" w:cs="Calibri"/>
                <w:color w:val="000000"/>
                <w:lang w:eastAsia="en-GB"/>
              </w:rPr>
              <w:t>Ganeva</w:t>
            </w:r>
          </w:p>
        </w:tc>
        <w:tc>
          <w:tcPr>
            <w:tcW w:w="1100" w:type="dxa"/>
            <w:shd w:val="clear" w:color="auto" w:fill="auto"/>
            <w:vAlign w:val="center"/>
            <w:hideMark/>
          </w:tcPr>
          <w:p w14:paraId="56086814" w14:textId="77777777" w:rsidR="004F3EBA" w:rsidRPr="00897BEE" w:rsidRDefault="004F3EBA" w:rsidP="004F3EBA">
            <w:pPr>
              <w:spacing w:after="0" w:line="240" w:lineRule="auto"/>
              <w:rPr>
                <w:rFonts w:ascii="Calibri" w:eastAsia="Times New Roman" w:hAnsi="Calibri" w:cs="Calibri"/>
                <w:color w:val="000000"/>
                <w:lang w:eastAsia="en-GB"/>
              </w:rPr>
            </w:pPr>
            <w:r w:rsidRPr="00897BEE">
              <w:rPr>
                <w:rFonts w:ascii="Calibri" w:eastAsia="Times New Roman" w:hAnsi="Calibri" w:cs="Calibri"/>
                <w:color w:val="000000"/>
                <w:lang w:eastAsia="en-GB"/>
              </w:rPr>
              <w:t>O'Connor</w:t>
            </w:r>
          </w:p>
        </w:tc>
        <w:tc>
          <w:tcPr>
            <w:tcW w:w="1100" w:type="dxa"/>
            <w:shd w:val="clear" w:color="auto" w:fill="auto"/>
            <w:vAlign w:val="center"/>
            <w:hideMark/>
          </w:tcPr>
          <w:p w14:paraId="1B8DBA35" w14:textId="77777777" w:rsidR="004F3EBA" w:rsidRPr="00897BEE" w:rsidRDefault="004F3EBA" w:rsidP="004F3EBA">
            <w:pPr>
              <w:spacing w:after="0" w:line="240" w:lineRule="auto"/>
              <w:rPr>
                <w:rFonts w:ascii="Calibri" w:eastAsia="Times New Roman" w:hAnsi="Calibri" w:cs="Calibri"/>
                <w:color w:val="000000"/>
                <w:lang w:eastAsia="en-GB"/>
              </w:rPr>
            </w:pPr>
            <w:r w:rsidRPr="00897BEE">
              <w:rPr>
                <w:rFonts w:ascii="Calibri" w:eastAsia="Times New Roman" w:hAnsi="Calibri" w:cs="Calibri"/>
                <w:color w:val="000000"/>
                <w:lang w:eastAsia="en-GB"/>
              </w:rPr>
              <w:t>O'Connor</w:t>
            </w:r>
          </w:p>
        </w:tc>
        <w:tc>
          <w:tcPr>
            <w:tcW w:w="1100" w:type="dxa"/>
            <w:shd w:val="clear" w:color="auto" w:fill="auto"/>
            <w:vAlign w:val="center"/>
            <w:hideMark/>
          </w:tcPr>
          <w:p w14:paraId="272D4F28" w14:textId="77777777" w:rsidR="004F3EBA" w:rsidRPr="00897BEE" w:rsidRDefault="004F3EBA" w:rsidP="004F3EBA">
            <w:pPr>
              <w:spacing w:after="0" w:line="240" w:lineRule="auto"/>
              <w:rPr>
                <w:rFonts w:ascii="Calibri" w:eastAsia="Times New Roman" w:hAnsi="Calibri" w:cs="Calibri"/>
                <w:color w:val="000000"/>
                <w:lang w:eastAsia="en-GB"/>
              </w:rPr>
            </w:pPr>
            <w:r w:rsidRPr="00897BEE">
              <w:rPr>
                <w:rFonts w:ascii="Calibri" w:eastAsia="Times New Roman" w:hAnsi="Calibri" w:cs="Calibri"/>
                <w:color w:val="000000"/>
                <w:lang w:eastAsia="en-GB"/>
              </w:rPr>
              <w:t>O'Sullivan</w:t>
            </w:r>
          </w:p>
        </w:tc>
        <w:tc>
          <w:tcPr>
            <w:tcW w:w="1249" w:type="dxa"/>
            <w:shd w:val="clear" w:color="auto" w:fill="auto"/>
            <w:vAlign w:val="center"/>
            <w:hideMark/>
          </w:tcPr>
          <w:p w14:paraId="10428B73" w14:textId="77777777" w:rsidR="004F3EBA" w:rsidRPr="00897BEE" w:rsidRDefault="004F3EBA" w:rsidP="004F3EBA">
            <w:pPr>
              <w:spacing w:after="0" w:line="240" w:lineRule="auto"/>
              <w:rPr>
                <w:rFonts w:ascii="Calibri" w:eastAsia="Times New Roman" w:hAnsi="Calibri" w:cs="Calibri"/>
                <w:color w:val="000000"/>
                <w:lang w:eastAsia="en-GB"/>
              </w:rPr>
            </w:pPr>
            <w:r w:rsidRPr="00897BEE">
              <w:rPr>
                <w:rFonts w:ascii="Calibri" w:eastAsia="Times New Roman" w:hAnsi="Calibri" w:cs="Calibri"/>
                <w:color w:val="000000"/>
                <w:lang w:eastAsia="en-GB"/>
              </w:rPr>
              <w:t>Tangiisuran</w:t>
            </w:r>
          </w:p>
        </w:tc>
      </w:tr>
      <w:tr w:rsidR="004F3EBA" w:rsidRPr="00897BEE" w14:paraId="44663324" w14:textId="77777777" w:rsidTr="00897BEE">
        <w:trPr>
          <w:trHeight w:val="290"/>
        </w:trPr>
        <w:tc>
          <w:tcPr>
            <w:tcW w:w="1980" w:type="dxa"/>
            <w:shd w:val="clear" w:color="auto" w:fill="auto"/>
            <w:vAlign w:val="bottom"/>
            <w:hideMark/>
          </w:tcPr>
          <w:p w14:paraId="0020875C" w14:textId="77777777" w:rsidR="004F3EBA" w:rsidRPr="00897BEE" w:rsidRDefault="004F3EBA" w:rsidP="004F3EBA">
            <w:pPr>
              <w:spacing w:after="0" w:line="240" w:lineRule="auto"/>
              <w:rPr>
                <w:rFonts w:ascii="Calibri" w:eastAsia="Times New Roman" w:hAnsi="Calibri" w:cs="Calibri"/>
                <w:b/>
                <w:bCs/>
                <w:color w:val="000000"/>
                <w:u w:val="single"/>
                <w:lang w:eastAsia="en-GB"/>
              </w:rPr>
            </w:pPr>
            <w:r w:rsidRPr="00897BEE">
              <w:rPr>
                <w:rFonts w:ascii="Calibri" w:eastAsia="Times New Roman" w:hAnsi="Calibri" w:cs="Calibri"/>
                <w:b/>
                <w:bCs/>
                <w:color w:val="000000"/>
                <w:u w:val="single"/>
                <w:lang w:eastAsia="en-GB"/>
              </w:rPr>
              <w:t>Year</w:t>
            </w:r>
          </w:p>
        </w:tc>
        <w:tc>
          <w:tcPr>
            <w:tcW w:w="1100" w:type="dxa"/>
            <w:shd w:val="clear" w:color="auto" w:fill="auto"/>
            <w:vAlign w:val="center"/>
            <w:hideMark/>
          </w:tcPr>
          <w:p w14:paraId="7AF57CA8" w14:textId="77777777" w:rsidR="004F3EBA" w:rsidRPr="00897BEE" w:rsidRDefault="004F3EBA" w:rsidP="004F3EBA">
            <w:pPr>
              <w:spacing w:after="0" w:line="240" w:lineRule="auto"/>
              <w:jc w:val="right"/>
              <w:rPr>
                <w:rFonts w:ascii="Calibri" w:eastAsia="Times New Roman" w:hAnsi="Calibri" w:cs="Calibri"/>
                <w:color w:val="000000"/>
                <w:lang w:eastAsia="en-GB"/>
              </w:rPr>
            </w:pPr>
            <w:r w:rsidRPr="00897BEE">
              <w:rPr>
                <w:rFonts w:ascii="Calibri" w:eastAsia="Times New Roman" w:hAnsi="Calibri" w:cs="Calibri"/>
                <w:color w:val="000000"/>
                <w:lang w:eastAsia="en-GB"/>
              </w:rPr>
              <w:t>2012</w:t>
            </w:r>
          </w:p>
        </w:tc>
        <w:tc>
          <w:tcPr>
            <w:tcW w:w="1100" w:type="dxa"/>
            <w:shd w:val="clear" w:color="auto" w:fill="auto"/>
            <w:vAlign w:val="center"/>
            <w:hideMark/>
          </w:tcPr>
          <w:p w14:paraId="36BC27A1" w14:textId="77777777" w:rsidR="004F3EBA" w:rsidRPr="00897BEE" w:rsidRDefault="004F3EBA" w:rsidP="004F3EBA">
            <w:pPr>
              <w:spacing w:after="0" w:line="240" w:lineRule="auto"/>
              <w:jc w:val="right"/>
              <w:rPr>
                <w:rFonts w:ascii="Calibri" w:eastAsia="Times New Roman" w:hAnsi="Calibri" w:cs="Calibri"/>
                <w:color w:val="000000"/>
                <w:lang w:eastAsia="en-GB"/>
              </w:rPr>
            </w:pPr>
            <w:r w:rsidRPr="00897BEE">
              <w:rPr>
                <w:rFonts w:ascii="Calibri" w:eastAsia="Times New Roman" w:hAnsi="Calibri" w:cs="Calibri"/>
                <w:color w:val="000000"/>
                <w:lang w:eastAsia="en-GB"/>
              </w:rPr>
              <w:t>2009</w:t>
            </w:r>
          </w:p>
        </w:tc>
        <w:tc>
          <w:tcPr>
            <w:tcW w:w="1100" w:type="dxa"/>
            <w:shd w:val="clear" w:color="auto" w:fill="auto"/>
            <w:vAlign w:val="center"/>
            <w:hideMark/>
          </w:tcPr>
          <w:p w14:paraId="6B49113F" w14:textId="77777777" w:rsidR="004F3EBA" w:rsidRPr="00897BEE" w:rsidRDefault="004F3EBA" w:rsidP="004F3EBA">
            <w:pPr>
              <w:spacing w:after="0" w:line="240" w:lineRule="auto"/>
              <w:jc w:val="right"/>
              <w:rPr>
                <w:rFonts w:ascii="Calibri" w:eastAsia="Times New Roman" w:hAnsi="Calibri" w:cs="Calibri"/>
                <w:color w:val="000000"/>
                <w:lang w:eastAsia="en-GB"/>
              </w:rPr>
            </w:pPr>
            <w:r w:rsidRPr="00897BEE">
              <w:rPr>
                <w:rFonts w:ascii="Calibri" w:eastAsia="Times New Roman" w:hAnsi="Calibri" w:cs="Calibri"/>
                <w:color w:val="000000"/>
                <w:lang w:eastAsia="en-GB"/>
              </w:rPr>
              <w:t>2013</w:t>
            </w:r>
          </w:p>
        </w:tc>
        <w:tc>
          <w:tcPr>
            <w:tcW w:w="1100" w:type="dxa"/>
            <w:shd w:val="clear" w:color="auto" w:fill="auto"/>
            <w:vAlign w:val="center"/>
            <w:hideMark/>
          </w:tcPr>
          <w:p w14:paraId="6D277BD8" w14:textId="77777777" w:rsidR="004F3EBA" w:rsidRPr="00897BEE" w:rsidRDefault="004F3EBA" w:rsidP="004F3EBA">
            <w:pPr>
              <w:spacing w:after="0" w:line="240" w:lineRule="auto"/>
              <w:jc w:val="right"/>
              <w:rPr>
                <w:rFonts w:ascii="Calibri" w:eastAsia="Times New Roman" w:hAnsi="Calibri" w:cs="Calibri"/>
                <w:color w:val="000000"/>
                <w:lang w:eastAsia="en-GB"/>
              </w:rPr>
            </w:pPr>
            <w:r w:rsidRPr="00897BEE">
              <w:rPr>
                <w:rFonts w:ascii="Calibri" w:eastAsia="Times New Roman" w:hAnsi="Calibri" w:cs="Calibri"/>
                <w:color w:val="000000"/>
                <w:lang w:eastAsia="en-GB"/>
              </w:rPr>
              <w:t>2016</w:t>
            </w:r>
          </w:p>
        </w:tc>
        <w:tc>
          <w:tcPr>
            <w:tcW w:w="1100" w:type="dxa"/>
            <w:shd w:val="clear" w:color="auto" w:fill="auto"/>
            <w:vAlign w:val="center"/>
            <w:hideMark/>
          </w:tcPr>
          <w:p w14:paraId="1EC70548" w14:textId="77777777" w:rsidR="004F3EBA" w:rsidRPr="00897BEE" w:rsidRDefault="004F3EBA" w:rsidP="004F3EBA">
            <w:pPr>
              <w:spacing w:after="0" w:line="240" w:lineRule="auto"/>
              <w:jc w:val="right"/>
              <w:rPr>
                <w:rFonts w:ascii="Calibri" w:eastAsia="Times New Roman" w:hAnsi="Calibri" w:cs="Calibri"/>
                <w:color w:val="000000"/>
                <w:lang w:eastAsia="en-GB"/>
              </w:rPr>
            </w:pPr>
            <w:r w:rsidRPr="00897BEE">
              <w:rPr>
                <w:rFonts w:ascii="Calibri" w:eastAsia="Times New Roman" w:hAnsi="Calibri" w:cs="Calibri"/>
                <w:color w:val="000000"/>
                <w:lang w:eastAsia="en-GB"/>
              </w:rPr>
              <w:t>2012</w:t>
            </w:r>
          </w:p>
        </w:tc>
        <w:tc>
          <w:tcPr>
            <w:tcW w:w="1100" w:type="dxa"/>
            <w:shd w:val="clear" w:color="auto" w:fill="auto"/>
            <w:vAlign w:val="center"/>
            <w:hideMark/>
          </w:tcPr>
          <w:p w14:paraId="54225FB7" w14:textId="77777777" w:rsidR="004F3EBA" w:rsidRPr="00897BEE" w:rsidRDefault="004F3EBA" w:rsidP="004F3EBA">
            <w:pPr>
              <w:spacing w:after="0" w:line="240" w:lineRule="auto"/>
              <w:jc w:val="right"/>
              <w:rPr>
                <w:rFonts w:ascii="Calibri" w:eastAsia="Times New Roman" w:hAnsi="Calibri" w:cs="Calibri"/>
                <w:color w:val="000000"/>
                <w:lang w:eastAsia="en-GB"/>
              </w:rPr>
            </w:pPr>
            <w:r w:rsidRPr="00897BEE">
              <w:rPr>
                <w:rFonts w:ascii="Calibri" w:eastAsia="Times New Roman" w:hAnsi="Calibri" w:cs="Calibri"/>
                <w:color w:val="000000"/>
                <w:lang w:eastAsia="en-GB"/>
              </w:rPr>
              <w:t>2016</w:t>
            </w:r>
          </w:p>
        </w:tc>
        <w:tc>
          <w:tcPr>
            <w:tcW w:w="1249" w:type="dxa"/>
            <w:shd w:val="clear" w:color="auto" w:fill="auto"/>
            <w:vAlign w:val="center"/>
            <w:hideMark/>
          </w:tcPr>
          <w:p w14:paraId="45BED109" w14:textId="77777777" w:rsidR="004F3EBA" w:rsidRPr="00897BEE" w:rsidRDefault="004F3EBA" w:rsidP="004F3EBA">
            <w:pPr>
              <w:spacing w:after="0" w:line="240" w:lineRule="auto"/>
              <w:jc w:val="right"/>
              <w:rPr>
                <w:rFonts w:ascii="Calibri" w:eastAsia="Times New Roman" w:hAnsi="Calibri" w:cs="Calibri"/>
                <w:color w:val="000000"/>
                <w:lang w:eastAsia="en-GB"/>
              </w:rPr>
            </w:pPr>
            <w:r w:rsidRPr="00897BEE">
              <w:rPr>
                <w:rFonts w:ascii="Calibri" w:eastAsia="Times New Roman" w:hAnsi="Calibri" w:cs="Calibri"/>
                <w:color w:val="000000"/>
                <w:lang w:eastAsia="en-GB"/>
              </w:rPr>
              <w:t>2012</w:t>
            </w:r>
          </w:p>
        </w:tc>
      </w:tr>
      <w:tr w:rsidR="004F3EBA" w:rsidRPr="00897BEE" w14:paraId="4E696501" w14:textId="77777777" w:rsidTr="00897BEE">
        <w:trPr>
          <w:trHeight w:val="290"/>
        </w:trPr>
        <w:tc>
          <w:tcPr>
            <w:tcW w:w="1980" w:type="dxa"/>
            <w:shd w:val="clear" w:color="auto" w:fill="auto"/>
            <w:noWrap/>
            <w:vAlign w:val="bottom"/>
            <w:hideMark/>
          </w:tcPr>
          <w:p w14:paraId="1FC4C2FF" w14:textId="77777777" w:rsidR="004F3EBA" w:rsidRPr="00897BEE" w:rsidRDefault="004F3EBA" w:rsidP="004F3EBA">
            <w:pPr>
              <w:spacing w:after="0" w:line="240" w:lineRule="auto"/>
              <w:rPr>
                <w:rFonts w:ascii="Calibri" w:eastAsia="Times New Roman" w:hAnsi="Calibri" w:cs="Calibri"/>
                <w:color w:val="000000"/>
                <w:lang w:eastAsia="en-GB"/>
              </w:rPr>
            </w:pPr>
            <w:r w:rsidRPr="00897BEE">
              <w:rPr>
                <w:rFonts w:ascii="Calibri" w:eastAsia="Times New Roman" w:hAnsi="Calibri" w:cs="Calibri"/>
                <w:color w:val="000000"/>
                <w:lang w:eastAsia="en-GB"/>
              </w:rPr>
              <w:t>LOS ADR</w:t>
            </w:r>
          </w:p>
        </w:tc>
        <w:tc>
          <w:tcPr>
            <w:tcW w:w="1100" w:type="dxa"/>
            <w:shd w:val="clear" w:color="auto" w:fill="auto"/>
            <w:noWrap/>
            <w:vAlign w:val="bottom"/>
            <w:hideMark/>
          </w:tcPr>
          <w:p w14:paraId="5A797F16" w14:textId="77777777" w:rsidR="004F3EBA" w:rsidRPr="00897BEE" w:rsidRDefault="004F3EBA" w:rsidP="004F3EBA">
            <w:pPr>
              <w:spacing w:after="0" w:line="240" w:lineRule="auto"/>
              <w:jc w:val="right"/>
              <w:rPr>
                <w:rFonts w:ascii="Calibri" w:eastAsia="Times New Roman" w:hAnsi="Calibri" w:cs="Calibri"/>
                <w:color w:val="000000"/>
                <w:lang w:eastAsia="en-GB"/>
              </w:rPr>
            </w:pPr>
            <w:r w:rsidRPr="00897BEE">
              <w:rPr>
                <w:rFonts w:ascii="Calibri" w:eastAsia="Times New Roman" w:hAnsi="Calibri" w:cs="Calibri"/>
                <w:color w:val="000000"/>
                <w:lang w:eastAsia="en-GB"/>
              </w:rPr>
              <w:t>18.7</w:t>
            </w:r>
          </w:p>
        </w:tc>
        <w:tc>
          <w:tcPr>
            <w:tcW w:w="1100" w:type="dxa"/>
            <w:shd w:val="clear" w:color="auto" w:fill="auto"/>
            <w:noWrap/>
            <w:vAlign w:val="bottom"/>
            <w:hideMark/>
          </w:tcPr>
          <w:p w14:paraId="020D4FA7" w14:textId="77777777" w:rsidR="004F3EBA" w:rsidRPr="00897BEE" w:rsidRDefault="004F3EBA" w:rsidP="004F3EBA">
            <w:pPr>
              <w:spacing w:after="0" w:line="240" w:lineRule="auto"/>
              <w:rPr>
                <w:rFonts w:ascii="Calibri" w:eastAsia="Times New Roman" w:hAnsi="Calibri" w:cs="Calibri"/>
                <w:color w:val="000000"/>
                <w:lang w:eastAsia="en-GB"/>
              </w:rPr>
            </w:pPr>
            <w:r w:rsidRPr="00897BEE">
              <w:rPr>
                <w:rFonts w:ascii="Calibri" w:eastAsia="Times New Roman" w:hAnsi="Calibri" w:cs="Calibri"/>
                <w:color w:val="000000"/>
                <w:lang w:eastAsia="en-GB"/>
              </w:rPr>
              <w:t>Median 22</w:t>
            </w:r>
          </w:p>
        </w:tc>
        <w:tc>
          <w:tcPr>
            <w:tcW w:w="1100" w:type="dxa"/>
            <w:shd w:val="clear" w:color="auto" w:fill="auto"/>
            <w:noWrap/>
            <w:vAlign w:val="bottom"/>
            <w:hideMark/>
          </w:tcPr>
          <w:p w14:paraId="53B57948" w14:textId="77777777" w:rsidR="004F3EBA" w:rsidRPr="00897BEE" w:rsidRDefault="004F3EBA" w:rsidP="004F3EBA">
            <w:pPr>
              <w:spacing w:after="0" w:line="240" w:lineRule="auto"/>
              <w:jc w:val="right"/>
              <w:rPr>
                <w:rFonts w:ascii="Calibri" w:eastAsia="Times New Roman" w:hAnsi="Calibri" w:cs="Calibri"/>
                <w:color w:val="000000"/>
                <w:lang w:eastAsia="en-GB"/>
              </w:rPr>
            </w:pPr>
            <w:r w:rsidRPr="00897BEE">
              <w:rPr>
                <w:rFonts w:ascii="Calibri" w:eastAsia="Times New Roman" w:hAnsi="Calibri" w:cs="Calibri"/>
                <w:color w:val="000000"/>
                <w:lang w:eastAsia="en-GB"/>
              </w:rPr>
              <w:t>9.2</w:t>
            </w:r>
          </w:p>
        </w:tc>
        <w:tc>
          <w:tcPr>
            <w:tcW w:w="1100" w:type="dxa"/>
            <w:shd w:val="clear" w:color="auto" w:fill="auto"/>
            <w:noWrap/>
            <w:vAlign w:val="bottom"/>
            <w:hideMark/>
          </w:tcPr>
          <w:p w14:paraId="73FAA129" w14:textId="77777777" w:rsidR="004F3EBA" w:rsidRPr="00897BEE" w:rsidRDefault="004F3EBA" w:rsidP="004F3EBA">
            <w:pPr>
              <w:spacing w:after="0" w:line="240" w:lineRule="auto"/>
              <w:jc w:val="right"/>
              <w:rPr>
                <w:rFonts w:ascii="Calibri" w:eastAsia="Times New Roman" w:hAnsi="Calibri" w:cs="Calibri"/>
                <w:color w:val="000000"/>
                <w:lang w:eastAsia="en-GB"/>
              </w:rPr>
            </w:pPr>
            <w:r w:rsidRPr="00897BEE">
              <w:rPr>
                <w:rFonts w:ascii="Calibri" w:eastAsia="Times New Roman" w:hAnsi="Calibri" w:cs="Calibri"/>
                <w:color w:val="000000"/>
                <w:lang w:eastAsia="en-GB"/>
              </w:rPr>
              <w:t>10</w:t>
            </w:r>
          </w:p>
        </w:tc>
        <w:tc>
          <w:tcPr>
            <w:tcW w:w="1100" w:type="dxa"/>
            <w:shd w:val="clear" w:color="auto" w:fill="auto"/>
            <w:noWrap/>
            <w:vAlign w:val="bottom"/>
            <w:hideMark/>
          </w:tcPr>
          <w:p w14:paraId="7105A936" w14:textId="77777777" w:rsidR="004F3EBA" w:rsidRPr="00897BEE" w:rsidRDefault="004F3EBA" w:rsidP="004F3EBA">
            <w:pPr>
              <w:spacing w:after="0" w:line="240" w:lineRule="auto"/>
              <w:rPr>
                <w:rFonts w:ascii="Calibri" w:eastAsia="Times New Roman" w:hAnsi="Calibri" w:cs="Calibri"/>
                <w:color w:val="000000"/>
                <w:lang w:eastAsia="en-GB"/>
              </w:rPr>
            </w:pPr>
            <w:r w:rsidRPr="00897BEE">
              <w:rPr>
                <w:rFonts w:ascii="Calibri" w:eastAsia="Times New Roman" w:hAnsi="Calibri" w:cs="Calibri"/>
                <w:color w:val="000000"/>
                <w:lang w:eastAsia="en-GB"/>
              </w:rPr>
              <w:t>median 12</w:t>
            </w:r>
          </w:p>
        </w:tc>
        <w:tc>
          <w:tcPr>
            <w:tcW w:w="1100" w:type="dxa"/>
            <w:shd w:val="clear" w:color="auto" w:fill="auto"/>
            <w:noWrap/>
            <w:vAlign w:val="bottom"/>
            <w:hideMark/>
          </w:tcPr>
          <w:p w14:paraId="01397E9F" w14:textId="1C68F038" w:rsidR="004F3EBA" w:rsidRPr="00897BEE" w:rsidRDefault="00B15306" w:rsidP="004F3EBA">
            <w:pPr>
              <w:spacing w:after="0" w:line="240" w:lineRule="auto"/>
              <w:jc w:val="right"/>
              <w:rPr>
                <w:rFonts w:ascii="Calibri" w:eastAsia="Times New Roman" w:hAnsi="Calibri" w:cs="Calibri"/>
                <w:color w:val="000000"/>
                <w:lang w:eastAsia="en-GB"/>
              </w:rPr>
            </w:pPr>
            <w:r w:rsidRPr="00897BEE">
              <w:rPr>
                <w:rFonts w:ascii="Calibri" w:eastAsia="Times New Roman" w:hAnsi="Calibri" w:cs="Calibri"/>
                <w:color w:val="000000"/>
                <w:lang w:eastAsia="en-GB"/>
              </w:rPr>
              <w:t>11</w:t>
            </w:r>
          </w:p>
        </w:tc>
        <w:tc>
          <w:tcPr>
            <w:tcW w:w="1249" w:type="dxa"/>
            <w:shd w:val="clear" w:color="auto" w:fill="auto"/>
            <w:noWrap/>
            <w:vAlign w:val="bottom"/>
            <w:hideMark/>
          </w:tcPr>
          <w:p w14:paraId="15BB52EF" w14:textId="77777777" w:rsidR="004F3EBA" w:rsidRPr="00897BEE" w:rsidRDefault="004F3EBA" w:rsidP="004F3EBA">
            <w:pPr>
              <w:spacing w:after="0" w:line="240" w:lineRule="auto"/>
              <w:jc w:val="right"/>
              <w:rPr>
                <w:rFonts w:ascii="Calibri" w:eastAsia="Times New Roman" w:hAnsi="Calibri" w:cs="Calibri"/>
                <w:color w:val="000000"/>
                <w:lang w:eastAsia="en-GB"/>
              </w:rPr>
            </w:pPr>
            <w:r w:rsidRPr="00897BEE">
              <w:rPr>
                <w:rFonts w:ascii="Calibri" w:eastAsia="Times New Roman" w:hAnsi="Calibri" w:cs="Calibri"/>
                <w:color w:val="000000"/>
                <w:lang w:eastAsia="en-GB"/>
              </w:rPr>
              <w:t>14</w:t>
            </w:r>
          </w:p>
        </w:tc>
      </w:tr>
      <w:tr w:rsidR="004F3EBA" w:rsidRPr="00897BEE" w14:paraId="1E0BA6D9" w14:textId="77777777" w:rsidTr="00897BEE">
        <w:trPr>
          <w:trHeight w:val="290"/>
        </w:trPr>
        <w:tc>
          <w:tcPr>
            <w:tcW w:w="1980" w:type="dxa"/>
            <w:shd w:val="clear" w:color="auto" w:fill="auto"/>
            <w:noWrap/>
            <w:vAlign w:val="bottom"/>
            <w:hideMark/>
          </w:tcPr>
          <w:p w14:paraId="3C54B5F6" w14:textId="77777777" w:rsidR="004F3EBA" w:rsidRPr="00897BEE" w:rsidRDefault="004F3EBA" w:rsidP="004F3EBA">
            <w:pPr>
              <w:spacing w:after="0" w:line="240" w:lineRule="auto"/>
              <w:rPr>
                <w:rFonts w:ascii="Calibri" w:eastAsia="Times New Roman" w:hAnsi="Calibri" w:cs="Calibri"/>
                <w:color w:val="000000"/>
                <w:lang w:eastAsia="en-GB"/>
              </w:rPr>
            </w:pPr>
            <w:r w:rsidRPr="00897BEE">
              <w:rPr>
                <w:rFonts w:ascii="Calibri" w:eastAsia="Times New Roman" w:hAnsi="Calibri" w:cs="Calibri"/>
                <w:color w:val="000000"/>
                <w:lang w:eastAsia="en-GB"/>
              </w:rPr>
              <w:t>SD LOS ADR</w:t>
            </w:r>
          </w:p>
        </w:tc>
        <w:tc>
          <w:tcPr>
            <w:tcW w:w="1100" w:type="dxa"/>
            <w:shd w:val="clear" w:color="auto" w:fill="auto"/>
            <w:noWrap/>
            <w:vAlign w:val="bottom"/>
            <w:hideMark/>
          </w:tcPr>
          <w:p w14:paraId="18D57164" w14:textId="77777777" w:rsidR="004F3EBA" w:rsidRPr="00897BEE" w:rsidRDefault="004F3EBA" w:rsidP="004F3EBA">
            <w:pPr>
              <w:spacing w:after="0" w:line="240" w:lineRule="auto"/>
              <w:rPr>
                <w:rFonts w:ascii="Calibri" w:eastAsia="Times New Roman" w:hAnsi="Calibri" w:cs="Calibri"/>
                <w:color w:val="000000"/>
                <w:lang w:eastAsia="en-GB"/>
              </w:rPr>
            </w:pPr>
          </w:p>
        </w:tc>
        <w:tc>
          <w:tcPr>
            <w:tcW w:w="1100" w:type="dxa"/>
            <w:shd w:val="clear" w:color="auto" w:fill="auto"/>
            <w:noWrap/>
            <w:vAlign w:val="bottom"/>
            <w:hideMark/>
          </w:tcPr>
          <w:p w14:paraId="4F6BC6B2" w14:textId="77777777" w:rsidR="004F3EBA" w:rsidRPr="00897BEE" w:rsidRDefault="004F3EBA" w:rsidP="004F3EBA">
            <w:pPr>
              <w:spacing w:after="0" w:line="240" w:lineRule="auto"/>
              <w:rPr>
                <w:rFonts w:ascii="Times New Roman" w:eastAsia="Times New Roman" w:hAnsi="Times New Roman" w:cs="Times New Roman"/>
                <w:lang w:eastAsia="en-GB"/>
              </w:rPr>
            </w:pPr>
          </w:p>
        </w:tc>
        <w:tc>
          <w:tcPr>
            <w:tcW w:w="1100" w:type="dxa"/>
            <w:shd w:val="clear" w:color="auto" w:fill="auto"/>
            <w:noWrap/>
            <w:vAlign w:val="bottom"/>
            <w:hideMark/>
          </w:tcPr>
          <w:p w14:paraId="74B26B6F" w14:textId="77777777" w:rsidR="004F3EBA" w:rsidRPr="00897BEE" w:rsidRDefault="004F3EBA" w:rsidP="004F3EBA">
            <w:pPr>
              <w:spacing w:after="0" w:line="240" w:lineRule="auto"/>
              <w:jc w:val="right"/>
              <w:rPr>
                <w:rFonts w:ascii="Calibri" w:eastAsia="Times New Roman" w:hAnsi="Calibri" w:cs="Calibri"/>
                <w:color w:val="000000"/>
                <w:lang w:eastAsia="en-GB"/>
              </w:rPr>
            </w:pPr>
            <w:r w:rsidRPr="00897BEE">
              <w:rPr>
                <w:rFonts w:ascii="Calibri" w:eastAsia="Times New Roman" w:hAnsi="Calibri" w:cs="Calibri"/>
                <w:color w:val="000000"/>
                <w:lang w:eastAsia="en-GB"/>
              </w:rPr>
              <w:t>3.4</w:t>
            </w:r>
          </w:p>
        </w:tc>
        <w:tc>
          <w:tcPr>
            <w:tcW w:w="1100" w:type="dxa"/>
            <w:shd w:val="clear" w:color="auto" w:fill="auto"/>
            <w:noWrap/>
            <w:vAlign w:val="bottom"/>
            <w:hideMark/>
          </w:tcPr>
          <w:p w14:paraId="7BD07A2E" w14:textId="77777777" w:rsidR="004F3EBA" w:rsidRPr="00897BEE" w:rsidRDefault="004F3EBA" w:rsidP="004F3EBA">
            <w:pPr>
              <w:spacing w:after="0" w:line="240" w:lineRule="auto"/>
              <w:jc w:val="right"/>
              <w:rPr>
                <w:rFonts w:ascii="Calibri" w:eastAsia="Times New Roman" w:hAnsi="Calibri" w:cs="Calibri"/>
                <w:color w:val="000000"/>
                <w:lang w:eastAsia="en-GB"/>
              </w:rPr>
            </w:pPr>
          </w:p>
        </w:tc>
        <w:tc>
          <w:tcPr>
            <w:tcW w:w="1100" w:type="dxa"/>
            <w:shd w:val="clear" w:color="auto" w:fill="auto"/>
            <w:noWrap/>
            <w:vAlign w:val="bottom"/>
            <w:hideMark/>
          </w:tcPr>
          <w:p w14:paraId="07EC3678" w14:textId="77777777" w:rsidR="004F3EBA" w:rsidRPr="00897BEE" w:rsidRDefault="004F3EBA" w:rsidP="004F3EBA">
            <w:pPr>
              <w:spacing w:after="0" w:line="240" w:lineRule="auto"/>
              <w:rPr>
                <w:rFonts w:ascii="Times New Roman" w:eastAsia="Times New Roman" w:hAnsi="Times New Roman" w:cs="Times New Roman"/>
                <w:lang w:eastAsia="en-GB"/>
              </w:rPr>
            </w:pPr>
          </w:p>
        </w:tc>
        <w:tc>
          <w:tcPr>
            <w:tcW w:w="1100" w:type="dxa"/>
            <w:shd w:val="clear" w:color="auto" w:fill="auto"/>
            <w:noWrap/>
            <w:vAlign w:val="bottom"/>
            <w:hideMark/>
          </w:tcPr>
          <w:p w14:paraId="0BF24189" w14:textId="77777777" w:rsidR="004F3EBA" w:rsidRPr="00897BEE" w:rsidRDefault="004F3EBA" w:rsidP="004F3EBA">
            <w:pPr>
              <w:spacing w:after="0" w:line="240" w:lineRule="auto"/>
              <w:rPr>
                <w:rFonts w:ascii="Times New Roman" w:eastAsia="Times New Roman" w:hAnsi="Times New Roman" w:cs="Times New Roman"/>
                <w:lang w:eastAsia="en-GB"/>
              </w:rPr>
            </w:pPr>
          </w:p>
        </w:tc>
        <w:tc>
          <w:tcPr>
            <w:tcW w:w="1249" w:type="dxa"/>
            <w:shd w:val="clear" w:color="auto" w:fill="auto"/>
            <w:noWrap/>
            <w:vAlign w:val="bottom"/>
            <w:hideMark/>
          </w:tcPr>
          <w:p w14:paraId="67C8D120" w14:textId="77777777" w:rsidR="004F3EBA" w:rsidRPr="00897BEE" w:rsidRDefault="004F3EBA" w:rsidP="004F3EBA">
            <w:pPr>
              <w:spacing w:after="0" w:line="240" w:lineRule="auto"/>
              <w:rPr>
                <w:rFonts w:ascii="Times New Roman" w:eastAsia="Times New Roman" w:hAnsi="Times New Roman" w:cs="Times New Roman"/>
                <w:lang w:eastAsia="en-GB"/>
              </w:rPr>
            </w:pPr>
          </w:p>
        </w:tc>
      </w:tr>
      <w:tr w:rsidR="004F3EBA" w:rsidRPr="00897BEE" w14:paraId="75A1C22A" w14:textId="77777777" w:rsidTr="00897BEE">
        <w:trPr>
          <w:trHeight w:val="290"/>
        </w:trPr>
        <w:tc>
          <w:tcPr>
            <w:tcW w:w="1980" w:type="dxa"/>
            <w:shd w:val="clear" w:color="auto" w:fill="auto"/>
            <w:noWrap/>
            <w:vAlign w:val="bottom"/>
            <w:hideMark/>
          </w:tcPr>
          <w:p w14:paraId="400C8DBA" w14:textId="77777777" w:rsidR="004F3EBA" w:rsidRPr="00897BEE" w:rsidRDefault="004F3EBA" w:rsidP="004F3EBA">
            <w:pPr>
              <w:spacing w:after="0" w:line="240" w:lineRule="auto"/>
              <w:rPr>
                <w:rFonts w:ascii="Calibri" w:eastAsia="Times New Roman" w:hAnsi="Calibri" w:cs="Calibri"/>
                <w:color w:val="000000"/>
                <w:lang w:eastAsia="en-GB"/>
              </w:rPr>
            </w:pPr>
            <w:r w:rsidRPr="00897BEE">
              <w:rPr>
                <w:rFonts w:ascii="Calibri" w:eastAsia="Times New Roman" w:hAnsi="Calibri" w:cs="Calibri"/>
                <w:color w:val="000000"/>
                <w:lang w:eastAsia="en-GB"/>
              </w:rPr>
              <w:t>95% CI LOS ADR</w:t>
            </w:r>
          </w:p>
        </w:tc>
        <w:tc>
          <w:tcPr>
            <w:tcW w:w="1100" w:type="dxa"/>
            <w:shd w:val="clear" w:color="auto" w:fill="auto"/>
            <w:noWrap/>
            <w:vAlign w:val="bottom"/>
            <w:hideMark/>
          </w:tcPr>
          <w:p w14:paraId="3CA5E991" w14:textId="77777777" w:rsidR="004F3EBA" w:rsidRPr="00897BEE" w:rsidRDefault="004F3EBA" w:rsidP="004F3EBA">
            <w:pPr>
              <w:spacing w:after="0" w:line="240" w:lineRule="auto"/>
              <w:rPr>
                <w:rFonts w:ascii="Calibri" w:eastAsia="Times New Roman" w:hAnsi="Calibri" w:cs="Calibri"/>
                <w:color w:val="000000"/>
                <w:lang w:eastAsia="en-GB"/>
              </w:rPr>
            </w:pPr>
            <w:r w:rsidRPr="00897BEE">
              <w:rPr>
                <w:rFonts w:ascii="Calibri" w:eastAsia="Times New Roman" w:hAnsi="Calibri" w:cs="Calibri"/>
                <w:color w:val="000000"/>
                <w:lang w:eastAsia="en-GB"/>
              </w:rPr>
              <w:t>17.2-20.1</w:t>
            </w:r>
          </w:p>
        </w:tc>
        <w:tc>
          <w:tcPr>
            <w:tcW w:w="1100" w:type="dxa"/>
            <w:shd w:val="clear" w:color="auto" w:fill="auto"/>
            <w:noWrap/>
            <w:vAlign w:val="bottom"/>
            <w:hideMark/>
          </w:tcPr>
          <w:p w14:paraId="43FE4714" w14:textId="77777777" w:rsidR="004F3EBA" w:rsidRPr="00897BEE" w:rsidRDefault="004F3EBA" w:rsidP="004F3EBA">
            <w:pPr>
              <w:spacing w:after="0" w:line="240" w:lineRule="auto"/>
              <w:rPr>
                <w:rFonts w:ascii="Calibri" w:eastAsia="Times New Roman" w:hAnsi="Calibri" w:cs="Calibri"/>
                <w:color w:val="000000"/>
                <w:lang w:eastAsia="en-GB"/>
              </w:rPr>
            </w:pPr>
            <w:r w:rsidRPr="00897BEE">
              <w:rPr>
                <w:rFonts w:ascii="Calibri" w:eastAsia="Times New Roman" w:hAnsi="Calibri" w:cs="Calibri"/>
                <w:color w:val="000000"/>
                <w:lang w:eastAsia="en-GB"/>
              </w:rPr>
              <w:t>IQR 14-37</w:t>
            </w:r>
          </w:p>
        </w:tc>
        <w:tc>
          <w:tcPr>
            <w:tcW w:w="1100" w:type="dxa"/>
            <w:shd w:val="clear" w:color="auto" w:fill="auto"/>
            <w:noWrap/>
            <w:vAlign w:val="bottom"/>
            <w:hideMark/>
          </w:tcPr>
          <w:p w14:paraId="0CF99738" w14:textId="77777777" w:rsidR="004F3EBA" w:rsidRPr="00897BEE" w:rsidRDefault="004F3EBA" w:rsidP="004F3EBA">
            <w:pPr>
              <w:spacing w:after="0" w:line="240" w:lineRule="auto"/>
              <w:rPr>
                <w:rFonts w:ascii="Calibri" w:eastAsia="Times New Roman" w:hAnsi="Calibri" w:cs="Calibri"/>
                <w:color w:val="000000"/>
                <w:lang w:eastAsia="en-GB"/>
              </w:rPr>
            </w:pPr>
          </w:p>
        </w:tc>
        <w:tc>
          <w:tcPr>
            <w:tcW w:w="1100" w:type="dxa"/>
            <w:shd w:val="clear" w:color="auto" w:fill="auto"/>
            <w:noWrap/>
            <w:vAlign w:val="bottom"/>
            <w:hideMark/>
          </w:tcPr>
          <w:p w14:paraId="5E2B07B9" w14:textId="77777777" w:rsidR="004F3EBA" w:rsidRPr="00897BEE" w:rsidRDefault="004F3EBA" w:rsidP="004F3EBA">
            <w:pPr>
              <w:spacing w:after="0" w:line="240" w:lineRule="auto"/>
              <w:rPr>
                <w:rFonts w:ascii="Calibri" w:eastAsia="Times New Roman" w:hAnsi="Calibri" w:cs="Calibri"/>
                <w:color w:val="000000"/>
                <w:lang w:eastAsia="en-GB"/>
              </w:rPr>
            </w:pPr>
            <w:r w:rsidRPr="00897BEE">
              <w:rPr>
                <w:rFonts w:ascii="Calibri" w:eastAsia="Times New Roman" w:hAnsi="Calibri" w:cs="Calibri"/>
                <w:color w:val="000000"/>
                <w:lang w:eastAsia="en-GB"/>
              </w:rPr>
              <w:t>IQR 6-17</w:t>
            </w:r>
          </w:p>
        </w:tc>
        <w:tc>
          <w:tcPr>
            <w:tcW w:w="1100" w:type="dxa"/>
            <w:shd w:val="clear" w:color="auto" w:fill="auto"/>
            <w:noWrap/>
            <w:vAlign w:val="bottom"/>
            <w:hideMark/>
          </w:tcPr>
          <w:p w14:paraId="33D42FE1" w14:textId="77777777" w:rsidR="004F3EBA" w:rsidRPr="00897BEE" w:rsidRDefault="004F3EBA" w:rsidP="004F3EBA">
            <w:pPr>
              <w:spacing w:after="0" w:line="240" w:lineRule="auto"/>
              <w:rPr>
                <w:rFonts w:ascii="Calibri" w:eastAsia="Times New Roman" w:hAnsi="Calibri" w:cs="Calibri"/>
                <w:color w:val="000000"/>
                <w:lang w:eastAsia="en-GB"/>
              </w:rPr>
            </w:pPr>
          </w:p>
        </w:tc>
        <w:tc>
          <w:tcPr>
            <w:tcW w:w="1100" w:type="dxa"/>
            <w:shd w:val="clear" w:color="auto" w:fill="auto"/>
            <w:noWrap/>
            <w:vAlign w:val="bottom"/>
            <w:hideMark/>
          </w:tcPr>
          <w:p w14:paraId="6E3DA540" w14:textId="77777777" w:rsidR="004F3EBA" w:rsidRPr="00897BEE" w:rsidRDefault="004F3EBA" w:rsidP="004F3EBA">
            <w:pPr>
              <w:spacing w:after="0" w:line="240" w:lineRule="auto"/>
              <w:rPr>
                <w:rFonts w:ascii="Calibri" w:eastAsia="Times New Roman" w:hAnsi="Calibri" w:cs="Calibri"/>
                <w:color w:val="000000"/>
                <w:lang w:eastAsia="en-GB"/>
              </w:rPr>
            </w:pPr>
            <w:r w:rsidRPr="00897BEE">
              <w:rPr>
                <w:rFonts w:ascii="Calibri" w:eastAsia="Times New Roman" w:hAnsi="Calibri" w:cs="Calibri"/>
                <w:color w:val="000000"/>
                <w:lang w:eastAsia="en-GB"/>
              </w:rPr>
              <w:t>IQR 7-18</w:t>
            </w:r>
          </w:p>
        </w:tc>
        <w:tc>
          <w:tcPr>
            <w:tcW w:w="1249" w:type="dxa"/>
            <w:shd w:val="clear" w:color="auto" w:fill="auto"/>
            <w:noWrap/>
            <w:vAlign w:val="bottom"/>
            <w:hideMark/>
          </w:tcPr>
          <w:p w14:paraId="4DF97246" w14:textId="77777777" w:rsidR="004F3EBA" w:rsidRPr="00897BEE" w:rsidRDefault="004F3EBA" w:rsidP="004F3EBA">
            <w:pPr>
              <w:spacing w:after="0" w:line="240" w:lineRule="auto"/>
              <w:rPr>
                <w:rFonts w:ascii="Calibri" w:eastAsia="Times New Roman" w:hAnsi="Calibri" w:cs="Calibri"/>
                <w:color w:val="000000"/>
                <w:lang w:eastAsia="en-GB"/>
              </w:rPr>
            </w:pPr>
            <w:r w:rsidRPr="00897BEE">
              <w:rPr>
                <w:rFonts w:ascii="Calibri" w:eastAsia="Times New Roman" w:hAnsi="Calibri" w:cs="Calibri"/>
                <w:color w:val="000000"/>
                <w:lang w:eastAsia="en-GB"/>
              </w:rPr>
              <w:t>IQR 10-26.5</w:t>
            </w:r>
          </w:p>
        </w:tc>
      </w:tr>
      <w:tr w:rsidR="004F3EBA" w:rsidRPr="00897BEE" w14:paraId="0BFE9AEC" w14:textId="77777777" w:rsidTr="00897BEE">
        <w:trPr>
          <w:trHeight w:val="290"/>
        </w:trPr>
        <w:tc>
          <w:tcPr>
            <w:tcW w:w="1980" w:type="dxa"/>
            <w:shd w:val="clear" w:color="auto" w:fill="auto"/>
            <w:noWrap/>
            <w:vAlign w:val="bottom"/>
            <w:hideMark/>
          </w:tcPr>
          <w:p w14:paraId="59A2C42F" w14:textId="77777777" w:rsidR="004F3EBA" w:rsidRPr="00897BEE" w:rsidRDefault="004F3EBA" w:rsidP="004F3EBA">
            <w:pPr>
              <w:spacing w:after="0" w:line="240" w:lineRule="auto"/>
              <w:rPr>
                <w:rFonts w:ascii="Calibri" w:eastAsia="Times New Roman" w:hAnsi="Calibri" w:cs="Calibri"/>
                <w:color w:val="000000"/>
                <w:lang w:eastAsia="en-GB"/>
              </w:rPr>
            </w:pPr>
            <w:r w:rsidRPr="00897BEE">
              <w:rPr>
                <w:rFonts w:ascii="Calibri" w:eastAsia="Times New Roman" w:hAnsi="Calibri" w:cs="Calibri"/>
                <w:color w:val="000000"/>
                <w:lang w:eastAsia="en-GB"/>
              </w:rPr>
              <w:t>LOS non-ADR</w:t>
            </w:r>
          </w:p>
        </w:tc>
        <w:tc>
          <w:tcPr>
            <w:tcW w:w="1100" w:type="dxa"/>
            <w:shd w:val="clear" w:color="auto" w:fill="auto"/>
            <w:noWrap/>
            <w:vAlign w:val="bottom"/>
            <w:hideMark/>
          </w:tcPr>
          <w:p w14:paraId="544D33E3" w14:textId="77777777" w:rsidR="004F3EBA" w:rsidRPr="00897BEE" w:rsidRDefault="004F3EBA" w:rsidP="004F3EBA">
            <w:pPr>
              <w:spacing w:after="0" w:line="240" w:lineRule="auto"/>
              <w:jc w:val="right"/>
              <w:rPr>
                <w:rFonts w:ascii="Calibri" w:eastAsia="Times New Roman" w:hAnsi="Calibri" w:cs="Calibri"/>
                <w:color w:val="000000"/>
                <w:lang w:eastAsia="en-GB"/>
              </w:rPr>
            </w:pPr>
            <w:r w:rsidRPr="00897BEE">
              <w:rPr>
                <w:rFonts w:ascii="Calibri" w:eastAsia="Times New Roman" w:hAnsi="Calibri" w:cs="Calibri"/>
                <w:color w:val="000000"/>
                <w:lang w:eastAsia="en-GB"/>
              </w:rPr>
              <w:t>12.6</w:t>
            </w:r>
          </w:p>
        </w:tc>
        <w:tc>
          <w:tcPr>
            <w:tcW w:w="1100" w:type="dxa"/>
            <w:shd w:val="clear" w:color="auto" w:fill="auto"/>
            <w:noWrap/>
            <w:vAlign w:val="bottom"/>
            <w:hideMark/>
          </w:tcPr>
          <w:p w14:paraId="30CC6C20" w14:textId="77777777" w:rsidR="004F3EBA" w:rsidRPr="00897BEE" w:rsidRDefault="004F3EBA" w:rsidP="004F3EBA">
            <w:pPr>
              <w:spacing w:after="0" w:line="240" w:lineRule="auto"/>
              <w:rPr>
                <w:rFonts w:ascii="Calibri" w:eastAsia="Times New Roman" w:hAnsi="Calibri" w:cs="Calibri"/>
                <w:color w:val="000000"/>
                <w:lang w:eastAsia="en-GB"/>
              </w:rPr>
            </w:pPr>
            <w:r w:rsidRPr="00897BEE">
              <w:rPr>
                <w:rFonts w:ascii="Calibri" w:eastAsia="Times New Roman" w:hAnsi="Calibri" w:cs="Calibri"/>
                <w:color w:val="000000"/>
                <w:lang w:eastAsia="en-GB"/>
              </w:rPr>
              <w:t>Median 10</w:t>
            </w:r>
          </w:p>
        </w:tc>
        <w:tc>
          <w:tcPr>
            <w:tcW w:w="1100" w:type="dxa"/>
            <w:shd w:val="clear" w:color="auto" w:fill="auto"/>
            <w:noWrap/>
            <w:vAlign w:val="bottom"/>
            <w:hideMark/>
          </w:tcPr>
          <w:p w14:paraId="2D5CC73E" w14:textId="77777777" w:rsidR="004F3EBA" w:rsidRPr="00897BEE" w:rsidRDefault="004F3EBA" w:rsidP="004F3EBA">
            <w:pPr>
              <w:spacing w:after="0" w:line="240" w:lineRule="auto"/>
              <w:rPr>
                <w:rFonts w:ascii="Calibri" w:eastAsia="Times New Roman" w:hAnsi="Calibri" w:cs="Calibri"/>
                <w:color w:val="000000"/>
                <w:lang w:eastAsia="en-GB"/>
              </w:rPr>
            </w:pPr>
          </w:p>
        </w:tc>
        <w:tc>
          <w:tcPr>
            <w:tcW w:w="1100" w:type="dxa"/>
            <w:shd w:val="clear" w:color="auto" w:fill="auto"/>
            <w:noWrap/>
            <w:vAlign w:val="bottom"/>
            <w:hideMark/>
          </w:tcPr>
          <w:p w14:paraId="5B54512A" w14:textId="77777777" w:rsidR="004F3EBA" w:rsidRPr="00897BEE" w:rsidRDefault="004F3EBA" w:rsidP="004F3EBA">
            <w:pPr>
              <w:spacing w:after="0" w:line="240" w:lineRule="auto"/>
              <w:jc w:val="right"/>
              <w:rPr>
                <w:rFonts w:ascii="Calibri" w:eastAsia="Times New Roman" w:hAnsi="Calibri" w:cs="Calibri"/>
                <w:color w:val="000000"/>
                <w:lang w:eastAsia="en-GB"/>
              </w:rPr>
            </w:pPr>
            <w:r w:rsidRPr="00897BEE">
              <w:rPr>
                <w:rFonts w:ascii="Calibri" w:eastAsia="Times New Roman" w:hAnsi="Calibri" w:cs="Calibri"/>
                <w:color w:val="000000"/>
                <w:lang w:eastAsia="en-GB"/>
              </w:rPr>
              <w:t>7</w:t>
            </w:r>
          </w:p>
        </w:tc>
        <w:tc>
          <w:tcPr>
            <w:tcW w:w="1100" w:type="dxa"/>
            <w:shd w:val="clear" w:color="auto" w:fill="auto"/>
            <w:noWrap/>
            <w:vAlign w:val="bottom"/>
            <w:hideMark/>
          </w:tcPr>
          <w:p w14:paraId="4CBAA893" w14:textId="77777777" w:rsidR="004F3EBA" w:rsidRPr="00897BEE" w:rsidRDefault="004F3EBA" w:rsidP="004F3EBA">
            <w:pPr>
              <w:spacing w:after="0" w:line="240" w:lineRule="auto"/>
              <w:rPr>
                <w:rFonts w:ascii="Calibri" w:eastAsia="Times New Roman" w:hAnsi="Calibri" w:cs="Calibri"/>
                <w:color w:val="000000"/>
                <w:lang w:eastAsia="en-GB"/>
              </w:rPr>
            </w:pPr>
            <w:r w:rsidRPr="00897BEE">
              <w:rPr>
                <w:rFonts w:ascii="Calibri" w:eastAsia="Times New Roman" w:hAnsi="Calibri" w:cs="Calibri"/>
                <w:color w:val="000000"/>
                <w:lang w:eastAsia="en-GB"/>
              </w:rPr>
              <w:t>median 7</w:t>
            </w:r>
          </w:p>
        </w:tc>
        <w:tc>
          <w:tcPr>
            <w:tcW w:w="1100" w:type="dxa"/>
            <w:shd w:val="clear" w:color="auto" w:fill="auto"/>
            <w:noWrap/>
            <w:vAlign w:val="bottom"/>
            <w:hideMark/>
          </w:tcPr>
          <w:p w14:paraId="2FE1F3F5" w14:textId="77777777" w:rsidR="004F3EBA" w:rsidRPr="00897BEE" w:rsidRDefault="004F3EBA" w:rsidP="004F3EBA">
            <w:pPr>
              <w:spacing w:after="0" w:line="240" w:lineRule="auto"/>
              <w:jc w:val="right"/>
              <w:rPr>
                <w:rFonts w:ascii="Calibri" w:eastAsia="Times New Roman" w:hAnsi="Calibri" w:cs="Calibri"/>
                <w:color w:val="000000"/>
                <w:lang w:eastAsia="en-GB"/>
              </w:rPr>
            </w:pPr>
            <w:r w:rsidRPr="00897BEE">
              <w:rPr>
                <w:rFonts w:ascii="Calibri" w:eastAsia="Times New Roman" w:hAnsi="Calibri" w:cs="Calibri"/>
                <w:color w:val="000000"/>
                <w:lang w:eastAsia="en-GB"/>
              </w:rPr>
              <w:t>8</w:t>
            </w:r>
          </w:p>
        </w:tc>
        <w:tc>
          <w:tcPr>
            <w:tcW w:w="1249" w:type="dxa"/>
            <w:shd w:val="clear" w:color="auto" w:fill="auto"/>
            <w:noWrap/>
            <w:vAlign w:val="bottom"/>
            <w:hideMark/>
          </w:tcPr>
          <w:p w14:paraId="0A58CEB5" w14:textId="77777777" w:rsidR="004F3EBA" w:rsidRPr="00897BEE" w:rsidRDefault="004F3EBA" w:rsidP="004F3EBA">
            <w:pPr>
              <w:spacing w:after="0" w:line="240" w:lineRule="auto"/>
              <w:jc w:val="right"/>
              <w:rPr>
                <w:rFonts w:ascii="Calibri" w:eastAsia="Times New Roman" w:hAnsi="Calibri" w:cs="Calibri"/>
                <w:color w:val="000000"/>
                <w:lang w:eastAsia="en-GB"/>
              </w:rPr>
            </w:pPr>
            <w:r w:rsidRPr="00897BEE">
              <w:rPr>
                <w:rFonts w:ascii="Calibri" w:eastAsia="Times New Roman" w:hAnsi="Calibri" w:cs="Calibri"/>
                <w:color w:val="000000"/>
                <w:lang w:eastAsia="en-GB"/>
              </w:rPr>
              <w:t>12</w:t>
            </w:r>
          </w:p>
        </w:tc>
      </w:tr>
      <w:tr w:rsidR="004F3EBA" w:rsidRPr="00897BEE" w14:paraId="2E4A439D" w14:textId="77777777" w:rsidTr="00897BEE">
        <w:trPr>
          <w:trHeight w:val="290"/>
        </w:trPr>
        <w:tc>
          <w:tcPr>
            <w:tcW w:w="1980" w:type="dxa"/>
            <w:shd w:val="clear" w:color="auto" w:fill="auto"/>
            <w:noWrap/>
            <w:vAlign w:val="bottom"/>
            <w:hideMark/>
          </w:tcPr>
          <w:p w14:paraId="418A06CF" w14:textId="77777777" w:rsidR="004F3EBA" w:rsidRPr="00897BEE" w:rsidRDefault="004F3EBA" w:rsidP="004F3EBA">
            <w:pPr>
              <w:spacing w:after="0" w:line="240" w:lineRule="auto"/>
              <w:rPr>
                <w:rFonts w:ascii="Calibri" w:eastAsia="Times New Roman" w:hAnsi="Calibri" w:cs="Calibri"/>
                <w:color w:val="000000"/>
                <w:lang w:eastAsia="en-GB"/>
              </w:rPr>
            </w:pPr>
            <w:r w:rsidRPr="00897BEE">
              <w:rPr>
                <w:rFonts w:ascii="Calibri" w:eastAsia="Times New Roman" w:hAnsi="Calibri" w:cs="Calibri"/>
                <w:color w:val="000000"/>
                <w:lang w:eastAsia="en-GB"/>
              </w:rPr>
              <w:t>95% CI LOS non-ADR</w:t>
            </w:r>
          </w:p>
        </w:tc>
        <w:tc>
          <w:tcPr>
            <w:tcW w:w="1100" w:type="dxa"/>
            <w:shd w:val="clear" w:color="auto" w:fill="auto"/>
            <w:noWrap/>
            <w:vAlign w:val="bottom"/>
            <w:hideMark/>
          </w:tcPr>
          <w:p w14:paraId="6733FA14" w14:textId="77777777" w:rsidR="004F3EBA" w:rsidRPr="00897BEE" w:rsidRDefault="004F3EBA" w:rsidP="004F3EBA">
            <w:pPr>
              <w:spacing w:after="0" w:line="240" w:lineRule="auto"/>
              <w:rPr>
                <w:rFonts w:ascii="Calibri" w:eastAsia="Times New Roman" w:hAnsi="Calibri" w:cs="Calibri"/>
                <w:color w:val="000000"/>
                <w:lang w:eastAsia="en-GB"/>
              </w:rPr>
            </w:pPr>
            <w:r w:rsidRPr="00897BEE">
              <w:rPr>
                <w:rFonts w:ascii="Calibri" w:eastAsia="Times New Roman" w:hAnsi="Calibri" w:cs="Calibri"/>
                <w:color w:val="000000"/>
                <w:lang w:eastAsia="en-GB"/>
              </w:rPr>
              <w:t>11.9-12.3</w:t>
            </w:r>
          </w:p>
        </w:tc>
        <w:tc>
          <w:tcPr>
            <w:tcW w:w="1100" w:type="dxa"/>
            <w:shd w:val="clear" w:color="auto" w:fill="auto"/>
            <w:noWrap/>
            <w:vAlign w:val="bottom"/>
            <w:hideMark/>
          </w:tcPr>
          <w:p w14:paraId="500DCB06" w14:textId="77777777" w:rsidR="004F3EBA" w:rsidRPr="00897BEE" w:rsidRDefault="004F3EBA" w:rsidP="004F3EBA">
            <w:pPr>
              <w:spacing w:after="0" w:line="240" w:lineRule="auto"/>
              <w:rPr>
                <w:rFonts w:ascii="Calibri" w:eastAsia="Times New Roman" w:hAnsi="Calibri" w:cs="Calibri"/>
                <w:color w:val="000000"/>
                <w:lang w:eastAsia="en-GB"/>
              </w:rPr>
            </w:pPr>
            <w:r w:rsidRPr="00897BEE">
              <w:rPr>
                <w:rFonts w:ascii="Calibri" w:eastAsia="Times New Roman" w:hAnsi="Calibri" w:cs="Calibri"/>
                <w:color w:val="000000"/>
                <w:lang w:eastAsia="en-GB"/>
              </w:rPr>
              <w:t>IQR 6-17</w:t>
            </w:r>
          </w:p>
        </w:tc>
        <w:tc>
          <w:tcPr>
            <w:tcW w:w="1100" w:type="dxa"/>
            <w:shd w:val="clear" w:color="auto" w:fill="auto"/>
            <w:noWrap/>
            <w:vAlign w:val="bottom"/>
            <w:hideMark/>
          </w:tcPr>
          <w:p w14:paraId="3C328563" w14:textId="77777777" w:rsidR="004F3EBA" w:rsidRPr="00897BEE" w:rsidRDefault="004F3EBA" w:rsidP="004F3EBA">
            <w:pPr>
              <w:spacing w:after="0" w:line="240" w:lineRule="auto"/>
              <w:rPr>
                <w:rFonts w:ascii="Calibri" w:eastAsia="Times New Roman" w:hAnsi="Calibri" w:cs="Calibri"/>
                <w:color w:val="000000"/>
                <w:lang w:eastAsia="en-GB"/>
              </w:rPr>
            </w:pPr>
          </w:p>
        </w:tc>
        <w:tc>
          <w:tcPr>
            <w:tcW w:w="1100" w:type="dxa"/>
            <w:shd w:val="clear" w:color="auto" w:fill="auto"/>
            <w:noWrap/>
            <w:vAlign w:val="bottom"/>
            <w:hideMark/>
          </w:tcPr>
          <w:p w14:paraId="7934097E" w14:textId="77777777" w:rsidR="004F3EBA" w:rsidRPr="00897BEE" w:rsidRDefault="004F3EBA" w:rsidP="004F3EBA">
            <w:pPr>
              <w:spacing w:after="0" w:line="240" w:lineRule="auto"/>
              <w:rPr>
                <w:rFonts w:ascii="Calibri" w:eastAsia="Times New Roman" w:hAnsi="Calibri" w:cs="Calibri"/>
                <w:color w:val="000000"/>
                <w:lang w:eastAsia="en-GB"/>
              </w:rPr>
            </w:pPr>
            <w:r w:rsidRPr="00897BEE">
              <w:rPr>
                <w:rFonts w:ascii="Calibri" w:eastAsia="Times New Roman" w:hAnsi="Calibri" w:cs="Calibri"/>
                <w:color w:val="000000"/>
                <w:lang w:eastAsia="en-GB"/>
              </w:rPr>
              <w:t>IQR 4-14</w:t>
            </w:r>
          </w:p>
        </w:tc>
        <w:tc>
          <w:tcPr>
            <w:tcW w:w="1100" w:type="dxa"/>
            <w:shd w:val="clear" w:color="auto" w:fill="auto"/>
            <w:noWrap/>
            <w:vAlign w:val="bottom"/>
            <w:hideMark/>
          </w:tcPr>
          <w:p w14:paraId="5C5D2181" w14:textId="77777777" w:rsidR="004F3EBA" w:rsidRPr="00897BEE" w:rsidRDefault="004F3EBA" w:rsidP="004F3EBA">
            <w:pPr>
              <w:spacing w:after="0" w:line="240" w:lineRule="auto"/>
              <w:rPr>
                <w:rFonts w:ascii="Calibri" w:eastAsia="Times New Roman" w:hAnsi="Calibri" w:cs="Calibri"/>
                <w:color w:val="000000"/>
                <w:lang w:eastAsia="en-GB"/>
              </w:rPr>
            </w:pPr>
          </w:p>
        </w:tc>
        <w:tc>
          <w:tcPr>
            <w:tcW w:w="1100" w:type="dxa"/>
            <w:shd w:val="clear" w:color="auto" w:fill="auto"/>
            <w:noWrap/>
            <w:vAlign w:val="bottom"/>
            <w:hideMark/>
          </w:tcPr>
          <w:p w14:paraId="7BDB4014" w14:textId="77777777" w:rsidR="004F3EBA" w:rsidRPr="00897BEE" w:rsidRDefault="004F3EBA" w:rsidP="004F3EBA">
            <w:pPr>
              <w:spacing w:after="0" w:line="240" w:lineRule="auto"/>
              <w:rPr>
                <w:rFonts w:ascii="Calibri" w:eastAsia="Times New Roman" w:hAnsi="Calibri" w:cs="Calibri"/>
                <w:color w:val="000000"/>
                <w:lang w:eastAsia="en-GB"/>
              </w:rPr>
            </w:pPr>
            <w:r w:rsidRPr="00897BEE">
              <w:rPr>
                <w:rFonts w:ascii="Calibri" w:eastAsia="Times New Roman" w:hAnsi="Calibri" w:cs="Calibri"/>
                <w:color w:val="000000"/>
                <w:lang w:eastAsia="en-GB"/>
              </w:rPr>
              <w:t>IQR 5-13</w:t>
            </w:r>
          </w:p>
        </w:tc>
        <w:tc>
          <w:tcPr>
            <w:tcW w:w="1249" w:type="dxa"/>
            <w:shd w:val="clear" w:color="auto" w:fill="auto"/>
            <w:noWrap/>
            <w:vAlign w:val="bottom"/>
            <w:hideMark/>
          </w:tcPr>
          <w:p w14:paraId="253646E3" w14:textId="77777777" w:rsidR="004F3EBA" w:rsidRPr="00897BEE" w:rsidRDefault="004F3EBA" w:rsidP="004F3EBA">
            <w:pPr>
              <w:spacing w:after="0" w:line="240" w:lineRule="auto"/>
              <w:rPr>
                <w:rFonts w:ascii="Calibri" w:eastAsia="Times New Roman" w:hAnsi="Calibri" w:cs="Calibri"/>
                <w:color w:val="000000"/>
                <w:lang w:eastAsia="en-GB"/>
              </w:rPr>
            </w:pPr>
            <w:r w:rsidRPr="00897BEE">
              <w:rPr>
                <w:rFonts w:ascii="Calibri" w:eastAsia="Times New Roman" w:hAnsi="Calibri" w:cs="Calibri"/>
                <w:color w:val="000000"/>
                <w:lang w:eastAsia="en-GB"/>
              </w:rPr>
              <w:t>IQR 7-19</w:t>
            </w:r>
          </w:p>
        </w:tc>
      </w:tr>
      <w:tr w:rsidR="004F3EBA" w:rsidRPr="00897BEE" w14:paraId="0109FFC6" w14:textId="77777777" w:rsidTr="00897BEE">
        <w:trPr>
          <w:trHeight w:val="290"/>
        </w:trPr>
        <w:tc>
          <w:tcPr>
            <w:tcW w:w="1980" w:type="dxa"/>
            <w:shd w:val="clear" w:color="auto" w:fill="auto"/>
            <w:noWrap/>
            <w:vAlign w:val="bottom"/>
            <w:hideMark/>
          </w:tcPr>
          <w:p w14:paraId="7210AD02" w14:textId="77777777" w:rsidR="004F3EBA" w:rsidRPr="00897BEE" w:rsidRDefault="004F3EBA" w:rsidP="004F3EBA">
            <w:pPr>
              <w:spacing w:after="0" w:line="240" w:lineRule="auto"/>
              <w:rPr>
                <w:rFonts w:ascii="Calibri" w:eastAsia="Times New Roman" w:hAnsi="Calibri" w:cs="Calibri"/>
                <w:color w:val="000000"/>
                <w:lang w:eastAsia="en-GB"/>
              </w:rPr>
            </w:pPr>
            <w:r w:rsidRPr="00897BEE">
              <w:rPr>
                <w:rFonts w:ascii="Calibri" w:eastAsia="Times New Roman" w:hAnsi="Calibri" w:cs="Calibri"/>
                <w:color w:val="000000"/>
                <w:lang w:eastAsia="en-GB"/>
              </w:rPr>
              <w:t>Death</w:t>
            </w:r>
          </w:p>
        </w:tc>
        <w:tc>
          <w:tcPr>
            <w:tcW w:w="1100" w:type="dxa"/>
            <w:shd w:val="clear" w:color="auto" w:fill="auto"/>
            <w:noWrap/>
            <w:vAlign w:val="bottom"/>
            <w:hideMark/>
          </w:tcPr>
          <w:p w14:paraId="04CA10CE" w14:textId="77777777" w:rsidR="004F3EBA" w:rsidRPr="00897BEE" w:rsidRDefault="004F3EBA" w:rsidP="004F3EBA">
            <w:pPr>
              <w:spacing w:after="0" w:line="240" w:lineRule="auto"/>
              <w:rPr>
                <w:rFonts w:ascii="Calibri" w:eastAsia="Times New Roman" w:hAnsi="Calibri" w:cs="Calibri"/>
                <w:color w:val="000000"/>
                <w:lang w:eastAsia="en-GB"/>
              </w:rPr>
            </w:pPr>
          </w:p>
        </w:tc>
        <w:tc>
          <w:tcPr>
            <w:tcW w:w="1100" w:type="dxa"/>
            <w:shd w:val="clear" w:color="auto" w:fill="auto"/>
            <w:noWrap/>
            <w:vAlign w:val="bottom"/>
            <w:hideMark/>
          </w:tcPr>
          <w:p w14:paraId="56F351AD" w14:textId="77777777" w:rsidR="004F3EBA" w:rsidRPr="00897BEE" w:rsidRDefault="004F3EBA" w:rsidP="004F3EBA">
            <w:pPr>
              <w:spacing w:after="0" w:line="240" w:lineRule="auto"/>
              <w:jc w:val="right"/>
              <w:rPr>
                <w:rFonts w:ascii="Calibri" w:eastAsia="Times New Roman" w:hAnsi="Calibri" w:cs="Calibri"/>
                <w:color w:val="000000"/>
                <w:lang w:eastAsia="en-GB"/>
              </w:rPr>
            </w:pPr>
            <w:r w:rsidRPr="00897BEE">
              <w:rPr>
                <w:rFonts w:ascii="Calibri" w:eastAsia="Times New Roman" w:hAnsi="Calibri" w:cs="Calibri"/>
                <w:color w:val="000000"/>
                <w:lang w:eastAsia="en-GB"/>
              </w:rPr>
              <w:t>165</w:t>
            </w:r>
          </w:p>
        </w:tc>
        <w:tc>
          <w:tcPr>
            <w:tcW w:w="1100" w:type="dxa"/>
            <w:shd w:val="clear" w:color="auto" w:fill="auto"/>
            <w:noWrap/>
            <w:vAlign w:val="bottom"/>
            <w:hideMark/>
          </w:tcPr>
          <w:p w14:paraId="4F914572" w14:textId="77777777" w:rsidR="004F3EBA" w:rsidRPr="00897BEE" w:rsidRDefault="004F3EBA" w:rsidP="004F3EBA">
            <w:pPr>
              <w:spacing w:after="0" w:line="240" w:lineRule="auto"/>
              <w:jc w:val="right"/>
              <w:rPr>
                <w:rFonts w:ascii="Calibri" w:eastAsia="Times New Roman" w:hAnsi="Calibri" w:cs="Calibri"/>
                <w:color w:val="000000"/>
                <w:lang w:eastAsia="en-GB"/>
              </w:rPr>
            </w:pPr>
          </w:p>
        </w:tc>
        <w:tc>
          <w:tcPr>
            <w:tcW w:w="1100" w:type="dxa"/>
            <w:shd w:val="clear" w:color="auto" w:fill="auto"/>
            <w:noWrap/>
            <w:vAlign w:val="bottom"/>
            <w:hideMark/>
          </w:tcPr>
          <w:p w14:paraId="1321F9F6" w14:textId="77777777" w:rsidR="004F3EBA" w:rsidRPr="00897BEE" w:rsidRDefault="004F3EBA" w:rsidP="004F3EBA">
            <w:pPr>
              <w:spacing w:after="0" w:line="240" w:lineRule="auto"/>
              <w:rPr>
                <w:rFonts w:ascii="Calibri" w:eastAsia="Times New Roman" w:hAnsi="Calibri" w:cs="Calibri"/>
                <w:color w:val="000000"/>
                <w:lang w:eastAsia="en-GB"/>
              </w:rPr>
            </w:pPr>
            <w:r w:rsidRPr="00897BEE">
              <w:rPr>
                <w:rFonts w:ascii="Calibri" w:eastAsia="Times New Roman" w:hAnsi="Calibri" w:cs="Calibri"/>
                <w:color w:val="000000"/>
                <w:lang w:eastAsia="en-GB"/>
              </w:rPr>
              <w:t>9 (Control)</w:t>
            </w:r>
          </w:p>
        </w:tc>
        <w:tc>
          <w:tcPr>
            <w:tcW w:w="1100" w:type="dxa"/>
            <w:shd w:val="clear" w:color="auto" w:fill="auto"/>
            <w:noWrap/>
            <w:vAlign w:val="bottom"/>
            <w:hideMark/>
          </w:tcPr>
          <w:p w14:paraId="197F1A27" w14:textId="77777777" w:rsidR="004F3EBA" w:rsidRPr="00897BEE" w:rsidRDefault="004F3EBA" w:rsidP="004F3EBA">
            <w:pPr>
              <w:spacing w:after="0" w:line="240" w:lineRule="auto"/>
              <w:rPr>
                <w:rFonts w:ascii="Calibri" w:eastAsia="Times New Roman" w:hAnsi="Calibri" w:cs="Calibri"/>
                <w:color w:val="000000"/>
                <w:lang w:eastAsia="en-GB"/>
              </w:rPr>
            </w:pPr>
            <w:r w:rsidRPr="00897BEE">
              <w:rPr>
                <w:rFonts w:ascii="Calibri" w:eastAsia="Times New Roman" w:hAnsi="Calibri" w:cs="Calibri"/>
                <w:color w:val="000000"/>
                <w:lang w:eastAsia="en-GB"/>
              </w:rPr>
              <w:t>29 (5.64%)</w:t>
            </w:r>
          </w:p>
        </w:tc>
        <w:tc>
          <w:tcPr>
            <w:tcW w:w="1100" w:type="dxa"/>
            <w:shd w:val="clear" w:color="auto" w:fill="auto"/>
            <w:noWrap/>
            <w:vAlign w:val="bottom"/>
            <w:hideMark/>
          </w:tcPr>
          <w:p w14:paraId="3C1AFE18" w14:textId="77777777" w:rsidR="004F3EBA" w:rsidRPr="00897BEE" w:rsidRDefault="004F3EBA" w:rsidP="004F3EBA">
            <w:pPr>
              <w:spacing w:after="0" w:line="240" w:lineRule="auto"/>
              <w:rPr>
                <w:rFonts w:ascii="Calibri" w:eastAsia="Times New Roman" w:hAnsi="Calibri" w:cs="Calibri"/>
                <w:color w:val="000000"/>
                <w:lang w:eastAsia="en-GB"/>
              </w:rPr>
            </w:pPr>
            <w:r w:rsidRPr="00897BEE">
              <w:rPr>
                <w:rFonts w:ascii="Calibri" w:eastAsia="Times New Roman" w:hAnsi="Calibri" w:cs="Calibri"/>
                <w:color w:val="000000"/>
                <w:lang w:eastAsia="en-GB"/>
              </w:rPr>
              <w:t>17 (control)</w:t>
            </w:r>
          </w:p>
        </w:tc>
        <w:tc>
          <w:tcPr>
            <w:tcW w:w="1249" w:type="dxa"/>
            <w:shd w:val="clear" w:color="auto" w:fill="auto"/>
            <w:noWrap/>
            <w:vAlign w:val="bottom"/>
            <w:hideMark/>
          </w:tcPr>
          <w:p w14:paraId="7292B3D6" w14:textId="77777777" w:rsidR="004F3EBA" w:rsidRPr="00897BEE" w:rsidRDefault="004F3EBA" w:rsidP="004F3EBA">
            <w:pPr>
              <w:spacing w:after="0" w:line="240" w:lineRule="auto"/>
              <w:rPr>
                <w:rFonts w:ascii="Calibri" w:eastAsia="Times New Roman" w:hAnsi="Calibri" w:cs="Calibri"/>
                <w:color w:val="000000"/>
                <w:lang w:eastAsia="en-GB"/>
              </w:rPr>
            </w:pPr>
            <w:r w:rsidRPr="00897BEE">
              <w:rPr>
                <w:rFonts w:ascii="Calibri" w:eastAsia="Times New Roman" w:hAnsi="Calibri" w:cs="Calibri"/>
                <w:color w:val="000000"/>
                <w:lang w:eastAsia="en-GB"/>
              </w:rPr>
              <w:t>9 (12.2%) ADR</w:t>
            </w:r>
          </w:p>
        </w:tc>
      </w:tr>
      <w:tr w:rsidR="004F3EBA" w:rsidRPr="00897BEE" w14:paraId="6B1E5C26" w14:textId="77777777" w:rsidTr="00897BEE">
        <w:trPr>
          <w:trHeight w:val="290"/>
        </w:trPr>
        <w:tc>
          <w:tcPr>
            <w:tcW w:w="1980" w:type="dxa"/>
            <w:shd w:val="clear" w:color="auto" w:fill="auto"/>
            <w:noWrap/>
            <w:vAlign w:val="bottom"/>
            <w:hideMark/>
          </w:tcPr>
          <w:p w14:paraId="77A5F91C" w14:textId="77777777" w:rsidR="004F3EBA" w:rsidRPr="00897BEE" w:rsidRDefault="004F3EBA" w:rsidP="004F3EBA">
            <w:pPr>
              <w:spacing w:after="0" w:line="240" w:lineRule="auto"/>
              <w:rPr>
                <w:rFonts w:ascii="Calibri" w:eastAsia="Times New Roman" w:hAnsi="Calibri" w:cs="Calibri"/>
                <w:color w:val="000000"/>
                <w:lang w:eastAsia="en-GB"/>
              </w:rPr>
            </w:pPr>
            <w:r w:rsidRPr="00897BEE">
              <w:rPr>
                <w:rFonts w:ascii="Calibri" w:eastAsia="Times New Roman" w:hAnsi="Calibri" w:cs="Calibri"/>
                <w:color w:val="000000"/>
                <w:lang w:eastAsia="en-GB"/>
              </w:rPr>
              <w:t>ADR related death</w:t>
            </w:r>
          </w:p>
        </w:tc>
        <w:tc>
          <w:tcPr>
            <w:tcW w:w="1100" w:type="dxa"/>
            <w:shd w:val="clear" w:color="auto" w:fill="auto"/>
            <w:noWrap/>
            <w:vAlign w:val="bottom"/>
            <w:hideMark/>
          </w:tcPr>
          <w:p w14:paraId="3552B17E" w14:textId="77777777" w:rsidR="004F3EBA" w:rsidRPr="00897BEE" w:rsidRDefault="004F3EBA" w:rsidP="004F3EBA">
            <w:pPr>
              <w:spacing w:after="0" w:line="240" w:lineRule="auto"/>
              <w:rPr>
                <w:rFonts w:ascii="Calibri" w:eastAsia="Times New Roman" w:hAnsi="Calibri" w:cs="Calibri"/>
                <w:color w:val="000000"/>
                <w:lang w:eastAsia="en-GB"/>
              </w:rPr>
            </w:pPr>
          </w:p>
        </w:tc>
        <w:tc>
          <w:tcPr>
            <w:tcW w:w="1100" w:type="dxa"/>
            <w:shd w:val="clear" w:color="auto" w:fill="auto"/>
            <w:noWrap/>
            <w:vAlign w:val="bottom"/>
            <w:hideMark/>
          </w:tcPr>
          <w:p w14:paraId="406FF9A1" w14:textId="77777777" w:rsidR="004F3EBA" w:rsidRPr="00897BEE" w:rsidRDefault="004F3EBA" w:rsidP="004F3EBA">
            <w:pPr>
              <w:spacing w:after="0" w:line="240" w:lineRule="auto"/>
              <w:jc w:val="right"/>
              <w:rPr>
                <w:rFonts w:ascii="Calibri" w:eastAsia="Times New Roman" w:hAnsi="Calibri" w:cs="Calibri"/>
                <w:color w:val="000000"/>
                <w:lang w:eastAsia="en-GB"/>
              </w:rPr>
            </w:pPr>
            <w:r w:rsidRPr="00897BEE">
              <w:rPr>
                <w:rFonts w:ascii="Calibri" w:eastAsia="Times New Roman" w:hAnsi="Calibri" w:cs="Calibri"/>
                <w:color w:val="000000"/>
                <w:lang w:eastAsia="en-GB"/>
              </w:rPr>
              <w:t>11</w:t>
            </w:r>
          </w:p>
        </w:tc>
        <w:tc>
          <w:tcPr>
            <w:tcW w:w="1100" w:type="dxa"/>
            <w:shd w:val="clear" w:color="auto" w:fill="auto"/>
            <w:noWrap/>
            <w:vAlign w:val="bottom"/>
            <w:hideMark/>
          </w:tcPr>
          <w:p w14:paraId="22C85A93" w14:textId="77777777" w:rsidR="004F3EBA" w:rsidRPr="00897BEE" w:rsidRDefault="004F3EBA" w:rsidP="004F3EBA">
            <w:pPr>
              <w:spacing w:after="0" w:line="240" w:lineRule="auto"/>
              <w:jc w:val="right"/>
              <w:rPr>
                <w:rFonts w:ascii="Calibri" w:eastAsia="Times New Roman" w:hAnsi="Calibri" w:cs="Calibri"/>
                <w:color w:val="000000"/>
                <w:lang w:eastAsia="en-GB"/>
              </w:rPr>
            </w:pPr>
          </w:p>
        </w:tc>
        <w:tc>
          <w:tcPr>
            <w:tcW w:w="1100" w:type="dxa"/>
            <w:shd w:val="clear" w:color="auto" w:fill="auto"/>
            <w:noWrap/>
            <w:vAlign w:val="bottom"/>
            <w:hideMark/>
          </w:tcPr>
          <w:p w14:paraId="7B477F02" w14:textId="77777777" w:rsidR="004F3EBA" w:rsidRPr="00897BEE" w:rsidRDefault="004F3EBA" w:rsidP="004F3EBA">
            <w:pPr>
              <w:spacing w:after="0" w:line="240" w:lineRule="auto"/>
              <w:rPr>
                <w:rFonts w:ascii="Times New Roman" w:eastAsia="Times New Roman" w:hAnsi="Times New Roman" w:cs="Times New Roman"/>
                <w:lang w:eastAsia="en-GB"/>
              </w:rPr>
            </w:pPr>
          </w:p>
        </w:tc>
        <w:tc>
          <w:tcPr>
            <w:tcW w:w="1100" w:type="dxa"/>
            <w:shd w:val="clear" w:color="auto" w:fill="auto"/>
            <w:noWrap/>
            <w:vAlign w:val="bottom"/>
            <w:hideMark/>
          </w:tcPr>
          <w:p w14:paraId="00E0661E" w14:textId="77777777" w:rsidR="004F3EBA" w:rsidRPr="00897BEE" w:rsidRDefault="004F3EBA" w:rsidP="004F3EBA">
            <w:pPr>
              <w:spacing w:after="0" w:line="240" w:lineRule="auto"/>
              <w:rPr>
                <w:rFonts w:ascii="Times New Roman" w:eastAsia="Times New Roman" w:hAnsi="Times New Roman" w:cs="Times New Roman"/>
                <w:lang w:eastAsia="en-GB"/>
              </w:rPr>
            </w:pPr>
          </w:p>
        </w:tc>
        <w:tc>
          <w:tcPr>
            <w:tcW w:w="1100" w:type="dxa"/>
            <w:shd w:val="clear" w:color="auto" w:fill="auto"/>
            <w:noWrap/>
            <w:vAlign w:val="bottom"/>
            <w:hideMark/>
          </w:tcPr>
          <w:p w14:paraId="3BBA4013" w14:textId="77777777" w:rsidR="004F3EBA" w:rsidRPr="00897BEE" w:rsidRDefault="004F3EBA" w:rsidP="004F3EBA">
            <w:pPr>
              <w:spacing w:after="0" w:line="240" w:lineRule="auto"/>
              <w:rPr>
                <w:rFonts w:ascii="Times New Roman" w:eastAsia="Times New Roman" w:hAnsi="Times New Roman" w:cs="Times New Roman"/>
                <w:lang w:eastAsia="en-GB"/>
              </w:rPr>
            </w:pPr>
          </w:p>
        </w:tc>
        <w:tc>
          <w:tcPr>
            <w:tcW w:w="1249" w:type="dxa"/>
            <w:shd w:val="clear" w:color="auto" w:fill="auto"/>
            <w:noWrap/>
            <w:vAlign w:val="bottom"/>
            <w:hideMark/>
          </w:tcPr>
          <w:p w14:paraId="7338F510" w14:textId="77777777" w:rsidR="004F3EBA" w:rsidRPr="00897BEE" w:rsidRDefault="004F3EBA" w:rsidP="004F3EBA">
            <w:pPr>
              <w:spacing w:after="0" w:line="240" w:lineRule="auto"/>
              <w:rPr>
                <w:rFonts w:ascii="Times New Roman" w:eastAsia="Times New Roman" w:hAnsi="Times New Roman" w:cs="Times New Roman"/>
                <w:lang w:eastAsia="en-GB"/>
              </w:rPr>
            </w:pPr>
          </w:p>
        </w:tc>
      </w:tr>
    </w:tbl>
    <w:p w14:paraId="09CF39E6" w14:textId="748331B1" w:rsidR="00EF29BC" w:rsidRDefault="00EF29BC" w:rsidP="000427A6">
      <w:pPr>
        <w:spacing w:line="360" w:lineRule="auto"/>
        <w:jc w:val="both"/>
      </w:pPr>
    </w:p>
    <w:p w14:paraId="15A39EC1" w14:textId="410E02E4" w:rsidR="00F667A1" w:rsidRPr="00F667A1" w:rsidRDefault="00F667A1" w:rsidP="00282DD5">
      <w:pPr>
        <w:spacing w:line="360" w:lineRule="auto"/>
        <w:jc w:val="both"/>
        <w:rPr>
          <w:b/>
          <w:u w:val="single"/>
        </w:rPr>
      </w:pPr>
      <w:r w:rsidRPr="00F667A1">
        <w:rPr>
          <w:b/>
          <w:u w:val="single"/>
        </w:rPr>
        <w:t>Discussion</w:t>
      </w:r>
      <w:r>
        <w:rPr>
          <w:b/>
          <w:u w:val="single"/>
        </w:rPr>
        <w:t>:</w:t>
      </w:r>
    </w:p>
    <w:p w14:paraId="7433DDED" w14:textId="106F756E" w:rsidR="00F667A1" w:rsidRDefault="00F667A1" w:rsidP="00282DD5">
      <w:pPr>
        <w:spacing w:line="360" w:lineRule="auto"/>
        <w:jc w:val="both"/>
        <w:rPr>
          <w:i/>
        </w:rPr>
      </w:pPr>
      <w:r w:rsidRPr="004072BA">
        <w:rPr>
          <w:i/>
        </w:rPr>
        <w:t>Summary of Evidence</w:t>
      </w:r>
    </w:p>
    <w:p w14:paraId="1EF8B502" w14:textId="77777777" w:rsidR="00361129" w:rsidRPr="004072BA" w:rsidRDefault="00361129" w:rsidP="00282DD5">
      <w:pPr>
        <w:spacing w:line="360" w:lineRule="auto"/>
        <w:jc w:val="both"/>
        <w:rPr>
          <w:i/>
        </w:rPr>
      </w:pPr>
      <w:bookmarkStart w:id="28" w:name="_GoBack"/>
      <w:bookmarkEnd w:id="28"/>
    </w:p>
    <w:p w14:paraId="76695614" w14:textId="11758C51" w:rsidR="00F667A1" w:rsidRDefault="00F667A1" w:rsidP="00282DD5">
      <w:pPr>
        <w:spacing w:line="360" w:lineRule="auto"/>
        <w:jc w:val="both"/>
        <w:rPr>
          <w:i/>
        </w:rPr>
      </w:pPr>
      <w:r w:rsidRPr="004072BA">
        <w:rPr>
          <w:i/>
        </w:rPr>
        <w:t>Limitations</w:t>
      </w:r>
    </w:p>
    <w:p w14:paraId="6594A8C9" w14:textId="1C835FB2" w:rsidR="00BB395B" w:rsidRPr="004072BA" w:rsidRDefault="00BB395B" w:rsidP="00282DD5">
      <w:pPr>
        <w:spacing w:line="360" w:lineRule="auto"/>
        <w:jc w:val="both"/>
        <w:rPr>
          <w:i/>
        </w:rPr>
      </w:pPr>
      <w:r>
        <w:t>Majority of papers were observational, some would look on this as a limitation given the propensity for systematic bias in such studies. However, exclusion of such studies would limit the available data that likely reflects the true incidence of ADRs in practice.</w:t>
      </w:r>
      <w:r w:rsidR="00C939BF">
        <w:t xml:space="preserve"> Other identified studies with potential data but no response from authors.</w:t>
      </w:r>
    </w:p>
    <w:p w14:paraId="52ACBBA5" w14:textId="77777777" w:rsidR="00361129" w:rsidRDefault="00361129" w:rsidP="00282DD5">
      <w:pPr>
        <w:spacing w:line="360" w:lineRule="auto"/>
        <w:jc w:val="both"/>
        <w:rPr>
          <w:i/>
        </w:rPr>
      </w:pPr>
    </w:p>
    <w:p w14:paraId="4A150907" w14:textId="305F4A28" w:rsidR="00F667A1" w:rsidRPr="004072BA" w:rsidRDefault="00F667A1" w:rsidP="00282DD5">
      <w:pPr>
        <w:spacing w:line="360" w:lineRule="auto"/>
        <w:jc w:val="both"/>
        <w:rPr>
          <w:i/>
        </w:rPr>
      </w:pPr>
      <w:r w:rsidRPr="004072BA">
        <w:rPr>
          <w:i/>
        </w:rPr>
        <w:t>Conclusions</w:t>
      </w:r>
    </w:p>
    <w:p w14:paraId="27751F09" w14:textId="00EB6AAB" w:rsidR="00F667A1" w:rsidRDefault="00F667A1" w:rsidP="00282DD5">
      <w:pPr>
        <w:spacing w:line="360" w:lineRule="auto"/>
        <w:jc w:val="both"/>
      </w:pPr>
    </w:p>
    <w:p w14:paraId="6267CB7B" w14:textId="7D6AC427" w:rsidR="009920D8" w:rsidRPr="009920D8" w:rsidRDefault="009920D8" w:rsidP="00282DD5">
      <w:pPr>
        <w:spacing w:line="360" w:lineRule="auto"/>
        <w:jc w:val="both"/>
        <w:rPr>
          <w:b/>
          <w:u w:val="single"/>
        </w:rPr>
      </w:pPr>
      <w:r w:rsidRPr="009920D8">
        <w:rPr>
          <w:b/>
          <w:u w:val="single"/>
        </w:rPr>
        <w:t>Acknowledgements</w:t>
      </w:r>
      <w:r>
        <w:rPr>
          <w:b/>
          <w:u w:val="single"/>
        </w:rPr>
        <w:t>:</w:t>
      </w:r>
    </w:p>
    <w:p w14:paraId="7782A833" w14:textId="77777777" w:rsidR="000E521A" w:rsidRDefault="009920D8" w:rsidP="00282DD5">
      <w:pPr>
        <w:spacing w:line="360" w:lineRule="auto"/>
        <w:jc w:val="both"/>
      </w:pPr>
      <w:r>
        <w:t>Oscanoa for list of papers excluded from their SR.</w:t>
      </w:r>
      <w:r w:rsidR="000E521A" w:rsidRPr="000E521A">
        <w:t xml:space="preserve"> </w:t>
      </w:r>
    </w:p>
    <w:p w14:paraId="54842248" w14:textId="3571940D" w:rsidR="009920D8" w:rsidRDefault="000E521A" w:rsidP="00282DD5">
      <w:pPr>
        <w:spacing w:line="360" w:lineRule="auto"/>
        <w:jc w:val="both"/>
      </w:pPr>
      <w:r>
        <w:lastRenderedPageBreak/>
        <w:t>Authors that provided additional data.</w:t>
      </w:r>
    </w:p>
    <w:p w14:paraId="6149920F" w14:textId="1A89F60D" w:rsidR="00741ABF" w:rsidRDefault="00741ABF" w:rsidP="00282DD5">
      <w:pPr>
        <w:spacing w:line="360" w:lineRule="auto"/>
        <w:jc w:val="both"/>
      </w:pPr>
      <w:r>
        <w:t>UCC Library service for ILL and research literacy skills</w:t>
      </w:r>
      <w:r w:rsidR="003678C1">
        <w:t>/support</w:t>
      </w:r>
    </w:p>
    <w:p w14:paraId="6FF31D0A" w14:textId="77777777" w:rsidR="009920D8" w:rsidRDefault="009920D8" w:rsidP="00282DD5">
      <w:pPr>
        <w:spacing w:line="360" w:lineRule="auto"/>
        <w:jc w:val="both"/>
      </w:pPr>
    </w:p>
    <w:p w14:paraId="03E3AD60" w14:textId="3BF507EA" w:rsidR="008515B4" w:rsidRPr="008515B4" w:rsidRDefault="00F667A1" w:rsidP="00282DD5">
      <w:pPr>
        <w:spacing w:line="360" w:lineRule="auto"/>
        <w:jc w:val="both"/>
        <w:rPr>
          <w:b/>
          <w:u w:val="single"/>
        </w:rPr>
      </w:pPr>
      <w:r w:rsidRPr="00F667A1">
        <w:rPr>
          <w:b/>
          <w:u w:val="single"/>
        </w:rPr>
        <w:t>F</w:t>
      </w:r>
      <w:r w:rsidR="006659C5">
        <w:rPr>
          <w:b/>
          <w:u w:val="single"/>
        </w:rPr>
        <w:t>unding/</w:t>
      </w:r>
      <w:r w:rsidRPr="00F667A1">
        <w:rPr>
          <w:b/>
          <w:u w:val="single"/>
        </w:rPr>
        <w:t>Conflict</w:t>
      </w:r>
      <w:r w:rsidR="006659C5">
        <w:rPr>
          <w:b/>
          <w:u w:val="single"/>
        </w:rPr>
        <w:t>/</w:t>
      </w:r>
      <w:r w:rsidR="008515B4">
        <w:rPr>
          <w:b/>
          <w:u w:val="single"/>
        </w:rPr>
        <w:t xml:space="preserve">Disclosure: </w:t>
      </w:r>
    </w:p>
    <w:p w14:paraId="680994E6" w14:textId="251F3AE5" w:rsidR="0086078A" w:rsidRDefault="000523C6">
      <w:r>
        <w:t xml:space="preserve">Nil </w:t>
      </w:r>
      <w:r w:rsidR="0086078A">
        <w:br w:type="page"/>
      </w:r>
    </w:p>
    <w:p w14:paraId="07FF1067" w14:textId="1C1C2F67" w:rsidR="00D27AFC" w:rsidRPr="000523C6" w:rsidRDefault="0086078A" w:rsidP="00282DD5">
      <w:pPr>
        <w:spacing w:line="360" w:lineRule="auto"/>
        <w:jc w:val="both"/>
        <w:rPr>
          <w:b/>
          <w:u w:val="single"/>
        </w:rPr>
      </w:pPr>
      <w:r w:rsidRPr="0086078A">
        <w:rPr>
          <w:b/>
          <w:u w:val="single"/>
        </w:rPr>
        <w:lastRenderedPageBreak/>
        <w:t>References:</w:t>
      </w:r>
    </w:p>
    <w:p w14:paraId="4F492754" w14:textId="77777777" w:rsidR="00897BEE" w:rsidRDefault="00897BEE" w:rsidP="0007440E">
      <w:pPr>
        <w:pStyle w:val="EndNoteBibliography"/>
        <w:spacing w:after="0"/>
        <w:rPr>
          <w:sz w:val="18"/>
        </w:rPr>
        <w:sectPr w:rsidR="00897BEE">
          <w:pgSz w:w="11906" w:h="16838"/>
          <w:pgMar w:top="1440" w:right="1440" w:bottom="1440" w:left="1440" w:header="708" w:footer="708" w:gutter="0"/>
          <w:cols w:space="708"/>
          <w:docGrid w:linePitch="360"/>
        </w:sectPr>
      </w:pPr>
    </w:p>
    <w:p w14:paraId="15CA8B35" w14:textId="251D51E3" w:rsidR="00B24B98" w:rsidRPr="00B24B98" w:rsidRDefault="00B24B98" w:rsidP="00B24B98">
      <w:pPr>
        <w:pStyle w:val="EndNoteBibliography"/>
        <w:spacing w:after="0"/>
      </w:pPr>
      <w:r w:rsidRPr="00B24B98">
        <w:t>1.</w:t>
      </w:r>
      <w:r w:rsidRPr="00B24B98">
        <w:tab/>
        <w:t>Team. WHOQAaSoM. Safety of medicines : a guide to detecting and reporting adverse drug reactions : why health professionals need to take action. . Geneva : World Health Organization 2002.</w:t>
      </w:r>
    </w:p>
    <w:p w14:paraId="6E3B9263" w14:textId="77777777" w:rsidR="00B24B98" w:rsidRPr="00B24B98" w:rsidRDefault="00B24B98" w:rsidP="00B24B98">
      <w:pPr>
        <w:pStyle w:val="EndNoteBibliography"/>
        <w:spacing w:after="0"/>
      </w:pPr>
      <w:r w:rsidRPr="00B24B98">
        <w:t>2.</w:t>
      </w:r>
      <w:r w:rsidRPr="00B24B98">
        <w:tab/>
        <w:t>Alhawassi TM, Krass I, Bajorek BV, Pont LG. A systematic review of the prevalence and risk factors for adverse drug reactions in the elderly in the acute care setting. Clinical interventions in aging. 2014;9:2079-86.</w:t>
      </w:r>
    </w:p>
    <w:p w14:paraId="0B2FF41B" w14:textId="77777777" w:rsidR="00B24B98" w:rsidRPr="00B24B98" w:rsidRDefault="00B24B98" w:rsidP="00B24B98">
      <w:pPr>
        <w:pStyle w:val="EndNoteBibliography"/>
        <w:spacing w:after="0"/>
      </w:pPr>
      <w:r w:rsidRPr="00B24B98">
        <w:t>3.</w:t>
      </w:r>
      <w:r w:rsidRPr="00B24B98">
        <w:tab/>
        <w:t>Lazarou J, Pomeranz BH, Corey PN. Incidence of adverse drug reactions in hospitalized patients: a meta-analysis of prospective studies. Jama. 1998 Apr 15;279(15):1200-5.</w:t>
      </w:r>
    </w:p>
    <w:p w14:paraId="408F00EE" w14:textId="77777777" w:rsidR="00B24B98" w:rsidRPr="00B24B98" w:rsidRDefault="00B24B98" w:rsidP="00B24B98">
      <w:pPr>
        <w:pStyle w:val="EndNoteBibliography"/>
        <w:spacing w:after="0"/>
      </w:pPr>
      <w:r w:rsidRPr="00B24B98">
        <w:t>4.</w:t>
      </w:r>
      <w:r w:rsidRPr="00B24B98">
        <w:tab/>
        <w:t>Alhawassi TM, Krass I, Bajorek BV, Pont LG. A systematic review of the prevalence and risk factors for adverse drug reactions in the elderly in the acute care setting. Clinical interventions in aging. 2014;9:2079.</w:t>
      </w:r>
    </w:p>
    <w:p w14:paraId="70E2634D" w14:textId="77777777" w:rsidR="00B24B98" w:rsidRPr="00B24B98" w:rsidRDefault="00B24B98" w:rsidP="00B24B98">
      <w:pPr>
        <w:pStyle w:val="EndNoteBibliography"/>
        <w:spacing w:after="0"/>
      </w:pPr>
      <w:r w:rsidRPr="00B24B98">
        <w:t>5.</w:t>
      </w:r>
      <w:r w:rsidRPr="00B24B98">
        <w:tab/>
        <w:t>Gray SL, Hart LA, Perera S, Semla TP, Schmader KE, Hanlon JT. Meta-analysis of Interventions to Reduce Adverse Drug Reactions in Older Adults. Journal of the American Geriatrics Society. 2018 Feb;66(2):282-8.</w:t>
      </w:r>
    </w:p>
    <w:p w14:paraId="19314C59" w14:textId="77777777" w:rsidR="00B24B98" w:rsidRPr="00B24B98" w:rsidRDefault="00B24B98" w:rsidP="00B24B98">
      <w:pPr>
        <w:pStyle w:val="EndNoteBibliography"/>
        <w:spacing w:after="0"/>
      </w:pPr>
      <w:r w:rsidRPr="00B24B98">
        <w:t>6.</w:t>
      </w:r>
      <w:r w:rsidRPr="00B24B98">
        <w:tab/>
        <w:t>Kanagaratnam L, Dramé M, Novella JL, Trenque T, Joachim C, Nazeyrollas P, et al. Risk Factors for Adverse Drug Reactions in Older Subjects Hospitalized in a Dedicated Dementia Unit. American Journal of Geriatric Psychiatry. 2017;25(3):290-6.</w:t>
      </w:r>
    </w:p>
    <w:p w14:paraId="407FF5C8" w14:textId="77777777" w:rsidR="00B24B98" w:rsidRPr="00B24B98" w:rsidRDefault="00B24B98" w:rsidP="00B24B98">
      <w:pPr>
        <w:pStyle w:val="EndNoteBibliography"/>
        <w:spacing w:after="0"/>
      </w:pPr>
      <w:r w:rsidRPr="00B24B98">
        <w:t>7.</w:t>
      </w:r>
      <w:r w:rsidRPr="00B24B98">
        <w:tab/>
        <w:t>Oscanoa TJ, Lizaraso F, Carvajal A. Hospital admissions due to adverse drug reactions in the elderly. A meta-analysis. European journal of clinical pharmacology. 2017 Jun;73(6):759-70.</w:t>
      </w:r>
    </w:p>
    <w:p w14:paraId="30147969" w14:textId="77777777" w:rsidR="00B24B98" w:rsidRPr="00B24B98" w:rsidRDefault="00B24B98" w:rsidP="00B24B98">
      <w:pPr>
        <w:pStyle w:val="EndNoteBibliography"/>
        <w:spacing w:after="0"/>
      </w:pPr>
      <w:r w:rsidRPr="00B24B98">
        <w:t>8.</w:t>
      </w:r>
      <w:r w:rsidRPr="00B24B98">
        <w:tab/>
        <w:t>Stevenson JM, Williams JL, Burnham TG, Prevost AT, Schiff R, Erskine SD, et al. Predicting adverse drug reactions in older adults; a systematic review of the risk prediction models. Clinical interventions in aging. 2014;9:1581.</w:t>
      </w:r>
    </w:p>
    <w:p w14:paraId="21C9B1D2" w14:textId="77777777" w:rsidR="00B24B98" w:rsidRPr="00B24B98" w:rsidRDefault="00B24B98" w:rsidP="00B24B98">
      <w:pPr>
        <w:pStyle w:val="EndNoteBibliography"/>
        <w:spacing w:after="0"/>
      </w:pPr>
      <w:r w:rsidRPr="00B24B98">
        <w:t>9.</w:t>
      </w:r>
      <w:r w:rsidRPr="00B24B98">
        <w:tab/>
        <w:t>Beijer HJ, de Blaey CJ. Hospitalisations caused by adverse drug reactions (ADR): a meta-analysis of observational studies. Pharm World Sci. 2002 Apr;24(2):46-54.</w:t>
      </w:r>
    </w:p>
    <w:p w14:paraId="594E2B30" w14:textId="77777777" w:rsidR="00B24B98" w:rsidRPr="00B24B98" w:rsidRDefault="00B24B98" w:rsidP="00B24B98">
      <w:pPr>
        <w:pStyle w:val="EndNoteBibliography"/>
        <w:spacing w:after="0"/>
      </w:pPr>
      <w:r w:rsidRPr="00B24B98">
        <w:t>10.</w:t>
      </w:r>
      <w:r w:rsidRPr="00B24B98">
        <w:tab/>
        <w:t xml:space="preserve">Kongkaew C, Noyce PR, Ashcroft DM. Hospital admissions associated with adverse </w:t>
      </w:r>
      <w:r w:rsidRPr="00B24B98">
        <w:t>drug reactions: a systematic review of prospective observational studies. The Annals of pharmacotherapy. 2008 Jul;42(7):1017-25.</w:t>
      </w:r>
    </w:p>
    <w:p w14:paraId="553FAA88" w14:textId="77777777" w:rsidR="00B24B98" w:rsidRPr="00B24B98" w:rsidRDefault="00B24B98" w:rsidP="00B24B98">
      <w:pPr>
        <w:pStyle w:val="EndNoteBibliography"/>
        <w:spacing w:after="0"/>
      </w:pPr>
      <w:r w:rsidRPr="00B24B98">
        <w:t>11.</w:t>
      </w:r>
      <w:r w:rsidRPr="00B24B98">
        <w:tab/>
        <w:t>Patel NS, Patel TK, Patel PB, Naik VN, Tripathi CB. Hospitalizations due to preventable adverse reactions-a systematic review. European journal of clinical pharmacology. 2017 Apr;73(4):385-98.</w:t>
      </w:r>
    </w:p>
    <w:p w14:paraId="6661048F" w14:textId="77777777" w:rsidR="00B24B98" w:rsidRPr="00B24B98" w:rsidRDefault="00B24B98" w:rsidP="00B24B98">
      <w:pPr>
        <w:pStyle w:val="EndNoteBibliography"/>
        <w:spacing w:after="0"/>
      </w:pPr>
      <w:r w:rsidRPr="00B24B98">
        <w:t>12.</w:t>
      </w:r>
      <w:r w:rsidRPr="00B24B98">
        <w:tab/>
        <w:t>Kanagaratnam L, Drame M, Trenque T, Oubaya N, Nazeyrollas P, Novella JL, et al. Adverse drug reactions in elderly patients with cognitive disorders: A systematic review. Maturitas. 2016 Mar;85:56-63.</w:t>
      </w:r>
    </w:p>
    <w:p w14:paraId="28209A8B" w14:textId="77777777" w:rsidR="00B24B98" w:rsidRPr="00B24B98" w:rsidRDefault="00B24B98" w:rsidP="00B24B98">
      <w:pPr>
        <w:pStyle w:val="EndNoteBibliography"/>
        <w:spacing w:after="0"/>
      </w:pPr>
      <w:r w:rsidRPr="00B24B98">
        <w:t>13.</w:t>
      </w:r>
      <w:r w:rsidRPr="00B24B98">
        <w:tab/>
        <w:t>Laatikainen O, Miettunen J, Sneck S, Lehtiniemi H, Tenhunen O, Turpeinen M. The prevalence of medication-related adverse events in inpatients-a systematic review and meta-analysis. European journal of clinical pharmacology. 2017 Dec;73(12):1539-49.</w:t>
      </w:r>
    </w:p>
    <w:p w14:paraId="7A944B92" w14:textId="77777777" w:rsidR="00B24B98" w:rsidRPr="00B24B98" w:rsidRDefault="00B24B98" w:rsidP="00B24B98">
      <w:pPr>
        <w:pStyle w:val="EndNoteBibliography"/>
        <w:spacing w:after="0"/>
      </w:pPr>
      <w:r w:rsidRPr="00B24B98">
        <w:t>14.</w:t>
      </w:r>
      <w:r w:rsidRPr="00B24B98">
        <w:tab/>
        <w:t>Broyles RW, Chou AF, Mattachione S, Wild RC, Al-Assaf AF. The effect of adverse medical events on spending on inpatient care. Qual Manag Health Care. 2009 Oct-Dec;18(4):315-25.</w:t>
      </w:r>
    </w:p>
    <w:p w14:paraId="3CCCFA32" w14:textId="77777777" w:rsidR="00B24B98" w:rsidRPr="00B24B98" w:rsidRDefault="00B24B98" w:rsidP="00B24B98">
      <w:pPr>
        <w:pStyle w:val="EndNoteBibliography"/>
        <w:spacing w:after="0"/>
      </w:pPr>
      <w:r w:rsidRPr="00B24B98">
        <w:t>15.</w:t>
      </w:r>
      <w:r w:rsidRPr="00B24B98">
        <w:tab/>
        <w:t>Hoonhout LH, de Bruijne MC, Wagner C, Asscheman H, van der Wal G, van Tulder MW. Nature, occurrence and consequences of medication-related adverse events during hospitalization: a retrospective chart review in the Netherlands. Drug safety. 2010 Oct 1;33(10):853-64.</w:t>
      </w:r>
    </w:p>
    <w:p w14:paraId="74391185" w14:textId="77777777" w:rsidR="00B24B98" w:rsidRPr="00B24B98" w:rsidRDefault="00B24B98" w:rsidP="00B24B98">
      <w:pPr>
        <w:pStyle w:val="EndNoteBibliography"/>
        <w:spacing w:after="0"/>
      </w:pPr>
      <w:r w:rsidRPr="00B24B98">
        <w:t>16.</w:t>
      </w:r>
      <w:r w:rsidRPr="00B24B98">
        <w:tab/>
        <w:t>Leendertse AJ, Van Den Bemt PM, Poolman JB, Stoker LJ, Egberts AC, Postma MJ. Preventable hospital admissions related to medication (HARM): cost analysis of the HARM study. Value Health. 2011 Jan;14(1):34-40.</w:t>
      </w:r>
    </w:p>
    <w:p w14:paraId="252F94A2" w14:textId="77777777" w:rsidR="00B24B98" w:rsidRPr="00B24B98" w:rsidRDefault="00B24B98" w:rsidP="00B24B98">
      <w:pPr>
        <w:pStyle w:val="EndNoteBibliography"/>
        <w:spacing w:after="0"/>
      </w:pPr>
      <w:r w:rsidRPr="00B24B98">
        <w:t>17.</w:t>
      </w:r>
      <w:r w:rsidRPr="00B24B98">
        <w:tab/>
        <w:t>Chiatti C, Bustacchini S, Furneri G, Mantovani L, Cristiani M, Misuraca C, et al. The economic burden of inappropriate drug prescribing, lack of adherence and compliance, adverse drug events in older people: a systematic review. Drug safety. 2012 Jan;35 Suppl 1:73-87.</w:t>
      </w:r>
    </w:p>
    <w:p w14:paraId="34F85A88" w14:textId="77777777" w:rsidR="00B24B98" w:rsidRPr="00B24B98" w:rsidRDefault="00B24B98" w:rsidP="00B24B98">
      <w:pPr>
        <w:pStyle w:val="EndNoteBibliography"/>
        <w:spacing w:after="0"/>
      </w:pPr>
      <w:r w:rsidRPr="00B24B98">
        <w:t>18.</w:t>
      </w:r>
      <w:r w:rsidRPr="00B24B98">
        <w:tab/>
        <w:t>Hug BL, Keohane C, Seger DL, Yoon C, Bates DW. The costs of adverse drug events in community hospitals. Jt Comm J Qual Patient Saf. 2012 Mar;38(3):120-6.</w:t>
      </w:r>
    </w:p>
    <w:p w14:paraId="63F85D5D" w14:textId="77777777" w:rsidR="00B24B98" w:rsidRPr="00B24B98" w:rsidRDefault="00B24B98" w:rsidP="00B24B98">
      <w:pPr>
        <w:pStyle w:val="EndNoteBibliography"/>
        <w:spacing w:after="0"/>
      </w:pPr>
      <w:r w:rsidRPr="00B24B98">
        <w:t>19.</w:t>
      </w:r>
      <w:r w:rsidRPr="00B24B98">
        <w:tab/>
        <w:t xml:space="preserve">Khan LM. Comparative epidemiology of hospital-acquired adverse drug reactions in </w:t>
      </w:r>
      <w:r w:rsidRPr="00B24B98">
        <w:lastRenderedPageBreak/>
        <w:t>adults and children and their impact on cost and hospital stay--a systematic review. European journal of clinical pharmacology. 2013 Dec;69(12):1985-96.</w:t>
      </w:r>
    </w:p>
    <w:p w14:paraId="1699CC80" w14:textId="77777777" w:rsidR="00B24B98" w:rsidRPr="00B24B98" w:rsidRDefault="00B24B98" w:rsidP="00B24B98">
      <w:pPr>
        <w:pStyle w:val="EndNoteBibliography"/>
        <w:spacing w:after="0"/>
      </w:pPr>
      <w:r w:rsidRPr="00B24B98">
        <w:t>20.</w:t>
      </w:r>
      <w:r w:rsidRPr="00B24B98">
        <w:tab/>
        <w:t>Field TS, Gilman BH, Subramanian S, Fuller JC, Bates DW, Gurwitz JH. The costs associated with adverse drug events among older adults in the ambulatory setting. Med Care. 2005 Dec;43(12):1171-6.</w:t>
      </w:r>
    </w:p>
    <w:p w14:paraId="2BCB3322" w14:textId="77777777" w:rsidR="00B24B98" w:rsidRPr="00B24B98" w:rsidRDefault="00B24B98" w:rsidP="00B24B98">
      <w:pPr>
        <w:pStyle w:val="EndNoteBibliography"/>
        <w:spacing w:after="0"/>
      </w:pPr>
      <w:r w:rsidRPr="00B24B98">
        <w:t>21.</w:t>
      </w:r>
      <w:r w:rsidRPr="00B24B98">
        <w:tab/>
        <w:t>Cooper JA, Cadogan CA, Patterson SM, Kerse N, Bradley MC, Ryan C, et al. Interventions to improve the appropriate use of polypharmacy in older people: a Cochrane systematic review. BMJ open. 2015 Dec 9;5(12):e009235.</w:t>
      </w:r>
    </w:p>
    <w:p w14:paraId="131FFB0D" w14:textId="77777777" w:rsidR="00B24B98" w:rsidRPr="00B24B98" w:rsidRDefault="00B24B98" w:rsidP="00B24B98">
      <w:pPr>
        <w:pStyle w:val="EndNoteBibliography"/>
        <w:spacing w:after="0"/>
      </w:pPr>
      <w:r w:rsidRPr="00B24B98">
        <w:t>22.</w:t>
      </w:r>
      <w:r w:rsidRPr="00B24B98">
        <w:tab/>
        <w:t>Ayub MN, Da Silva D, Martinbiancho JK, Dal-Pizzol TS. Adverse Drug Reactions in Patients Hospitalized in the Intensive Care Unit of a University Hospital in Southern Brazil. Lat Am J Pharm. 2010 Aug;29(5):688-93.</w:t>
      </w:r>
    </w:p>
    <w:p w14:paraId="5171E47A" w14:textId="77777777" w:rsidR="00B24B98" w:rsidRPr="00B24B98" w:rsidRDefault="00B24B98" w:rsidP="00B24B98">
      <w:pPr>
        <w:pStyle w:val="EndNoteBibliography"/>
        <w:spacing w:after="0"/>
      </w:pPr>
      <w:r w:rsidRPr="00B24B98">
        <w:t>23.</w:t>
      </w:r>
      <w:r w:rsidRPr="00B24B98">
        <w:tab/>
        <w:t>Bowman L, Carlstedt BC, Hancock EF, Black CD. Adverse drug reaction (ADR) occurrence and evaluation in elderly inpatients. Pharmacoepidemiology and drug safety. 1996;5(1):9-18.</w:t>
      </w:r>
    </w:p>
    <w:p w14:paraId="36E0E392" w14:textId="77777777" w:rsidR="00B24B98" w:rsidRPr="00B24B98" w:rsidRDefault="00B24B98" w:rsidP="00B24B98">
      <w:pPr>
        <w:pStyle w:val="EndNoteBibliography"/>
        <w:spacing w:after="0"/>
      </w:pPr>
      <w:r w:rsidRPr="00B24B98">
        <w:t>24.</w:t>
      </w:r>
      <w:r w:rsidRPr="00B24B98">
        <w:tab/>
        <w:t>Calderon-Ospina C, Bustamante-Rojas C. The DoTS classification is a useful way to classify adverse drug reactions: a preliminary study in hospitalized patients. Int J Pharm Pract. 2010 Aug;18(4):230-5.</w:t>
      </w:r>
    </w:p>
    <w:p w14:paraId="7E1C2E5D" w14:textId="77777777" w:rsidR="00B24B98" w:rsidRPr="00B24B98" w:rsidRDefault="00B24B98" w:rsidP="00B24B98">
      <w:pPr>
        <w:pStyle w:val="EndNoteBibliography"/>
        <w:spacing w:after="0"/>
      </w:pPr>
      <w:r w:rsidRPr="00B24B98">
        <w:t>25.</w:t>
      </w:r>
      <w:r w:rsidRPr="00B24B98">
        <w:tab/>
        <w:t>Cheong S, Ong E, Goh W, Karim S, See L, Chong E, editors. Do Adverse Drug Reactions Vary Between Frail and Non-Frail Hospitalized Older Adults? Journal of the American Geriatrics Society; 2018: WILEY 111 RIVER ST, HOBOKEN 07030-5774, NJ USA.</w:t>
      </w:r>
    </w:p>
    <w:p w14:paraId="66746A6E" w14:textId="77777777" w:rsidR="00B24B98" w:rsidRPr="00B24B98" w:rsidRDefault="00B24B98" w:rsidP="00B24B98">
      <w:pPr>
        <w:pStyle w:val="EndNoteBibliography"/>
        <w:spacing w:after="0"/>
      </w:pPr>
      <w:r w:rsidRPr="00B24B98">
        <w:t>26.</w:t>
      </w:r>
      <w:r w:rsidRPr="00B24B98">
        <w:tab/>
        <w:t>Cheong S, Ong E, Goh W, Karim S, See L, Chong E, editors. Identifying Specific Drugs Classes That Result in Adverse Drug Reactions Between Frail and Non-Frail Hospitalized Older Adults. Journal of the American Geriatrics Society; 2018: WILEY 111 RIVER ST, HOBOKEN 07030-5774, NJ USA.</w:t>
      </w:r>
    </w:p>
    <w:p w14:paraId="0E4C86AF" w14:textId="77777777" w:rsidR="00B24B98" w:rsidRPr="00B24B98" w:rsidRDefault="00B24B98" w:rsidP="00B24B98">
      <w:pPr>
        <w:pStyle w:val="EndNoteBibliography"/>
        <w:spacing w:after="0"/>
      </w:pPr>
      <w:r w:rsidRPr="00B24B98">
        <w:t>27.</w:t>
      </w:r>
      <w:r w:rsidRPr="00B24B98">
        <w:tab/>
        <w:t>Conforti A, Costantini D, Zanetti F, Moretti U, Grezzana M, Leone R. Adverse drug reactions in older patients: an Italian observational prospective hospital study. Drug, healthcare and patient safety. 2012;4:75.</w:t>
      </w:r>
    </w:p>
    <w:p w14:paraId="6319F23F" w14:textId="77777777" w:rsidR="00B24B98" w:rsidRPr="00B24B98" w:rsidRDefault="00B24B98" w:rsidP="00B24B98">
      <w:pPr>
        <w:pStyle w:val="EndNoteBibliography"/>
        <w:spacing w:after="0"/>
      </w:pPr>
      <w:r w:rsidRPr="00B24B98">
        <w:t>28.</w:t>
      </w:r>
      <w:r w:rsidRPr="00B24B98">
        <w:tab/>
        <w:t xml:space="preserve">Corsonello A, Pedone C, Lattanzio F, Lucchetti M, Garasto S, Di Muzio M, et al. Potentially inappropriate medications and </w:t>
      </w:r>
      <w:r w:rsidRPr="00B24B98">
        <w:t>functional decline in elderly hospitalized patients. Journal of the American Geriatrics Society. 2009;57(6):1007-14.</w:t>
      </w:r>
    </w:p>
    <w:p w14:paraId="4BF303E1" w14:textId="77777777" w:rsidR="00B24B98" w:rsidRPr="00B24B98" w:rsidRDefault="00B24B98" w:rsidP="00B24B98">
      <w:pPr>
        <w:pStyle w:val="EndNoteBibliography"/>
        <w:spacing w:after="0"/>
      </w:pPr>
      <w:r w:rsidRPr="00B24B98">
        <w:t>29.</w:t>
      </w:r>
      <w:r w:rsidRPr="00B24B98">
        <w:tab/>
        <w:t>Davies EC, Green CF, Taylor S, Williamson PR, Mottram DR, Pirmohamed M. Adverse drug reactions in hospital in-patients: a prospective analysis of 3695 patient-episodes. PloS one. 2009;4(2):e4439.</w:t>
      </w:r>
    </w:p>
    <w:p w14:paraId="189AF1C0" w14:textId="77777777" w:rsidR="00B24B98" w:rsidRPr="00B24B98" w:rsidRDefault="00B24B98" w:rsidP="00B24B98">
      <w:pPr>
        <w:pStyle w:val="EndNoteBibliography"/>
        <w:spacing w:after="0"/>
      </w:pPr>
      <w:r w:rsidRPr="00B24B98">
        <w:t>30.</w:t>
      </w:r>
      <w:r w:rsidRPr="00B24B98">
        <w:tab/>
        <w:t>Fernandez-Regueiro R, Fonseca-Aizpuru E, Lopez-Colina G, Alvarez-Uria A, Rodriguez-Avila E, Moris-De-La-Tassa J. Inappropriate drug prescription and adverse drug effects in elderly patients. Revista Clinica Espanola. 2011 Sep;211(8):400-6.</w:t>
      </w:r>
    </w:p>
    <w:p w14:paraId="6CC6C4BA" w14:textId="77777777" w:rsidR="00B24B98" w:rsidRPr="00B24B98" w:rsidRDefault="00B24B98" w:rsidP="00B24B98">
      <w:pPr>
        <w:pStyle w:val="EndNoteBibliography"/>
        <w:spacing w:after="0"/>
      </w:pPr>
      <w:r w:rsidRPr="00B24B98">
        <w:t>31.</w:t>
      </w:r>
      <w:r w:rsidRPr="00B24B98">
        <w:tab/>
        <w:t>Ganeva M, Gancheva T, Lazarova R, Tzvetanova Y, Hristakieva E. A prospective study of adverse drug reactions in a dermatology department. Method Find Exp Clin. 2007 Mar;29(2):107-12.</w:t>
      </w:r>
    </w:p>
    <w:p w14:paraId="4BEAE7D6" w14:textId="77777777" w:rsidR="00B24B98" w:rsidRPr="00B24B98" w:rsidRDefault="00B24B98" w:rsidP="00B24B98">
      <w:pPr>
        <w:pStyle w:val="EndNoteBibliography"/>
        <w:spacing w:after="0"/>
      </w:pPr>
      <w:r w:rsidRPr="00B24B98">
        <w:t>32.</w:t>
      </w:r>
      <w:r w:rsidRPr="00B24B98">
        <w:tab/>
        <w:t>Ganeva M, Gancheva T, Troeva J, Gancheva D, Hristakieva E. A study of adverse drug reactions in hospitalized patients in relation to age. European journal of clinical pharmacy: atención farmacéutica. 2016;18(3):154-62.</w:t>
      </w:r>
    </w:p>
    <w:p w14:paraId="04B8B62B" w14:textId="77777777" w:rsidR="00B24B98" w:rsidRPr="00B24B98" w:rsidRDefault="00B24B98" w:rsidP="00B24B98">
      <w:pPr>
        <w:pStyle w:val="EndNoteBibliography"/>
        <w:spacing w:after="0"/>
      </w:pPr>
      <w:r w:rsidRPr="00B24B98">
        <w:t>33.</w:t>
      </w:r>
      <w:r w:rsidRPr="00B24B98">
        <w:tab/>
        <w:t>Ganeva M, Gancheva T, Troeva J, Kiriyak N, Hristakieva E. Clinical relevance of drug-drug interactions in hospitalized dermatology patients. Advances in Clinical and Experimental Medicine. 2013;22(4):555-63.</w:t>
      </w:r>
    </w:p>
    <w:p w14:paraId="36CDFAF2" w14:textId="77777777" w:rsidR="00B24B98" w:rsidRPr="00B24B98" w:rsidRDefault="00B24B98" w:rsidP="00B24B98">
      <w:pPr>
        <w:pStyle w:val="EndNoteBibliography"/>
        <w:spacing w:after="0"/>
      </w:pPr>
      <w:r w:rsidRPr="00B24B98">
        <w:t>34.</w:t>
      </w:r>
      <w:r w:rsidRPr="00B24B98">
        <w:tab/>
        <w:t>Giardina C, Cutroneo PM, Mocciaro E, Russo GT, Mandraffino G, Basile G, et al. Adverse Drug Reactions in Hospitalized Patients: Results of the FORWARD (Facilitation of Reporting in Hospital Ward) Study. Frontiers in pharmacology. 2018;9:350.</w:t>
      </w:r>
    </w:p>
    <w:p w14:paraId="36C3D78C" w14:textId="77777777" w:rsidR="00B24B98" w:rsidRPr="00B24B98" w:rsidRDefault="00B24B98" w:rsidP="00B24B98">
      <w:pPr>
        <w:pStyle w:val="EndNoteBibliography"/>
        <w:spacing w:after="0"/>
      </w:pPr>
      <w:r w:rsidRPr="00B24B98">
        <w:t>35.</w:t>
      </w:r>
      <w:r w:rsidRPr="00B24B98">
        <w:tab/>
        <w:t>Gonzalez-Martin G, Yanez L, Valenzuela E. [Adverse drug reactions among hospitalized elderly patients. Prospective study]. Revista medica de Chile. 1997 Oct;125(10):1129-36.</w:t>
      </w:r>
    </w:p>
    <w:p w14:paraId="22535E14" w14:textId="77777777" w:rsidR="00B24B98" w:rsidRPr="00B24B98" w:rsidRDefault="00B24B98" w:rsidP="00B24B98">
      <w:pPr>
        <w:pStyle w:val="EndNoteBibliography"/>
        <w:spacing w:after="0"/>
      </w:pPr>
      <w:r w:rsidRPr="00B24B98">
        <w:t>36.</w:t>
      </w:r>
      <w:r w:rsidRPr="00B24B98">
        <w:tab/>
        <w:t>Harugeri A, Parthasarathi G, Ramesh M, Guido S, Basavanagowdappa H. Frequency and nature of adverse drug reactions in elderly in-patients of two Indian medical college hospitals. Journal of postgraduate medicine. 2011 Jul-Sep;57(3):189-95.</w:t>
      </w:r>
    </w:p>
    <w:p w14:paraId="725D9E58" w14:textId="77777777" w:rsidR="00B24B98" w:rsidRPr="00B24B98" w:rsidRDefault="00B24B98" w:rsidP="00B24B98">
      <w:pPr>
        <w:pStyle w:val="EndNoteBibliography"/>
        <w:spacing w:after="0"/>
      </w:pPr>
      <w:r w:rsidRPr="00B24B98">
        <w:t>37.</w:t>
      </w:r>
      <w:r w:rsidRPr="00B24B98">
        <w:tab/>
        <w:t xml:space="preserve">Kaur U, Chakrabarti SS, Singh B, Gambhir IS. A Prospective Observational Pilot Study of Adverse Drug Reactions in Patients Admitted in the Geriatric Ward of a Tertiary </w:t>
      </w:r>
      <w:r w:rsidRPr="00B24B98">
        <w:lastRenderedPageBreak/>
        <w:t>Hospital in North India. Current Pharmacogenomics and Personalized Medicine (Formerly Current Pharmacogenomics). 2018;16(2):147-55.</w:t>
      </w:r>
    </w:p>
    <w:p w14:paraId="04D93C69" w14:textId="77777777" w:rsidR="00B24B98" w:rsidRPr="00B24B98" w:rsidRDefault="00B24B98" w:rsidP="00B24B98">
      <w:pPr>
        <w:pStyle w:val="EndNoteBibliography"/>
        <w:spacing w:after="0"/>
      </w:pPr>
      <w:r w:rsidRPr="00B24B98">
        <w:t>38.</w:t>
      </w:r>
      <w:r w:rsidRPr="00B24B98">
        <w:tab/>
        <w:t>Lavan A, Eustace J, Dahly D, Flanagan E, Gallagher P, Cullinane S, et al. Incident adverse drug reactions in geriatric inpatients: a multicentred observational study. Therapeutic advances in drug safety. 2018;9(1):13-23.</w:t>
      </w:r>
    </w:p>
    <w:p w14:paraId="4EF7524F" w14:textId="77777777" w:rsidR="00B24B98" w:rsidRPr="00B24B98" w:rsidRDefault="00B24B98" w:rsidP="00B24B98">
      <w:pPr>
        <w:pStyle w:val="EndNoteBibliography"/>
        <w:spacing w:after="0"/>
      </w:pPr>
      <w:r w:rsidRPr="00B24B98">
        <w:t>39.</w:t>
      </w:r>
      <w:r w:rsidRPr="00B24B98">
        <w:tab/>
        <w:t>Leach S, Roy SS. ADVERSE DRUG REACTIONS: AN INVESTIGATION ON AN ACUTE GERIATRIC WARD. Age and ageing. 1986;15(4):241-6.</w:t>
      </w:r>
    </w:p>
    <w:p w14:paraId="66094E3D" w14:textId="77777777" w:rsidR="00B24B98" w:rsidRPr="00B24B98" w:rsidRDefault="00B24B98" w:rsidP="00B24B98">
      <w:pPr>
        <w:pStyle w:val="EndNoteBibliography"/>
        <w:spacing w:after="0"/>
      </w:pPr>
      <w:r w:rsidRPr="00B24B98">
        <w:t>40.</w:t>
      </w:r>
      <w:r w:rsidRPr="00B24B98">
        <w:tab/>
        <w:t>Mohebbi N, Shalviri G, Salarifar M, Salamzadeh J, Gholami K. Adverse drug reactions induced by cardiovascular drugs in cardiovascular care unit patients. Pharmacoepidemiology and drug safety. 2010;19(9):889-94.</w:t>
      </w:r>
    </w:p>
    <w:p w14:paraId="0C72060D" w14:textId="77777777" w:rsidR="00B24B98" w:rsidRPr="00B24B98" w:rsidRDefault="00B24B98" w:rsidP="00B24B98">
      <w:pPr>
        <w:pStyle w:val="EndNoteBibliography"/>
        <w:spacing w:after="0"/>
      </w:pPr>
      <w:r w:rsidRPr="00B24B98">
        <w:t>41.</w:t>
      </w:r>
      <w:r w:rsidRPr="00B24B98">
        <w:tab/>
        <w:t>Mugoša S, Bukumirić Z, Kovačević A, Bošković A, Protić D, Todorović Z. Adverse drug reactions in hospitalized cardiac patients: characteristics and risk factors. Vojnosanitetski pregled. 2015;72(11):975-81.</w:t>
      </w:r>
    </w:p>
    <w:p w14:paraId="01234A0A" w14:textId="77777777" w:rsidR="00B24B98" w:rsidRPr="00B24B98" w:rsidRDefault="00B24B98" w:rsidP="00B24B98">
      <w:pPr>
        <w:pStyle w:val="EndNoteBibliography"/>
        <w:spacing w:after="0"/>
      </w:pPr>
      <w:r w:rsidRPr="00B24B98">
        <w:t>42.</w:t>
      </w:r>
      <w:r w:rsidRPr="00B24B98">
        <w:tab/>
        <w:t>O'Connor MN, Gallagher P, Byrne S, O'Mahony D. Adverse drug reactions in older patients during hospitalisation: Are they predictable? Age and ageing. 2012;41(6):771-6.</w:t>
      </w:r>
    </w:p>
    <w:p w14:paraId="2D828CD4" w14:textId="77777777" w:rsidR="00B24B98" w:rsidRPr="00B24B98" w:rsidRDefault="00B24B98" w:rsidP="00B24B98">
      <w:pPr>
        <w:pStyle w:val="EndNoteBibliography"/>
        <w:spacing w:after="0"/>
      </w:pPr>
      <w:r w:rsidRPr="00B24B98">
        <w:t>43.</w:t>
      </w:r>
      <w:r w:rsidRPr="00B24B98">
        <w:tab/>
        <w:t>O'connor MN, O'sullivan D, Gallagher PF, Eustace J, Byrne S, O'mahony D. Prevention of hospital‐acquired adverse drug reactions in older people using screening tool of older persons' prescriptions and screening tool to alert to right treatment criteria: A cluster randomized controlled trial. Journal of the American Geriatrics Society. 2016;64(8):1558-66.</w:t>
      </w:r>
    </w:p>
    <w:p w14:paraId="50EC9E43" w14:textId="77777777" w:rsidR="00B24B98" w:rsidRPr="00B24B98" w:rsidRDefault="00B24B98" w:rsidP="00B24B98">
      <w:pPr>
        <w:pStyle w:val="EndNoteBibliography"/>
        <w:spacing w:after="0"/>
      </w:pPr>
      <w:r w:rsidRPr="00B24B98">
        <w:t>44.</w:t>
      </w:r>
      <w:r w:rsidRPr="00B24B98">
        <w:tab/>
        <w:t>Onder G, Petrovic M, Tangiisuran B, Meinardi MC, Markito-Notenboom WP, Somers A, et al. Development and validation of a score to assess risk of adverse drug reactions among in-hospital patients 65 years or older: the GerontoNet ADR risk score. Archives of internal medicine. 2010;170(13):1142-8.</w:t>
      </w:r>
    </w:p>
    <w:p w14:paraId="4B1C4A39" w14:textId="77777777" w:rsidR="00B24B98" w:rsidRPr="00B24B98" w:rsidRDefault="00B24B98" w:rsidP="00B24B98">
      <w:pPr>
        <w:pStyle w:val="EndNoteBibliography"/>
        <w:spacing w:after="0"/>
      </w:pPr>
      <w:r w:rsidRPr="00B24B98">
        <w:t>45.</w:t>
      </w:r>
      <w:r w:rsidRPr="00B24B98">
        <w:tab/>
        <w:t>O'Sullivan D, O'Mahony D, O'Connor MN, Gallagher P, Gallagher J, Cullinan S, et al. Prevention of Adverse Drug Reactions in Hospitalised Older Patients Using a Software-Supported Structured Pharmacist Intervention: A Cluster Randomised Controlled Trial. Drugs &amp; aging. 2016 Jan;33(1):63-73.</w:t>
      </w:r>
    </w:p>
    <w:p w14:paraId="2F77C777" w14:textId="77777777" w:rsidR="00B24B98" w:rsidRPr="00B24B98" w:rsidRDefault="00B24B98" w:rsidP="00B24B98">
      <w:pPr>
        <w:pStyle w:val="EndNoteBibliography"/>
        <w:spacing w:after="0"/>
      </w:pPr>
      <w:r w:rsidRPr="00B24B98">
        <w:t>46.</w:t>
      </w:r>
      <w:r w:rsidRPr="00B24B98">
        <w:tab/>
        <w:t>REICHEL W. Complications in the care of five hundred elderly hospitalized patients. Journal of the American Geriatrics Society. 1965;13(11):973-81.</w:t>
      </w:r>
    </w:p>
    <w:p w14:paraId="54741A18" w14:textId="77777777" w:rsidR="00B24B98" w:rsidRPr="00B24B98" w:rsidRDefault="00B24B98" w:rsidP="00B24B98">
      <w:pPr>
        <w:pStyle w:val="EndNoteBibliography"/>
        <w:spacing w:after="0"/>
      </w:pPr>
      <w:r w:rsidRPr="00B24B98">
        <w:t>47.</w:t>
      </w:r>
      <w:r w:rsidRPr="00B24B98">
        <w:tab/>
        <w:t>Tangiisuran B, Graham Davies J, Wright JE, Rajkumar C. Adverse Drug Reactions in a Population of Hospitalized Very Elderly Patients. Drugs &amp; aging. [journal article]. 2012 August 01;29(8):669-79.</w:t>
      </w:r>
    </w:p>
    <w:p w14:paraId="61D39E94" w14:textId="77777777" w:rsidR="00B24B98" w:rsidRPr="00B24B98" w:rsidRDefault="00B24B98" w:rsidP="00B24B98">
      <w:pPr>
        <w:pStyle w:val="EndNoteBibliography"/>
        <w:spacing w:after="0"/>
      </w:pPr>
      <w:r w:rsidRPr="00B24B98">
        <w:t>48.</w:t>
      </w:r>
      <w:r w:rsidRPr="00B24B98">
        <w:tab/>
        <w:t>Tangiisuran B, Scutt G, Stevenson J, Wright J, Onder G, Petrovic M, et al. Development and validation of a risk model for predicting adverse drug reactions in older people during hospital stay: Brighton Adverse Drug Reactions Risk (BADRI) model. PloS one. 2014;9(10):e111254.</w:t>
      </w:r>
    </w:p>
    <w:p w14:paraId="61E059A4" w14:textId="77777777" w:rsidR="00B24B98" w:rsidRPr="00B24B98" w:rsidRDefault="00B24B98" w:rsidP="00B24B98">
      <w:pPr>
        <w:pStyle w:val="EndNoteBibliography"/>
        <w:spacing w:after="0"/>
      </w:pPr>
      <w:r w:rsidRPr="00B24B98">
        <w:t>49.</w:t>
      </w:r>
      <w:r w:rsidRPr="00B24B98">
        <w:tab/>
        <w:t>Conforti A, Costantini D, Zanetti F, Moretti U, Grezzana M, Leone R. Adverse drug reactions in older patients: an Italian observational prospective hospital study. Drug Healthc Patient Saf. 2012;4:75-80.</w:t>
      </w:r>
    </w:p>
    <w:p w14:paraId="4BD7D83E" w14:textId="77777777" w:rsidR="00B24B98" w:rsidRPr="00B24B98" w:rsidRDefault="00B24B98" w:rsidP="00B24B98">
      <w:pPr>
        <w:pStyle w:val="EndNoteBibliography"/>
        <w:spacing w:after="0"/>
      </w:pPr>
      <w:r w:rsidRPr="00B24B98">
        <w:t>50.</w:t>
      </w:r>
      <w:r w:rsidRPr="00B24B98">
        <w:tab/>
        <w:t>Corsonello A, Pranno L, Garasto S, Fabietti P, Bustacchini S, Lattanzio F. Potentially inappropriate medication in elderly hospitalized patients. Drugs &amp; aging. 2009 Dec;26 Suppl 1:31-9.</w:t>
      </w:r>
    </w:p>
    <w:p w14:paraId="4FD3DEE7" w14:textId="77777777" w:rsidR="00B24B98" w:rsidRPr="00B24B98" w:rsidRDefault="00B24B98" w:rsidP="00B24B98">
      <w:pPr>
        <w:pStyle w:val="EndNoteBibliography"/>
        <w:spacing w:after="0"/>
      </w:pPr>
      <w:r w:rsidRPr="00B24B98">
        <w:t>51.</w:t>
      </w:r>
      <w:r w:rsidRPr="00B24B98">
        <w:tab/>
        <w:t>Ganeva M, Gancheva T, Lazarova R, Tzvetanova Y, Hristakieva E. A prospective study of adverse drug reactions in a dermatology department. Methods Find Exp Clin Pharmacol. 2007 Mar;29(2):107-12.</w:t>
      </w:r>
    </w:p>
    <w:p w14:paraId="6D9CEB26" w14:textId="77777777" w:rsidR="00B24B98" w:rsidRPr="00B24B98" w:rsidRDefault="00B24B98" w:rsidP="00B24B98">
      <w:pPr>
        <w:pStyle w:val="EndNoteBibliography"/>
      </w:pPr>
      <w:r w:rsidRPr="00B24B98">
        <w:t>52.</w:t>
      </w:r>
      <w:r w:rsidRPr="00B24B98">
        <w:tab/>
        <w:t>O'Mahony D, O'Connor MN, Eustace J, Byrne S, Petrovic M, Gallagher P. The adverse drug reaction risk in older persons (ADRROP) prediction scale: derivation and prospective validation of an ADR risk assessment tool in older multi-morbid patients. European Geriatric Medicine. 2018 Apr;9(2):191-9.</w:t>
      </w:r>
    </w:p>
    <w:p w14:paraId="1435CF1D" w14:textId="33497BC0" w:rsidR="00897BEE" w:rsidRDefault="00897BEE" w:rsidP="00282DD5">
      <w:pPr>
        <w:spacing w:line="360" w:lineRule="auto"/>
        <w:jc w:val="both"/>
        <w:rPr>
          <w:sz w:val="18"/>
        </w:rPr>
        <w:sectPr w:rsidR="00897BEE" w:rsidSect="00897BEE">
          <w:type w:val="continuous"/>
          <w:pgSz w:w="11906" w:h="16838"/>
          <w:pgMar w:top="1440" w:right="1440" w:bottom="1440" w:left="1440" w:header="708" w:footer="708" w:gutter="0"/>
          <w:cols w:num="2" w:space="708"/>
          <w:docGrid w:linePitch="360"/>
        </w:sectPr>
      </w:pPr>
    </w:p>
    <w:p w14:paraId="7E71F99E" w14:textId="28754B99" w:rsidR="0086078A" w:rsidRDefault="0086078A" w:rsidP="00282DD5">
      <w:pPr>
        <w:spacing w:line="360" w:lineRule="auto"/>
        <w:jc w:val="both"/>
      </w:pPr>
    </w:p>
    <w:sectPr w:rsidR="0086078A" w:rsidSect="00897BEE">
      <w:type w:val="continuous"/>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Jennings, Emma" w:date="2019-05-29T07:42:00Z" w:initials="JE">
    <w:p w14:paraId="47D3167A" w14:textId="790361D6" w:rsidR="00A94054" w:rsidRDefault="00A94054">
      <w:pPr>
        <w:pStyle w:val="CommentText"/>
      </w:pPr>
      <w:r>
        <w:rPr>
          <w:rStyle w:val="CommentReference"/>
        </w:rPr>
        <w:annotationRef/>
      </w:r>
      <w:r>
        <w:t xml:space="preserve">DD </w:t>
      </w:r>
    </w:p>
  </w:comment>
  <w:comment w:id="1" w:author="Jennings, Emma" w:date="2019-01-15T14:18:00Z" w:initials="JE">
    <w:p w14:paraId="4C15773B" w14:textId="50980BBF" w:rsidR="00A94054" w:rsidRDefault="00A94054">
      <w:pPr>
        <w:pStyle w:val="CommentText"/>
      </w:pPr>
      <w:r>
        <w:rPr>
          <w:rStyle w:val="CommentReference"/>
        </w:rPr>
        <w:annotationRef/>
      </w:r>
      <w:r>
        <w:t>KM Made good point about community ADRs that don’t result in hospitalisation for comparison, see if I can find this as a reference</w:t>
      </w:r>
    </w:p>
  </w:comment>
  <w:comment w:id="2" w:author="Jennings, Emma" w:date="2019-05-29T07:56:00Z" w:initials="JE">
    <w:p w14:paraId="4BC6BCDC" w14:textId="2EC92AB8" w:rsidR="00A94054" w:rsidRDefault="00A94054">
      <w:pPr>
        <w:pStyle w:val="CommentText"/>
      </w:pPr>
      <w:r>
        <w:rPr>
          <w:rStyle w:val="CommentReference"/>
        </w:rPr>
        <w:annotationRef/>
      </w:r>
      <w:r>
        <w:t>Reference each</w:t>
      </w:r>
    </w:p>
  </w:comment>
  <w:comment w:id="3" w:author="Jennings, Emma" w:date="2019-05-28T09:14:00Z" w:initials="JE">
    <w:p w14:paraId="24272E48" w14:textId="6851BD23" w:rsidR="00A94054" w:rsidRDefault="00A94054">
      <w:pPr>
        <w:pStyle w:val="CommentText"/>
      </w:pPr>
      <w:r>
        <w:rPr>
          <w:rStyle w:val="CommentReference"/>
        </w:rPr>
        <w:annotationRef/>
      </w:r>
      <w:r>
        <w:t>Need to discuss with DD if this is an acceptable method or is there a pooled method using study weighting by size</w:t>
      </w:r>
    </w:p>
  </w:comment>
  <w:comment w:id="4" w:author="Jennings, Emma" w:date="2019-05-28T09:15:00Z" w:initials="JE">
    <w:p w14:paraId="2F5A92E0" w14:textId="79FDADD1" w:rsidR="00A94054" w:rsidRDefault="00A94054">
      <w:pPr>
        <w:pStyle w:val="CommentText"/>
      </w:pPr>
      <w:r>
        <w:rPr>
          <w:rStyle w:val="CommentReference"/>
        </w:rPr>
        <w:annotationRef/>
      </w:r>
      <w:r>
        <w:t>Again need DD to discuss details</w:t>
      </w:r>
    </w:p>
  </w:comment>
  <w:comment w:id="5" w:author="Jennings, Emma" w:date="2019-05-29T07:46:00Z" w:initials="JE">
    <w:p w14:paraId="7E6D451E" w14:textId="2AC8E64F" w:rsidR="00A94054" w:rsidRDefault="00A94054">
      <w:pPr>
        <w:pStyle w:val="CommentText"/>
      </w:pPr>
      <w:r>
        <w:rPr>
          <w:rStyle w:val="CommentReference"/>
        </w:rPr>
        <w:annotationRef/>
      </w:r>
      <w:r>
        <w:t>reference</w:t>
      </w:r>
    </w:p>
  </w:comment>
  <w:comment w:id="6" w:author="Jennings, Emma" w:date="2019-05-29T07:46:00Z" w:initials="JE">
    <w:p w14:paraId="4052AA63" w14:textId="35F87ED9" w:rsidR="00A94054" w:rsidRDefault="00A94054">
      <w:pPr>
        <w:pStyle w:val="CommentText"/>
      </w:pPr>
      <w:r>
        <w:rPr>
          <w:rStyle w:val="CommentReference"/>
        </w:rPr>
        <w:annotationRef/>
      </w:r>
      <w:r>
        <w:t xml:space="preserve">Reword </w:t>
      </w:r>
    </w:p>
  </w:comment>
  <w:comment w:id="7" w:author="Jennings, Emma" w:date="2019-05-29T07:46:00Z" w:initials="JE">
    <w:p w14:paraId="505D0566" w14:textId="482F91A3" w:rsidR="00A94054" w:rsidRDefault="00A94054">
      <w:pPr>
        <w:pStyle w:val="CommentText"/>
      </w:pPr>
      <w:r>
        <w:rPr>
          <w:rStyle w:val="CommentReference"/>
        </w:rPr>
        <w:annotationRef/>
      </w:r>
      <w:r>
        <w:t>reference</w:t>
      </w:r>
    </w:p>
  </w:comment>
  <w:comment w:id="8" w:author="Jennings, Emma" w:date="2019-05-29T07:47:00Z" w:initials="JE">
    <w:p w14:paraId="2B824F5D" w14:textId="5F9A2FB0" w:rsidR="00A94054" w:rsidRDefault="00A94054">
      <w:pPr>
        <w:pStyle w:val="CommentText"/>
      </w:pPr>
      <w:r>
        <w:rPr>
          <w:rStyle w:val="CommentReference"/>
        </w:rPr>
        <w:annotationRef/>
      </w:r>
      <w:r>
        <w:t xml:space="preserve">reference </w:t>
      </w:r>
    </w:p>
  </w:comment>
  <w:comment w:id="9" w:author="Jennings, Emma" w:date="2019-01-23T08:25:00Z" w:initials="JE">
    <w:p w14:paraId="500F707E" w14:textId="0DF2729E" w:rsidR="00A94054" w:rsidRDefault="00A94054">
      <w:pPr>
        <w:pStyle w:val="CommentText"/>
      </w:pPr>
      <w:r>
        <w:rPr>
          <w:rStyle w:val="CommentReference"/>
        </w:rPr>
        <w:annotationRef/>
      </w:r>
      <w:r>
        <w:t>Look back at this, SENATOR was multi-centre so how was it counted?</w:t>
      </w:r>
    </w:p>
    <w:p w14:paraId="2923E27A" w14:textId="3C09DB24" w:rsidR="00A94054" w:rsidRDefault="00A94054">
      <w:pPr>
        <w:pStyle w:val="CommentText"/>
      </w:pPr>
    </w:p>
    <w:p w14:paraId="6128B544" w14:textId="3FC71A5B" w:rsidR="00A94054" w:rsidRDefault="00A94054">
      <w:pPr>
        <w:pStyle w:val="CommentText"/>
      </w:pPr>
      <w:r>
        <w:t>Maybe do n were single centred versus multi-centred, and then break down by country / continent?</w:t>
      </w:r>
    </w:p>
    <w:p w14:paraId="36C81F53" w14:textId="1B8B74E0" w:rsidR="00A94054" w:rsidRDefault="00A94054">
      <w:pPr>
        <w:pStyle w:val="CommentText"/>
      </w:pPr>
    </w:p>
  </w:comment>
  <w:comment w:id="10" w:author="Jennings, Emma" w:date="2019-05-28T12:10:00Z" w:initials="JE">
    <w:p w14:paraId="1D4C0884" w14:textId="2517A785" w:rsidR="00A94054" w:rsidRDefault="00A94054">
      <w:pPr>
        <w:pStyle w:val="CommentText"/>
      </w:pPr>
      <w:r>
        <w:rPr>
          <w:rStyle w:val="CommentReference"/>
        </w:rPr>
        <w:annotationRef/>
      </w:r>
      <w:r>
        <w:t>complete</w:t>
      </w:r>
    </w:p>
  </w:comment>
  <w:comment w:id="11" w:author="Jennings, Emma" w:date="2019-05-28T12:10:00Z" w:initials="JE">
    <w:p w14:paraId="25829837" w14:textId="4975604E" w:rsidR="00A94054" w:rsidRDefault="00A94054">
      <w:pPr>
        <w:pStyle w:val="CommentText"/>
      </w:pPr>
      <w:r>
        <w:rPr>
          <w:rStyle w:val="CommentReference"/>
        </w:rPr>
        <w:annotationRef/>
      </w:r>
      <w:r>
        <w:t>complete</w:t>
      </w:r>
    </w:p>
  </w:comment>
  <w:comment w:id="12" w:author="Jennings, Emma" w:date="2019-05-28T12:10:00Z" w:initials="JE">
    <w:p w14:paraId="6A95D539" w14:textId="4977C1B2" w:rsidR="00A94054" w:rsidRDefault="00A94054">
      <w:pPr>
        <w:pStyle w:val="CommentText"/>
      </w:pPr>
      <w:r>
        <w:rPr>
          <w:rStyle w:val="CommentReference"/>
        </w:rPr>
        <w:annotationRef/>
      </w:r>
      <w:r>
        <w:t>complete</w:t>
      </w:r>
    </w:p>
  </w:comment>
  <w:comment w:id="13" w:author="Jennings, Emma" w:date="2019-05-29T07:49:00Z" w:initials="JE">
    <w:p w14:paraId="0DF30A93" w14:textId="3B4FBBD1" w:rsidR="00A94054" w:rsidRDefault="00A94054">
      <w:pPr>
        <w:pStyle w:val="CommentText"/>
      </w:pPr>
      <w:r>
        <w:rPr>
          <w:rStyle w:val="CommentReference"/>
        </w:rPr>
        <w:annotationRef/>
      </w:r>
      <w:r>
        <w:t xml:space="preserve">This table needs to be represented in word format given max 5 figures / tables; should be kept for thesis </w:t>
      </w:r>
    </w:p>
  </w:comment>
  <w:comment w:id="14" w:author="Jennings, Emma" w:date="2019-05-29T07:54:00Z" w:initials="JE">
    <w:p w14:paraId="093E7F96" w14:textId="1F32109C" w:rsidR="00A94054" w:rsidRDefault="00A94054">
      <w:pPr>
        <w:pStyle w:val="CommentText"/>
      </w:pPr>
      <w:r>
        <w:rPr>
          <w:rStyle w:val="CommentReference"/>
        </w:rPr>
        <w:annotationRef/>
      </w:r>
      <w:r>
        <w:t xml:space="preserve">Missing cheong, giardina and kaur, supplemental data for publication but should be included in thesis </w:t>
      </w:r>
    </w:p>
  </w:comment>
  <w:comment w:id="15" w:author="Jennings, Emma" w:date="2019-05-29T08:57:00Z" w:initials="JE">
    <w:p w14:paraId="3CE025E1" w14:textId="5F0EEBED" w:rsidR="00A94054" w:rsidRDefault="00A94054">
      <w:pPr>
        <w:pStyle w:val="CommentText"/>
      </w:pPr>
      <w:r>
        <w:rPr>
          <w:rStyle w:val="CommentReference"/>
        </w:rPr>
        <w:annotationRef/>
      </w:r>
      <w:r>
        <w:t>Breakdown % (n) from table</w:t>
      </w:r>
    </w:p>
  </w:comment>
  <w:comment w:id="16" w:author="Jennings, Emma" w:date="2019-05-29T09:21:00Z" w:initials="JE">
    <w:p w14:paraId="69B58546" w14:textId="23B1C6BA" w:rsidR="00A94054" w:rsidRDefault="00A94054">
      <w:pPr>
        <w:pStyle w:val="CommentText"/>
      </w:pPr>
      <w:r>
        <w:rPr>
          <w:rStyle w:val="CommentReference"/>
        </w:rPr>
        <w:annotationRef/>
      </w:r>
      <w:r>
        <w:t>Ask DD about this – not norm distrib of all %</w:t>
      </w:r>
    </w:p>
    <w:p w14:paraId="7621931A" w14:textId="5D661F0E" w:rsidR="00A94054" w:rsidRDefault="00A94054">
      <w:pPr>
        <w:pStyle w:val="CommentText"/>
      </w:pPr>
      <w:r>
        <w:t>I2 Value to ascertain heterogen?</w:t>
      </w:r>
    </w:p>
  </w:comment>
  <w:comment w:id="17" w:author="Jennings, Emma" w:date="2019-05-30T07:39:00Z" w:initials="JE">
    <w:p w14:paraId="49A0C69E" w14:textId="5ED90587" w:rsidR="00A94054" w:rsidRDefault="00A94054">
      <w:pPr>
        <w:pStyle w:val="CommentText"/>
      </w:pPr>
      <w:r>
        <w:rPr>
          <w:rStyle w:val="CommentReference"/>
        </w:rPr>
        <w:annotationRef/>
      </w:r>
      <w:r>
        <w:t>Comparison of centrality of non-normally distrib therefore ANOVA. However, this is comparison of proportions… so is this correct use of ANOVA?</w:t>
      </w:r>
    </w:p>
  </w:comment>
  <w:comment w:id="18" w:author="Jennings, Emma" w:date="2019-05-29T09:53:00Z" w:initials="JE">
    <w:p w14:paraId="244FF893" w14:textId="029CB341" w:rsidR="00A94054" w:rsidRDefault="00A94054">
      <w:pPr>
        <w:pStyle w:val="CommentText"/>
      </w:pPr>
      <w:r>
        <w:rPr>
          <w:rStyle w:val="CommentReference"/>
        </w:rPr>
        <w:annotationRef/>
      </w:r>
      <w:r>
        <w:t>Not for the manuscript but for my comparison (note larger spread in all ages - ? reflects heterogen?)</w:t>
      </w:r>
    </w:p>
  </w:comment>
  <w:comment w:id="19" w:author="Jennings, Emma" w:date="2019-05-29T09:59:00Z" w:initials="JE">
    <w:p w14:paraId="62A7A612" w14:textId="0219432F" w:rsidR="00A94054" w:rsidRDefault="00A94054">
      <w:pPr>
        <w:pStyle w:val="CommentText"/>
      </w:pPr>
      <w:r>
        <w:rPr>
          <w:rStyle w:val="CommentReference"/>
        </w:rPr>
        <w:annotationRef/>
      </w:r>
      <w:r>
        <w:t>Kaur and Giardina data to be included in forest plot (data in table)</w:t>
      </w:r>
    </w:p>
  </w:comment>
  <w:comment w:id="20" w:author="Jennings, Emma" w:date="2019-05-29T10:03:00Z" w:initials="JE">
    <w:p w14:paraId="5C93D14A" w14:textId="4B5FA2B9" w:rsidR="00A94054" w:rsidRDefault="00A94054">
      <w:pPr>
        <w:pStyle w:val="CommentText"/>
      </w:pPr>
      <w:r>
        <w:rPr>
          <w:rStyle w:val="CommentReference"/>
        </w:rPr>
        <w:annotationRef/>
      </w:r>
      <w:r>
        <w:t xml:space="preserve">? Move to methods </w:t>
      </w:r>
    </w:p>
  </w:comment>
  <w:comment w:id="21" w:author="Jennings, Emma" w:date="2019-05-29T10:43:00Z" w:initials="JE">
    <w:p w14:paraId="1EEBC180" w14:textId="22125CB5" w:rsidR="00A94054" w:rsidRDefault="00A94054">
      <w:pPr>
        <w:pStyle w:val="CommentText"/>
      </w:pPr>
      <w:r>
        <w:rPr>
          <w:rStyle w:val="CommentReference"/>
        </w:rPr>
        <w:annotationRef/>
      </w:r>
      <w:r>
        <w:t>For combination with table 5 (can be in thesis and supplementary material sep.)</w:t>
      </w:r>
    </w:p>
  </w:comment>
  <w:comment w:id="22" w:author="Jennings, Emma" w:date="2019-05-30T12:35:00Z" w:initials="JE">
    <w:p w14:paraId="4DB482B8" w14:textId="4952377A" w:rsidR="00A94054" w:rsidRDefault="00A94054">
      <w:pPr>
        <w:pStyle w:val="CommentText"/>
      </w:pPr>
      <w:r>
        <w:rPr>
          <w:rStyle w:val="CommentReference"/>
        </w:rPr>
        <w:annotationRef/>
      </w:r>
      <w:r>
        <w:t xml:space="preserve">Needs to be re categorised to that of table 4. </w:t>
      </w:r>
    </w:p>
  </w:comment>
  <w:comment w:id="23" w:author="Jennings, Emma" w:date="2019-05-30T07:43:00Z" w:initials="JE">
    <w:p w14:paraId="0C4832CB" w14:textId="77777777" w:rsidR="00A94054" w:rsidRDefault="00A94054" w:rsidP="00316392">
      <w:pPr>
        <w:pStyle w:val="CommentText"/>
      </w:pPr>
      <w:r>
        <w:rPr>
          <w:rStyle w:val="CommentReference"/>
        </w:rPr>
        <w:annotationRef/>
      </w:r>
      <w:r>
        <w:t>? should be in methods</w:t>
      </w:r>
    </w:p>
  </w:comment>
  <w:comment w:id="24" w:author="Jennings, Emma" w:date="2019-05-30T12:33:00Z" w:initials="JE">
    <w:p w14:paraId="47FD93DF" w14:textId="5C9E6758" w:rsidR="00A94054" w:rsidRDefault="00A94054">
      <w:pPr>
        <w:pStyle w:val="CommentText"/>
      </w:pPr>
      <w:r>
        <w:t xml:space="preserve">Supplemental table for online / thesis </w:t>
      </w:r>
    </w:p>
    <w:p w14:paraId="65EE8B9D" w14:textId="0C502799" w:rsidR="00A94054" w:rsidRDefault="00A94054">
      <w:pPr>
        <w:pStyle w:val="CommentText"/>
      </w:pPr>
      <w:r>
        <w:rPr>
          <w:rStyle w:val="CommentReference"/>
        </w:rPr>
        <w:annotationRef/>
      </w:r>
      <w:r>
        <w:t xml:space="preserve">? best way to add this to text / combined table </w:t>
      </w:r>
    </w:p>
  </w:comment>
  <w:comment w:id="25" w:author="Jennings, Emma" w:date="2019-05-29T10:35:00Z" w:initials="JE">
    <w:p w14:paraId="26409283" w14:textId="60AC322D" w:rsidR="00A94054" w:rsidRDefault="00A94054">
      <w:pPr>
        <w:pStyle w:val="CommentText"/>
      </w:pPr>
      <w:r>
        <w:rPr>
          <w:rStyle w:val="CommentReference"/>
        </w:rPr>
        <w:annotationRef/>
      </w:r>
      <w:r>
        <w:t xml:space="preserve">Pool table 4 and 5 into one </w:t>
      </w:r>
    </w:p>
  </w:comment>
  <w:comment w:id="26" w:author="Jennings, Emma" w:date="2019-05-30T12:36:00Z" w:initials="JE">
    <w:p w14:paraId="6589817C" w14:textId="0A0E8C70" w:rsidR="00A94054" w:rsidRDefault="00A94054">
      <w:pPr>
        <w:pStyle w:val="CommentText"/>
      </w:pPr>
      <w:r>
        <w:rPr>
          <w:rStyle w:val="CommentReference"/>
        </w:rPr>
        <w:annotationRef/>
      </w:r>
      <w:r>
        <w:t xml:space="preserve">Pre 04.04.19 data </w:t>
      </w:r>
    </w:p>
  </w:comment>
  <w:comment w:id="27" w:author="Jennings, Emma" w:date="2019-01-23T08:46:00Z" w:initials="JE">
    <w:p w14:paraId="6ED8605C" w14:textId="77777777" w:rsidR="00A94054" w:rsidRDefault="00A94054">
      <w:pPr>
        <w:pStyle w:val="CommentText"/>
      </w:pPr>
      <w:r>
        <w:rPr>
          <w:rStyle w:val="CommentReference"/>
        </w:rPr>
        <w:annotationRef/>
      </w:r>
      <w:r>
        <w:t>Why is it lower? Was it the methodologies used?</w:t>
      </w:r>
    </w:p>
    <w:p w14:paraId="5C9DE567" w14:textId="38F71F60" w:rsidR="00A94054" w:rsidRDefault="00A94054">
      <w:pPr>
        <w:pStyle w:val="CommentText"/>
      </w:pPr>
      <w:r>
        <w:t xml:space="preserve">Go back and look at the 8 studies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7D3167A" w15:done="0"/>
  <w15:commentEx w15:paraId="4C15773B" w15:done="0"/>
  <w15:commentEx w15:paraId="4BC6BCDC" w15:done="0"/>
  <w15:commentEx w15:paraId="24272E48" w15:done="0"/>
  <w15:commentEx w15:paraId="2F5A92E0" w15:done="0"/>
  <w15:commentEx w15:paraId="7E6D451E" w15:done="0"/>
  <w15:commentEx w15:paraId="4052AA63" w15:done="0"/>
  <w15:commentEx w15:paraId="505D0566" w15:done="0"/>
  <w15:commentEx w15:paraId="2B824F5D" w15:done="0"/>
  <w15:commentEx w15:paraId="36C81F53" w15:done="0"/>
  <w15:commentEx w15:paraId="1D4C0884" w15:done="0"/>
  <w15:commentEx w15:paraId="25829837" w15:done="0"/>
  <w15:commentEx w15:paraId="6A95D539" w15:done="0"/>
  <w15:commentEx w15:paraId="0DF30A93" w15:done="0"/>
  <w15:commentEx w15:paraId="093E7F96" w15:done="0"/>
  <w15:commentEx w15:paraId="3CE025E1" w15:done="0"/>
  <w15:commentEx w15:paraId="7621931A" w15:done="0"/>
  <w15:commentEx w15:paraId="49A0C69E" w15:done="0"/>
  <w15:commentEx w15:paraId="244FF893" w15:done="0"/>
  <w15:commentEx w15:paraId="62A7A612" w15:done="0"/>
  <w15:commentEx w15:paraId="5C93D14A" w15:done="0"/>
  <w15:commentEx w15:paraId="1EEBC180" w15:done="0"/>
  <w15:commentEx w15:paraId="4DB482B8" w15:done="0"/>
  <w15:commentEx w15:paraId="0C4832CB" w15:done="0"/>
  <w15:commentEx w15:paraId="65EE8B9D" w15:done="0"/>
  <w15:commentEx w15:paraId="26409283" w15:done="0"/>
  <w15:commentEx w15:paraId="6589817C" w15:done="0"/>
  <w15:commentEx w15:paraId="5C9DE567"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FC004D" w14:textId="77777777" w:rsidR="00A94054" w:rsidRDefault="00A94054" w:rsidP="00025AF0">
      <w:pPr>
        <w:spacing w:after="0" w:line="240" w:lineRule="auto"/>
      </w:pPr>
      <w:r>
        <w:separator/>
      </w:r>
    </w:p>
  </w:endnote>
  <w:endnote w:type="continuationSeparator" w:id="0">
    <w:p w14:paraId="28A1F640" w14:textId="77777777" w:rsidR="00A94054" w:rsidRDefault="00A94054" w:rsidP="00025A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291C97" w14:textId="24D93741" w:rsidR="00A94054" w:rsidRPr="006F1A16" w:rsidRDefault="00A94054" w:rsidP="00B24E78">
    <w:pPr>
      <w:pStyle w:val="Footer"/>
      <w:jc w:val="center"/>
      <w:rPr>
        <w:i/>
        <w:sz w:val="16"/>
      </w:rPr>
    </w:pPr>
    <w:r w:rsidRPr="00025E42">
      <w:rPr>
        <w:i/>
        <w:sz w:val="16"/>
      </w:rPr>
      <w:t>PhD_E.Jennings_Systematic Review</w:t>
    </w:r>
    <w:r w:rsidRPr="006F1A16">
      <w:rPr>
        <w:i/>
        <w:sz w:val="16"/>
      </w:rPr>
      <w:t xml:space="preserve"> </w:t>
    </w:r>
    <w:r w:rsidRPr="006F1A16">
      <w:rPr>
        <w:i/>
        <w:sz w:val="16"/>
      </w:rPr>
      <w:tab/>
    </w:r>
    <w:sdt>
      <w:sdtPr>
        <w:rPr>
          <w:i/>
          <w:sz w:val="16"/>
        </w:rPr>
        <w:id w:val="-1231844260"/>
        <w:docPartObj>
          <w:docPartGallery w:val="Page Numbers (Bottom of Page)"/>
          <w:docPartUnique/>
        </w:docPartObj>
      </w:sdtPr>
      <w:sdtContent>
        <w:r w:rsidRPr="006F1A16">
          <w:rPr>
            <w:i/>
            <w:sz w:val="16"/>
          </w:rPr>
          <w:fldChar w:fldCharType="begin"/>
        </w:r>
        <w:r w:rsidRPr="006F1A16">
          <w:rPr>
            <w:i/>
            <w:sz w:val="16"/>
          </w:rPr>
          <w:instrText xml:space="preserve"> PAGE   \* MERGEFORMAT </w:instrText>
        </w:r>
        <w:r w:rsidRPr="006F1A16">
          <w:rPr>
            <w:i/>
            <w:sz w:val="16"/>
          </w:rPr>
          <w:fldChar w:fldCharType="separate"/>
        </w:r>
        <w:r w:rsidR="00711ED7">
          <w:rPr>
            <w:i/>
            <w:noProof/>
            <w:sz w:val="16"/>
          </w:rPr>
          <w:t>10</w:t>
        </w:r>
        <w:r w:rsidRPr="006F1A16">
          <w:rPr>
            <w:i/>
            <w:sz w:val="16"/>
          </w:rPr>
          <w:fldChar w:fldCharType="end"/>
        </w:r>
      </w:sdtContent>
    </w:sdt>
    <w:r w:rsidRPr="006F1A16">
      <w:rPr>
        <w:i/>
        <w:sz w:val="16"/>
      </w:rPr>
      <w:tab/>
    </w:r>
    <w:r w:rsidRPr="00025E42">
      <w:rPr>
        <w:i/>
        <w:sz w:val="16"/>
      </w:rPr>
      <w:fldChar w:fldCharType="begin"/>
    </w:r>
    <w:r w:rsidRPr="00025E42">
      <w:rPr>
        <w:i/>
        <w:sz w:val="16"/>
      </w:rPr>
      <w:instrText xml:space="preserve"> DATE \@ "dd/MM/yyyy" </w:instrText>
    </w:r>
    <w:r w:rsidRPr="00025E42">
      <w:rPr>
        <w:i/>
        <w:sz w:val="16"/>
      </w:rPr>
      <w:fldChar w:fldCharType="separate"/>
    </w:r>
    <w:r>
      <w:rPr>
        <w:i/>
        <w:noProof/>
        <w:sz w:val="16"/>
      </w:rPr>
      <w:t>30/05/2019</w:t>
    </w:r>
    <w:r w:rsidRPr="00025E42">
      <w:rPr>
        <w:i/>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9D553D" w14:textId="77777777" w:rsidR="00A94054" w:rsidRDefault="00A94054" w:rsidP="00025AF0">
      <w:pPr>
        <w:spacing w:after="0" w:line="240" w:lineRule="auto"/>
      </w:pPr>
      <w:r>
        <w:separator/>
      </w:r>
    </w:p>
  </w:footnote>
  <w:footnote w:type="continuationSeparator" w:id="0">
    <w:p w14:paraId="36205CA4" w14:textId="77777777" w:rsidR="00A94054" w:rsidRDefault="00A94054" w:rsidP="00025A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0BD474" w14:textId="0934AA18" w:rsidR="00A94054" w:rsidRPr="00025AF0" w:rsidRDefault="00A94054" w:rsidP="00025AF0">
    <w:pPr>
      <w:pBdr>
        <w:top w:val="single" w:sz="4" w:space="1" w:color="auto"/>
        <w:left w:val="single" w:sz="4" w:space="4" w:color="auto"/>
        <w:bottom w:val="single" w:sz="4" w:space="1" w:color="auto"/>
        <w:right w:val="single" w:sz="4" w:space="4" w:color="auto"/>
      </w:pBdr>
      <w:jc w:val="both"/>
      <w:rPr>
        <w:b/>
        <w:i/>
        <w:sz w:val="21"/>
        <w:szCs w:val="21"/>
      </w:rPr>
    </w:pPr>
    <w:r w:rsidRPr="00025AF0">
      <w:rPr>
        <w:b/>
        <w:i/>
        <w:sz w:val="21"/>
        <w:szCs w:val="21"/>
      </w:rPr>
      <w:t xml:space="preserve">Draft manuscript - </w:t>
    </w:r>
    <w:r w:rsidRPr="00025AF0">
      <w:rPr>
        <w:i/>
        <w:sz w:val="21"/>
        <w:szCs w:val="21"/>
      </w:rPr>
      <w:t>In-Hospital Adverse Drug Reactions In Hospitalised Older Adults - A Systematic Review</w:t>
    </w:r>
    <w:r>
      <w:rPr>
        <w:i/>
        <w:sz w:val="21"/>
        <w:szCs w:val="21"/>
      </w:rPr>
      <w:t xml:space="preserve"> and meta-analysis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F304B"/>
    <w:multiLevelType w:val="hybridMultilevel"/>
    <w:tmpl w:val="E9561C4E"/>
    <w:lvl w:ilvl="0" w:tplc="4F4C8248">
      <w:start w:val="1"/>
      <w:numFmt w:val="bullet"/>
      <w:lvlText w:val="•"/>
      <w:lvlJc w:val="left"/>
      <w:pPr>
        <w:tabs>
          <w:tab w:val="num" w:pos="720"/>
        </w:tabs>
        <w:ind w:left="720" w:hanging="360"/>
      </w:pPr>
      <w:rPr>
        <w:rFonts w:ascii="Arial" w:hAnsi="Arial" w:hint="default"/>
      </w:rPr>
    </w:lvl>
    <w:lvl w:ilvl="1" w:tplc="A5FAF744">
      <w:start w:val="270"/>
      <w:numFmt w:val="bullet"/>
      <w:lvlText w:val="•"/>
      <w:lvlJc w:val="left"/>
      <w:pPr>
        <w:tabs>
          <w:tab w:val="num" w:pos="1440"/>
        </w:tabs>
        <w:ind w:left="1440" w:hanging="360"/>
      </w:pPr>
      <w:rPr>
        <w:rFonts w:ascii="Arial" w:hAnsi="Arial" w:hint="default"/>
      </w:rPr>
    </w:lvl>
    <w:lvl w:ilvl="2" w:tplc="AE28ABB0">
      <w:start w:val="270"/>
      <w:numFmt w:val="bullet"/>
      <w:lvlText w:val="•"/>
      <w:lvlJc w:val="left"/>
      <w:pPr>
        <w:tabs>
          <w:tab w:val="num" w:pos="2160"/>
        </w:tabs>
        <w:ind w:left="2160" w:hanging="360"/>
      </w:pPr>
      <w:rPr>
        <w:rFonts w:ascii="Arial" w:hAnsi="Arial" w:hint="default"/>
      </w:rPr>
    </w:lvl>
    <w:lvl w:ilvl="3" w:tplc="3324683A" w:tentative="1">
      <w:start w:val="1"/>
      <w:numFmt w:val="bullet"/>
      <w:lvlText w:val="•"/>
      <w:lvlJc w:val="left"/>
      <w:pPr>
        <w:tabs>
          <w:tab w:val="num" w:pos="2880"/>
        </w:tabs>
        <w:ind w:left="2880" w:hanging="360"/>
      </w:pPr>
      <w:rPr>
        <w:rFonts w:ascii="Arial" w:hAnsi="Arial" w:hint="default"/>
      </w:rPr>
    </w:lvl>
    <w:lvl w:ilvl="4" w:tplc="F20AF2EE" w:tentative="1">
      <w:start w:val="1"/>
      <w:numFmt w:val="bullet"/>
      <w:lvlText w:val="•"/>
      <w:lvlJc w:val="left"/>
      <w:pPr>
        <w:tabs>
          <w:tab w:val="num" w:pos="3600"/>
        </w:tabs>
        <w:ind w:left="3600" w:hanging="360"/>
      </w:pPr>
      <w:rPr>
        <w:rFonts w:ascii="Arial" w:hAnsi="Arial" w:hint="default"/>
      </w:rPr>
    </w:lvl>
    <w:lvl w:ilvl="5" w:tplc="565EA4A4" w:tentative="1">
      <w:start w:val="1"/>
      <w:numFmt w:val="bullet"/>
      <w:lvlText w:val="•"/>
      <w:lvlJc w:val="left"/>
      <w:pPr>
        <w:tabs>
          <w:tab w:val="num" w:pos="4320"/>
        </w:tabs>
        <w:ind w:left="4320" w:hanging="360"/>
      </w:pPr>
      <w:rPr>
        <w:rFonts w:ascii="Arial" w:hAnsi="Arial" w:hint="default"/>
      </w:rPr>
    </w:lvl>
    <w:lvl w:ilvl="6" w:tplc="9D9A8D8E" w:tentative="1">
      <w:start w:val="1"/>
      <w:numFmt w:val="bullet"/>
      <w:lvlText w:val="•"/>
      <w:lvlJc w:val="left"/>
      <w:pPr>
        <w:tabs>
          <w:tab w:val="num" w:pos="5040"/>
        </w:tabs>
        <w:ind w:left="5040" w:hanging="360"/>
      </w:pPr>
      <w:rPr>
        <w:rFonts w:ascii="Arial" w:hAnsi="Arial" w:hint="default"/>
      </w:rPr>
    </w:lvl>
    <w:lvl w:ilvl="7" w:tplc="F632A842" w:tentative="1">
      <w:start w:val="1"/>
      <w:numFmt w:val="bullet"/>
      <w:lvlText w:val="•"/>
      <w:lvlJc w:val="left"/>
      <w:pPr>
        <w:tabs>
          <w:tab w:val="num" w:pos="5760"/>
        </w:tabs>
        <w:ind w:left="5760" w:hanging="360"/>
      </w:pPr>
      <w:rPr>
        <w:rFonts w:ascii="Arial" w:hAnsi="Arial" w:hint="default"/>
      </w:rPr>
    </w:lvl>
    <w:lvl w:ilvl="8" w:tplc="6E9E26C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6D35E03"/>
    <w:multiLevelType w:val="multilevel"/>
    <w:tmpl w:val="A1EC5C06"/>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78B5E82"/>
    <w:multiLevelType w:val="hybridMultilevel"/>
    <w:tmpl w:val="D960DF0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2A2E5C69"/>
    <w:multiLevelType w:val="hybridMultilevel"/>
    <w:tmpl w:val="EBCC97B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1E55AC9"/>
    <w:multiLevelType w:val="hybridMultilevel"/>
    <w:tmpl w:val="45EA9C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8EB34F6"/>
    <w:multiLevelType w:val="hybridMultilevel"/>
    <w:tmpl w:val="ECFC0F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C0051E3"/>
    <w:multiLevelType w:val="hybridMultilevel"/>
    <w:tmpl w:val="69D47CB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57260F9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A9F31C5"/>
    <w:multiLevelType w:val="hybridMultilevel"/>
    <w:tmpl w:val="537670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6"/>
  </w:num>
  <w:num w:numId="4">
    <w:abstractNumId w:val="3"/>
  </w:num>
  <w:num w:numId="5">
    <w:abstractNumId w:val="4"/>
  </w:num>
  <w:num w:numId="6">
    <w:abstractNumId w:val="7"/>
  </w:num>
  <w:num w:numId="7">
    <w:abstractNumId w:val="1"/>
  </w:num>
  <w:num w:numId="8">
    <w:abstractNumId w:val="0"/>
  </w:num>
  <w:num w:numId="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ennings, Emma">
    <w15:presenceInfo w15:providerId="AD" w15:userId="S-1-5-21-366280191-1431725683-3082433272-365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ge and Ageing (3)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0z0svfa6zfvdgezxfivwd2m0rtastszz5ft&quot;&gt;SR EndNote Library_recovered_28.03.18&lt;record-ids&gt;&lt;item&gt;9491&lt;/item&gt;&lt;item&gt;9494&lt;/item&gt;&lt;item&gt;9495&lt;/item&gt;&lt;item&gt;9499&lt;/item&gt;&lt;item&gt;9500&lt;/item&gt;&lt;item&gt;9509&lt;/item&gt;&lt;item&gt;9606&lt;/item&gt;&lt;item&gt;9941&lt;/item&gt;&lt;item&gt;10028&lt;/item&gt;&lt;item&gt;11271&lt;/item&gt;&lt;item&gt;11279&lt;/item&gt;&lt;item&gt;11289&lt;/item&gt;&lt;item&gt;11479&lt;/item&gt;&lt;item&gt;11489&lt;/item&gt;&lt;item&gt;11579&lt;/item&gt;&lt;item&gt;11581&lt;/item&gt;&lt;item&gt;11609&lt;/item&gt;&lt;item&gt;11620&lt;/item&gt;&lt;item&gt;11642&lt;/item&gt;&lt;item&gt;11644&lt;/item&gt;&lt;item&gt;11645&lt;/item&gt;&lt;item&gt;11646&lt;/item&gt;&lt;item&gt;11647&lt;/item&gt;&lt;item&gt;11648&lt;/item&gt;&lt;item&gt;11651&lt;/item&gt;&lt;item&gt;11657&lt;/item&gt;&lt;item&gt;11658&lt;/item&gt;&lt;item&gt;11661&lt;/item&gt;&lt;item&gt;11679&lt;/item&gt;&lt;item&gt;11698&lt;/item&gt;&lt;item&gt;11718&lt;/item&gt;&lt;item&gt;11721&lt;/item&gt;&lt;item&gt;11770&lt;/item&gt;&lt;item&gt;11771&lt;/item&gt;&lt;item&gt;11799&lt;/item&gt;&lt;item&gt;11801&lt;/item&gt;&lt;item&gt;11802&lt;/item&gt;&lt;item&gt;11804&lt;/item&gt;&lt;item&gt;11808&lt;/item&gt;&lt;item&gt;11809&lt;/item&gt;&lt;item&gt;11810&lt;/item&gt;&lt;item&gt;11822&lt;/item&gt;&lt;item&gt;11837&lt;/item&gt;&lt;item&gt;11936&lt;/item&gt;&lt;item&gt;11937&lt;/item&gt;&lt;item&gt;11938&lt;/item&gt;&lt;item&gt;11939&lt;/item&gt;&lt;item&gt;11940&lt;/item&gt;&lt;/record-ids&gt;&lt;/item&gt;&lt;/Libraries&gt;"/>
  </w:docVars>
  <w:rsids>
    <w:rsidRoot w:val="00025AF0"/>
    <w:rsid w:val="00001480"/>
    <w:rsid w:val="00001F40"/>
    <w:rsid w:val="000038E4"/>
    <w:rsid w:val="000062DD"/>
    <w:rsid w:val="00011D9D"/>
    <w:rsid w:val="00014CAD"/>
    <w:rsid w:val="00015C80"/>
    <w:rsid w:val="000244EF"/>
    <w:rsid w:val="00025AF0"/>
    <w:rsid w:val="00025E42"/>
    <w:rsid w:val="00030E45"/>
    <w:rsid w:val="00040866"/>
    <w:rsid w:val="00040BEA"/>
    <w:rsid w:val="000427A6"/>
    <w:rsid w:val="000523C6"/>
    <w:rsid w:val="00052B1D"/>
    <w:rsid w:val="00057D49"/>
    <w:rsid w:val="0006208D"/>
    <w:rsid w:val="00070346"/>
    <w:rsid w:val="000728D5"/>
    <w:rsid w:val="0007440E"/>
    <w:rsid w:val="000775DA"/>
    <w:rsid w:val="00080710"/>
    <w:rsid w:val="000827A4"/>
    <w:rsid w:val="00090366"/>
    <w:rsid w:val="00090438"/>
    <w:rsid w:val="00090E70"/>
    <w:rsid w:val="00091496"/>
    <w:rsid w:val="00091F05"/>
    <w:rsid w:val="00092A39"/>
    <w:rsid w:val="000931E4"/>
    <w:rsid w:val="00097665"/>
    <w:rsid w:val="000A11DB"/>
    <w:rsid w:val="000A2EEF"/>
    <w:rsid w:val="000A610E"/>
    <w:rsid w:val="000A65FF"/>
    <w:rsid w:val="000A6E57"/>
    <w:rsid w:val="000A73A7"/>
    <w:rsid w:val="000A7639"/>
    <w:rsid w:val="000B02A0"/>
    <w:rsid w:val="000B0912"/>
    <w:rsid w:val="000C0B98"/>
    <w:rsid w:val="000C12D8"/>
    <w:rsid w:val="000C4C70"/>
    <w:rsid w:val="000C4CF1"/>
    <w:rsid w:val="000C647E"/>
    <w:rsid w:val="000C7987"/>
    <w:rsid w:val="000D1000"/>
    <w:rsid w:val="000D1B67"/>
    <w:rsid w:val="000D62A7"/>
    <w:rsid w:val="000D6DAB"/>
    <w:rsid w:val="000D74C9"/>
    <w:rsid w:val="000E172B"/>
    <w:rsid w:val="000E196E"/>
    <w:rsid w:val="000E492B"/>
    <w:rsid w:val="000E521A"/>
    <w:rsid w:val="000E64C8"/>
    <w:rsid w:val="000F2613"/>
    <w:rsid w:val="000F4F7A"/>
    <w:rsid w:val="000F5131"/>
    <w:rsid w:val="000F54A0"/>
    <w:rsid w:val="000F578B"/>
    <w:rsid w:val="000F5F2F"/>
    <w:rsid w:val="000F6C04"/>
    <w:rsid w:val="0010144E"/>
    <w:rsid w:val="00104E70"/>
    <w:rsid w:val="00105D7D"/>
    <w:rsid w:val="00106932"/>
    <w:rsid w:val="001160DE"/>
    <w:rsid w:val="0011704A"/>
    <w:rsid w:val="001171E5"/>
    <w:rsid w:val="00120B39"/>
    <w:rsid w:val="00121221"/>
    <w:rsid w:val="00121718"/>
    <w:rsid w:val="00126A4F"/>
    <w:rsid w:val="00130196"/>
    <w:rsid w:val="00132B20"/>
    <w:rsid w:val="00136206"/>
    <w:rsid w:val="0014005C"/>
    <w:rsid w:val="001475A0"/>
    <w:rsid w:val="00150A3B"/>
    <w:rsid w:val="00151D8C"/>
    <w:rsid w:val="001547CD"/>
    <w:rsid w:val="001571C2"/>
    <w:rsid w:val="00164683"/>
    <w:rsid w:val="0016609B"/>
    <w:rsid w:val="0017327A"/>
    <w:rsid w:val="00174B2F"/>
    <w:rsid w:val="0018097A"/>
    <w:rsid w:val="00187AB7"/>
    <w:rsid w:val="00191999"/>
    <w:rsid w:val="001A0E2F"/>
    <w:rsid w:val="001A22BC"/>
    <w:rsid w:val="001B14C1"/>
    <w:rsid w:val="001C084E"/>
    <w:rsid w:val="001C0DDC"/>
    <w:rsid w:val="001C4992"/>
    <w:rsid w:val="001C67A3"/>
    <w:rsid w:val="001C6E88"/>
    <w:rsid w:val="001D34EE"/>
    <w:rsid w:val="001D68B6"/>
    <w:rsid w:val="001D745C"/>
    <w:rsid w:val="001D78B3"/>
    <w:rsid w:val="001E5EE8"/>
    <w:rsid w:val="001F1C2C"/>
    <w:rsid w:val="001F25BD"/>
    <w:rsid w:val="001F2C89"/>
    <w:rsid w:val="001F42BE"/>
    <w:rsid w:val="001F7379"/>
    <w:rsid w:val="001F7789"/>
    <w:rsid w:val="00204C8F"/>
    <w:rsid w:val="00206097"/>
    <w:rsid w:val="002154FC"/>
    <w:rsid w:val="00216267"/>
    <w:rsid w:val="00217833"/>
    <w:rsid w:val="002221C1"/>
    <w:rsid w:val="002226CB"/>
    <w:rsid w:val="002232E4"/>
    <w:rsid w:val="002239FC"/>
    <w:rsid w:val="00223E1D"/>
    <w:rsid w:val="00225595"/>
    <w:rsid w:val="00227CE1"/>
    <w:rsid w:val="00230426"/>
    <w:rsid w:val="00235BFA"/>
    <w:rsid w:val="00236FD8"/>
    <w:rsid w:val="00237F81"/>
    <w:rsid w:val="00242805"/>
    <w:rsid w:val="00242F24"/>
    <w:rsid w:val="002439E1"/>
    <w:rsid w:val="00244BA6"/>
    <w:rsid w:val="002457EB"/>
    <w:rsid w:val="0025237C"/>
    <w:rsid w:val="002525C6"/>
    <w:rsid w:val="002530FE"/>
    <w:rsid w:val="00254869"/>
    <w:rsid w:val="00255AD9"/>
    <w:rsid w:val="00262265"/>
    <w:rsid w:val="00262E8C"/>
    <w:rsid w:val="00265EF2"/>
    <w:rsid w:val="00270778"/>
    <w:rsid w:val="002724CF"/>
    <w:rsid w:val="0027313F"/>
    <w:rsid w:val="0027320F"/>
    <w:rsid w:val="002738EB"/>
    <w:rsid w:val="00277029"/>
    <w:rsid w:val="0028206F"/>
    <w:rsid w:val="002825D6"/>
    <w:rsid w:val="00282930"/>
    <w:rsid w:val="00282DD5"/>
    <w:rsid w:val="00285E49"/>
    <w:rsid w:val="00287049"/>
    <w:rsid w:val="00287D77"/>
    <w:rsid w:val="00290AE1"/>
    <w:rsid w:val="00290CD4"/>
    <w:rsid w:val="00291A41"/>
    <w:rsid w:val="002923B8"/>
    <w:rsid w:val="00294C8B"/>
    <w:rsid w:val="002A31B3"/>
    <w:rsid w:val="002A5685"/>
    <w:rsid w:val="002A62A0"/>
    <w:rsid w:val="002B0140"/>
    <w:rsid w:val="002B019C"/>
    <w:rsid w:val="002B0A39"/>
    <w:rsid w:val="002B40E8"/>
    <w:rsid w:val="002B7D8A"/>
    <w:rsid w:val="002C0296"/>
    <w:rsid w:val="002C10AB"/>
    <w:rsid w:val="002C254A"/>
    <w:rsid w:val="002C3DD1"/>
    <w:rsid w:val="002C4126"/>
    <w:rsid w:val="002C66D0"/>
    <w:rsid w:val="002D2F1B"/>
    <w:rsid w:val="002D7FBB"/>
    <w:rsid w:val="002E38CF"/>
    <w:rsid w:val="002E4CDF"/>
    <w:rsid w:val="002E4E91"/>
    <w:rsid w:val="002E7B3A"/>
    <w:rsid w:val="002F1836"/>
    <w:rsid w:val="002F1ADE"/>
    <w:rsid w:val="002F20C2"/>
    <w:rsid w:val="002F3171"/>
    <w:rsid w:val="002F56DA"/>
    <w:rsid w:val="002F77E9"/>
    <w:rsid w:val="00302A2E"/>
    <w:rsid w:val="00303476"/>
    <w:rsid w:val="00303CA5"/>
    <w:rsid w:val="00310736"/>
    <w:rsid w:val="00311A8C"/>
    <w:rsid w:val="00311C0B"/>
    <w:rsid w:val="00313442"/>
    <w:rsid w:val="00316392"/>
    <w:rsid w:val="00316C14"/>
    <w:rsid w:val="00322C30"/>
    <w:rsid w:val="003236BD"/>
    <w:rsid w:val="003236D2"/>
    <w:rsid w:val="00331FC8"/>
    <w:rsid w:val="003327C6"/>
    <w:rsid w:val="00333DFE"/>
    <w:rsid w:val="00334450"/>
    <w:rsid w:val="00342DEB"/>
    <w:rsid w:val="0034436B"/>
    <w:rsid w:val="0035148A"/>
    <w:rsid w:val="00351E0B"/>
    <w:rsid w:val="003575DA"/>
    <w:rsid w:val="00361129"/>
    <w:rsid w:val="003675F7"/>
    <w:rsid w:val="003678C1"/>
    <w:rsid w:val="00367C3E"/>
    <w:rsid w:val="00377D4C"/>
    <w:rsid w:val="00380AF4"/>
    <w:rsid w:val="00383A82"/>
    <w:rsid w:val="00385D95"/>
    <w:rsid w:val="0039056C"/>
    <w:rsid w:val="00390751"/>
    <w:rsid w:val="00391C9C"/>
    <w:rsid w:val="00392C58"/>
    <w:rsid w:val="00396120"/>
    <w:rsid w:val="003A4048"/>
    <w:rsid w:val="003A651A"/>
    <w:rsid w:val="003A7FB5"/>
    <w:rsid w:val="003B133C"/>
    <w:rsid w:val="003B2209"/>
    <w:rsid w:val="003B23F8"/>
    <w:rsid w:val="003B6DC5"/>
    <w:rsid w:val="003B780A"/>
    <w:rsid w:val="003B7F1B"/>
    <w:rsid w:val="003C01CE"/>
    <w:rsid w:val="003C7D65"/>
    <w:rsid w:val="003D3A6D"/>
    <w:rsid w:val="003D7AB8"/>
    <w:rsid w:val="003E0455"/>
    <w:rsid w:val="003E1E25"/>
    <w:rsid w:val="003F1BAA"/>
    <w:rsid w:val="003F1D40"/>
    <w:rsid w:val="003F226F"/>
    <w:rsid w:val="00404BE1"/>
    <w:rsid w:val="00406B04"/>
    <w:rsid w:val="00406F73"/>
    <w:rsid w:val="004072BA"/>
    <w:rsid w:val="00412B93"/>
    <w:rsid w:val="00412BAB"/>
    <w:rsid w:val="00414F02"/>
    <w:rsid w:val="00420C5D"/>
    <w:rsid w:val="00420D26"/>
    <w:rsid w:val="00424D9F"/>
    <w:rsid w:val="00427265"/>
    <w:rsid w:val="004333C0"/>
    <w:rsid w:val="004368AE"/>
    <w:rsid w:val="0044014A"/>
    <w:rsid w:val="004432D2"/>
    <w:rsid w:val="00447B0A"/>
    <w:rsid w:val="00450138"/>
    <w:rsid w:val="00452589"/>
    <w:rsid w:val="00453E32"/>
    <w:rsid w:val="004564A8"/>
    <w:rsid w:val="00457FC7"/>
    <w:rsid w:val="004606B1"/>
    <w:rsid w:val="00461C7E"/>
    <w:rsid w:val="00461EB9"/>
    <w:rsid w:val="0047579B"/>
    <w:rsid w:val="00476D7F"/>
    <w:rsid w:val="00480BA5"/>
    <w:rsid w:val="0048198F"/>
    <w:rsid w:val="00481E70"/>
    <w:rsid w:val="00484288"/>
    <w:rsid w:val="0048570B"/>
    <w:rsid w:val="004864EC"/>
    <w:rsid w:val="00487F98"/>
    <w:rsid w:val="00497A03"/>
    <w:rsid w:val="004A0BD7"/>
    <w:rsid w:val="004A0EBA"/>
    <w:rsid w:val="004A251A"/>
    <w:rsid w:val="004A42FA"/>
    <w:rsid w:val="004B000B"/>
    <w:rsid w:val="004B0CAF"/>
    <w:rsid w:val="004B2FC3"/>
    <w:rsid w:val="004B3A71"/>
    <w:rsid w:val="004B3B79"/>
    <w:rsid w:val="004B716C"/>
    <w:rsid w:val="004C4211"/>
    <w:rsid w:val="004C45D6"/>
    <w:rsid w:val="004D05F7"/>
    <w:rsid w:val="004D359D"/>
    <w:rsid w:val="004D51E0"/>
    <w:rsid w:val="004D74E5"/>
    <w:rsid w:val="004E0787"/>
    <w:rsid w:val="004E1863"/>
    <w:rsid w:val="004E5A29"/>
    <w:rsid w:val="004E64F7"/>
    <w:rsid w:val="004F17B4"/>
    <w:rsid w:val="004F209C"/>
    <w:rsid w:val="004F3EBA"/>
    <w:rsid w:val="0050068F"/>
    <w:rsid w:val="00506C18"/>
    <w:rsid w:val="00507B4B"/>
    <w:rsid w:val="00514D10"/>
    <w:rsid w:val="00523701"/>
    <w:rsid w:val="00525164"/>
    <w:rsid w:val="00531C5D"/>
    <w:rsid w:val="00532A75"/>
    <w:rsid w:val="00540AA3"/>
    <w:rsid w:val="005417E6"/>
    <w:rsid w:val="00542490"/>
    <w:rsid w:val="00544978"/>
    <w:rsid w:val="00546E9B"/>
    <w:rsid w:val="00556228"/>
    <w:rsid w:val="00561682"/>
    <w:rsid w:val="00563426"/>
    <w:rsid w:val="00570558"/>
    <w:rsid w:val="005773EA"/>
    <w:rsid w:val="0058576A"/>
    <w:rsid w:val="00585F31"/>
    <w:rsid w:val="00586DC3"/>
    <w:rsid w:val="00590779"/>
    <w:rsid w:val="00592D4C"/>
    <w:rsid w:val="00596BDB"/>
    <w:rsid w:val="005A1A46"/>
    <w:rsid w:val="005A26F0"/>
    <w:rsid w:val="005A414B"/>
    <w:rsid w:val="005A5688"/>
    <w:rsid w:val="005A6058"/>
    <w:rsid w:val="005A7E65"/>
    <w:rsid w:val="005B53DC"/>
    <w:rsid w:val="005B5A87"/>
    <w:rsid w:val="005B6DF2"/>
    <w:rsid w:val="005B779D"/>
    <w:rsid w:val="005C3B74"/>
    <w:rsid w:val="005C4A21"/>
    <w:rsid w:val="005C4A85"/>
    <w:rsid w:val="005C58A3"/>
    <w:rsid w:val="005C664D"/>
    <w:rsid w:val="005C6B5B"/>
    <w:rsid w:val="005D0E8C"/>
    <w:rsid w:val="005D22DA"/>
    <w:rsid w:val="005D4733"/>
    <w:rsid w:val="005E3316"/>
    <w:rsid w:val="005E4E17"/>
    <w:rsid w:val="005E6B04"/>
    <w:rsid w:val="005F199D"/>
    <w:rsid w:val="005F375C"/>
    <w:rsid w:val="005F54B1"/>
    <w:rsid w:val="005F6BFB"/>
    <w:rsid w:val="006005B8"/>
    <w:rsid w:val="00600CB5"/>
    <w:rsid w:val="00601C49"/>
    <w:rsid w:val="00603FD5"/>
    <w:rsid w:val="006043E8"/>
    <w:rsid w:val="00605B91"/>
    <w:rsid w:val="00610EE4"/>
    <w:rsid w:val="00612883"/>
    <w:rsid w:val="00620D1C"/>
    <w:rsid w:val="0062626D"/>
    <w:rsid w:val="00626A3A"/>
    <w:rsid w:val="00631943"/>
    <w:rsid w:val="00635D17"/>
    <w:rsid w:val="006402F8"/>
    <w:rsid w:val="00641A54"/>
    <w:rsid w:val="00647164"/>
    <w:rsid w:val="006518E8"/>
    <w:rsid w:val="00654988"/>
    <w:rsid w:val="0065717B"/>
    <w:rsid w:val="00661A3C"/>
    <w:rsid w:val="006620E0"/>
    <w:rsid w:val="00663173"/>
    <w:rsid w:val="006659C5"/>
    <w:rsid w:val="00674E3B"/>
    <w:rsid w:val="006751D7"/>
    <w:rsid w:val="006817C0"/>
    <w:rsid w:val="00682EB4"/>
    <w:rsid w:val="006862EE"/>
    <w:rsid w:val="006865B7"/>
    <w:rsid w:val="00691003"/>
    <w:rsid w:val="006963D7"/>
    <w:rsid w:val="006A36B7"/>
    <w:rsid w:val="006A37F9"/>
    <w:rsid w:val="006A6436"/>
    <w:rsid w:val="006A6B9A"/>
    <w:rsid w:val="006B1C94"/>
    <w:rsid w:val="006B6AA8"/>
    <w:rsid w:val="006C59F6"/>
    <w:rsid w:val="006D7BDC"/>
    <w:rsid w:val="006D7F05"/>
    <w:rsid w:val="006E146C"/>
    <w:rsid w:val="006E6C1F"/>
    <w:rsid w:val="006F1A16"/>
    <w:rsid w:val="006F3CBC"/>
    <w:rsid w:val="006F619C"/>
    <w:rsid w:val="006F72C4"/>
    <w:rsid w:val="006F7ABC"/>
    <w:rsid w:val="0070169B"/>
    <w:rsid w:val="00701928"/>
    <w:rsid w:val="0071035B"/>
    <w:rsid w:val="0071053A"/>
    <w:rsid w:val="007119B7"/>
    <w:rsid w:val="00711ED7"/>
    <w:rsid w:val="00712039"/>
    <w:rsid w:val="007120BC"/>
    <w:rsid w:val="00717BF7"/>
    <w:rsid w:val="007202F3"/>
    <w:rsid w:val="00721A04"/>
    <w:rsid w:val="00722DC3"/>
    <w:rsid w:val="0072433E"/>
    <w:rsid w:val="007262FF"/>
    <w:rsid w:val="00727F3F"/>
    <w:rsid w:val="00732B46"/>
    <w:rsid w:val="007346AC"/>
    <w:rsid w:val="00741ABF"/>
    <w:rsid w:val="00745B58"/>
    <w:rsid w:val="00750F83"/>
    <w:rsid w:val="00752DA2"/>
    <w:rsid w:val="00753527"/>
    <w:rsid w:val="00753AD5"/>
    <w:rsid w:val="007545AA"/>
    <w:rsid w:val="00756C26"/>
    <w:rsid w:val="00762DF6"/>
    <w:rsid w:val="00765EA3"/>
    <w:rsid w:val="0076704C"/>
    <w:rsid w:val="00772E0A"/>
    <w:rsid w:val="00773383"/>
    <w:rsid w:val="00774AF4"/>
    <w:rsid w:val="0077746F"/>
    <w:rsid w:val="00783166"/>
    <w:rsid w:val="00783C8C"/>
    <w:rsid w:val="0078596E"/>
    <w:rsid w:val="00786095"/>
    <w:rsid w:val="00787D85"/>
    <w:rsid w:val="00791204"/>
    <w:rsid w:val="007913A9"/>
    <w:rsid w:val="00792818"/>
    <w:rsid w:val="00794F83"/>
    <w:rsid w:val="007974D2"/>
    <w:rsid w:val="007A11BE"/>
    <w:rsid w:val="007A1583"/>
    <w:rsid w:val="007A242A"/>
    <w:rsid w:val="007B225A"/>
    <w:rsid w:val="007B3B8D"/>
    <w:rsid w:val="007B40E0"/>
    <w:rsid w:val="007C357C"/>
    <w:rsid w:val="007C3926"/>
    <w:rsid w:val="007C4826"/>
    <w:rsid w:val="007C488A"/>
    <w:rsid w:val="007C6454"/>
    <w:rsid w:val="007C7096"/>
    <w:rsid w:val="007C7B4E"/>
    <w:rsid w:val="007D1C52"/>
    <w:rsid w:val="007D381C"/>
    <w:rsid w:val="007D43D4"/>
    <w:rsid w:val="007D45C2"/>
    <w:rsid w:val="007D6278"/>
    <w:rsid w:val="007E264C"/>
    <w:rsid w:val="007F26CD"/>
    <w:rsid w:val="007F335F"/>
    <w:rsid w:val="007F51A2"/>
    <w:rsid w:val="007F7223"/>
    <w:rsid w:val="008034E4"/>
    <w:rsid w:val="00804951"/>
    <w:rsid w:val="00805AB9"/>
    <w:rsid w:val="008144DB"/>
    <w:rsid w:val="00815972"/>
    <w:rsid w:val="00817407"/>
    <w:rsid w:val="00826AE0"/>
    <w:rsid w:val="00830D27"/>
    <w:rsid w:val="00831F07"/>
    <w:rsid w:val="0083512F"/>
    <w:rsid w:val="008351EC"/>
    <w:rsid w:val="00837CCD"/>
    <w:rsid w:val="00843491"/>
    <w:rsid w:val="00843E0F"/>
    <w:rsid w:val="00844B25"/>
    <w:rsid w:val="00845750"/>
    <w:rsid w:val="008459BD"/>
    <w:rsid w:val="008479BD"/>
    <w:rsid w:val="008515B4"/>
    <w:rsid w:val="00854AD4"/>
    <w:rsid w:val="00854B48"/>
    <w:rsid w:val="008563EE"/>
    <w:rsid w:val="0086078A"/>
    <w:rsid w:val="00860D11"/>
    <w:rsid w:val="00860F78"/>
    <w:rsid w:val="00864394"/>
    <w:rsid w:val="00871B09"/>
    <w:rsid w:val="0087545B"/>
    <w:rsid w:val="00876D37"/>
    <w:rsid w:val="008816CD"/>
    <w:rsid w:val="00882B16"/>
    <w:rsid w:val="00891373"/>
    <w:rsid w:val="00892E7A"/>
    <w:rsid w:val="008941EA"/>
    <w:rsid w:val="00895A77"/>
    <w:rsid w:val="00897BEE"/>
    <w:rsid w:val="008A06DF"/>
    <w:rsid w:val="008A0914"/>
    <w:rsid w:val="008A1356"/>
    <w:rsid w:val="008A4526"/>
    <w:rsid w:val="008A5C82"/>
    <w:rsid w:val="008B0B24"/>
    <w:rsid w:val="008C25A5"/>
    <w:rsid w:val="008C4EFA"/>
    <w:rsid w:val="008D1982"/>
    <w:rsid w:val="008D481C"/>
    <w:rsid w:val="008E21B8"/>
    <w:rsid w:val="008E51EA"/>
    <w:rsid w:val="008E7941"/>
    <w:rsid w:val="008F0ACF"/>
    <w:rsid w:val="008F3AAB"/>
    <w:rsid w:val="008F4461"/>
    <w:rsid w:val="008F7ACB"/>
    <w:rsid w:val="008F7E38"/>
    <w:rsid w:val="00907160"/>
    <w:rsid w:val="0091027F"/>
    <w:rsid w:val="009107CD"/>
    <w:rsid w:val="00912400"/>
    <w:rsid w:val="00914DA6"/>
    <w:rsid w:val="00915BCF"/>
    <w:rsid w:val="009167A0"/>
    <w:rsid w:val="00916E4B"/>
    <w:rsid w:val="00917446"/>
    <w:rsid w:val="0091790D"/>
    <w:rsid w:val="00920849"/>
    <w:rsid w:val="00925D80"/>
    <w:rsid w:val="00927EC4"/>
    <w:rsid w:val="00932CF7"/>
    <w:rsid w:val="0093377C"/>
    <w:rsid w:val="009355A1"/>
    <w:rsid w:val="00936061"/>
    <w:rsid w:val="0094149F"/>
    <w:rsid w:val="009445DF"/>
    <w:rsid w:val="009454C3"/>
    <w:rsid w:val="009457EC"/>
    <w:rsid w:val="00945E46"/>
    <w:rsid w:val="009478D3"/>
    <w:rsid w:val="00956A3D"/>
    <w:rsid w:val="00964243"/>
    <w:rsid w:val="0096672F"/>
    <w:rsid w:val="0097370C"/>
    <w:rsid w:val="0098108C"/>
    <w:rsid w:val="0098719D"/>
    <w:rsid w:val="00990CA7"/>
    <w:rsid w:val="009920D8"/>
    <w:rsid w:val="009970FA"/>
    <w:rsid w:val="009A1D63"/>
    <w:rsid w:val="009A3D58"/>
    <w:rsid w:val="009A5279"/>
    <w:rsid w:val="009A577F"/>
    <w:rsid w:val="009B0B5A"/>
    <w:rsid w:val="009B482E"/>
    <w:rsid w:val="009B534D"/>
    <w:rsid w:val="009B72D2"/>
    <w:rsid w:val="009C0F34"/>
    <w:rsid w:val="009C1A38"/>
    <w:rsid w:val="009C21F7"/>
    <w:rsid w:val="009C2692"/>
    <w:rsid w:val="009C6BCF"/>
    <w:rsid w:val="009D2DF1"/>
    <w:rsid w:val="009E7D19"/>
    <w:rsid w:val="009F1169"/>
    <w:rsid w:val="009F4484"/>
    <w:rsid w:val="009F6BCD"/>
    <w:rsid w:val="009F7971"/>
    <w:rsid w:val="00A02CA6"/>
    <w:rsid w:val="00A04434"/>
    <w:rsid w:val="00A047C2"/>
    <w:rsid w:val="00A06F4F"/>
    <w:rsid w:val="00A11595"/>
    <w:rsid w:val="00A167C8"/>
    <w:rsid w:val="00A23EEF"/>
    <w:rsid w:val="00A26A5D"/>
    <w:rsid w:val="00A334C0"/>
    <w:rsid w:val="00A3567D"/>
    <w:rsid w:val="00A36E9B"/>
    <w:rsid w:val="00A376FE"/>
    <w:rsid w:val="00A45297"/>
    <w:rsid w:val="00A4641A"/>
    <w:rsid w:val="00A468B8"/>
    <w:rsid w:val="00A477B0"/>
    <w:rsid w:val="00A51926"/>
    <w:rsid w:val="00A54BC3"/>
    <w:rsid w:val="00A63466"/>
    <w:rsid w:val="00A65FD7"/>
    <w:rsid w:val="00A73D78"/>
    <w:rsid w:val="00A75072"/>
    <w:rsid w:val="00A75A7A"/>
    <w:rsid w:val="00A75F77"/>
    <w:rsid w:val="00A767DF"/>
    <w:rsid w:val="00A77383"/>
    <w:rsid w:val="00A807C4"/>
    <w:rsid w:val="00A81913"/>
    <w:rsid w:val="00A84013"/>
    <w:rsid w:val="00A84E8A"/>
    <w:rsid w:val="00A86C3F"/>
    <w:rsid w:val="00A8771C"/>
    <w:rsid w:val="00A90AE8"/>
    <w:rsid w:val="00A94054"/>
    <w:rsid w:val="00A944D8"/>
    <w:rsid w:val="00A9481C"/>
    <w:rsid w:val="00A9546E"/>
    <w:rsid w:val="00A955C2"/>
    <w:rsid w:val="00AA04C2"/>
    <w:rsid w:val="00AA255D"/>
    <w:rsid w:val="00AA6B16"/>
    <w:rsid w:val="00AA716D"/>
    <w:rsid w:val="00AB066A"/>
    <w:rsid w:val="00AB30EA"/>
    <w:rsid w:val="00AC22D1"/>
    <w:rsid w:val="00AC313F"/>
    <w:rsid w:val="00AC39FF"/>
    <w:rsid w:val="00AC44A9"/>
    <w:rsid w:val="00AD2BB8"/>
    <w:rsid w:val="00AD32F1"/>
    <w:rsid w:val="00AD4F58"/>
    <w:rsid w:val="00AD63B3"/>
    <w:rsid w:val="00AD68DB"/>
    <w:rsid w:val="00AD787F"/>
    <w:rsid w:val="00AE1635"/>
    <w:rsid w:val="00AE3220"/>
    <w:rsid w:val="00AE54D6"/>
    <w:rsid w:val="00AF103C"/>
    <w:rsid w:val="00AF4CD5"/>
    <w:rsid w:val="00B053D6"/>
    <w:rsid w:val="00B07BEC"/>
    <w:rsid w:val="00B11AAC"/>
    <w:rsid w:val="00B15306"/>
    <w:rsid w:val="00B176A9"/>
    <w:rsid w:val="00B17EEE"/>
    <w:rsid w:val="00B20D9C"/>
    <w:rsid w:val="00B24B98"/>
    <w:rsid w:val="00B24E78"/>
    <w:rsid w:val="00B260B5"/>
    <w:rsid w:val="00B32A29"/>
    <w:rsid w:val="00B35E42"/>
    <w:rsid w:val="00B36B28"/>
    <w:rsid w:val="00B404E5"/>
    <w:rsid w:val="00B4185F"/>
    <w:rsid w:val="00B43C4D"/>
    <w:rsid w:val="00B4703A"/>
    <w:rsid w:val="00B56303"/>
    <w:rsid w:val="00B61E97"/>
    <w:rsid w:val="00B70BCD"/>
    <w:rsid w:val="00B73198"/>
    <w:rsid w:val="00B75614"/>
    <w:rsid w:val="00B773CA"/>
    <w:rsid w:val="00B7767E"/>
    <w:rsid w:val="00B77E2E"/>
    <w:rsid w:val="00B81528"/>
    <w:rsid w:val="00B90155"/>
    <w:rsid w:val="00B927BA"/>
    <w:rsid w:val="00B936CF"/>
    <w:rsid w:val="00B9443F"/>
    <w:rsid w:val="00B97CC7"/>
    <w:rsid w:val="00B97D24"/>
    <w:rsid w:val="00B97D64"/>
    <w:rsid w:val="00BA1FAD"/>
    <w:rsid w:val="00BA396D"/>
    <w:rsid w:val="00BA4F8B"/>
    <w:rsid w:val="00BA59D5"/>
    <w:rsid w:val="00BA72F3"/>
    <w:rsid w:val="00BB10E0"/>
    <w:rsid w:val="00BB22F4"/>
    <w:rsid w:val="00BB395B"/>
    <w:rsid w:val="00BB591C"/>
    <w:rsid w:val="00BB6F44"/>
    <w:rsid w:val="00BB7079"/>
    <w:rsid w:val="00BC23A5"/>
    <w:rsid w:val="00BC5373"/>
    <w:rsid w:val="00BC6FDE"/>
    <w:rsid w:val="00BD0434"/>
    <w:rsid w:val="00BD18D8"/>
    <w:rsid w:val="00BD3E77"/>
    <w:rsid w:val="00BD41F9"/>
    <w:rsid w:val="00BE130A"/>
    <w:rsid w:val="00BE2CD3"/>
    <w:rsid w:val="00BE74C8"/>
    <w:rsid w:val="00BE7A27"/>
    <w:rsid w:val="00BF5B12"/>
    <w:rsid w:val="00C026C3"/>
    <w:rsid w:val="00C036B5"/>
    <w:rsid w:val="00C03854"/>
    <w:rsid w:val="00C059D4"/>
    <w:rsid w:val="00C10038"/>
    <w:rsid w:val="00C10EA1"/>
    <w:rsid w:val="00C147D4"/>
    <w:rsid w:val="00C161A0"/>
    <w:rsid w:val="00C20C97"/>
    <w:rsid w:val="00C2651E"/>
    <w:rsid w:val="00C27D68"/>
    <w:rsid w:val="00C364AD"/>
    <w:rsid w:val="00C36689"/>
    <w:rsid w:val="00C36793"/>
    <w:rsid w:val="00C433AB"/>
    <w:rsid w:val="00C44C07"/>
    <w:rsid w:val="00C51059"/>
    <w:rsid w:val="00C513AB"/>
    <w:rsid w:val="00C51A4D"/>
    <w:rsid w:val="00C5429B"/>
    <w:rsid w:val="00C5470D"/>
    <w:rsid w:val="00C54DC6"/>
    <w:rsid w:val="00C558C5"/>
    <w:rsid w:val="00C57CE6"/>
    <w:rsid w:val="00C62F04"/>
    <w:rsid w:val="00C6710C"/>
    <w:rsid w:val="00C73FAD"/>
    <w:rsid w:val="00C80E5E"/>
    <w:rsid w:val="00C939BF"/>
    <w:rsid w:val="00C93C3A"/>
    <w:rsid w:val="00C96167"/>
    <w:rsid w:val="00C965B8"/>
    <w:rsid w:val="00CB3AEB"/>
    <w:rsid w:val="00CB4DD4"/>
    <w:rsid w:val="00CC3575"/>
    <w:rsid w:val="00CC3E91"/>
    <w:rsid w:val="00CC4744"/>
    <w:rsid w:val="00CD2F69"/>
    <w:rsid w:val="00CD601F"/>
    <w:rsid w:val="00CE0F67"/>
    <w:rsid w:val="00CF3E79"/>
    <w:rsid w:val="00CF47C7"/>
    <w:rsid w:val="00D000CB"/>
    <w:rsid w:val="00D00600"/>
    <w:rsid w:val="00D00AF7"/>
    <w:rsid w:val="00D03ECE"/>
    <w:rsid w:val="00D1619A"/>
    <w:rsid w:val="00D1754F"/>
    <w:rsid w:val="00D25945"/>
    <w:rsid w:val="00D26557"/>
    <w:rsid w:val="00D27AFC"/>
    <w:rsid w:val="00D34EAF"/>
    <w:rsid w:val="00D4202F"/>
    <w:rsid w:val="00D53460"/>
    <w:rsid w:val="00D56BCC"/>
    <w:rsid w:val="00D66859"/>
    <w:rsid w:val="00D736DC"/>
    <w:rsid w:val="00D85E15"/>
    <w:rsid w:val="00D87D47"/>
    <w:rsid w:val="00D9051E"/>
    <w:rsid w:val="00D912B0"/>
    <w:rsid w:val="00D9229D"/>
    <w:rsid w:val="00D95D24"/>
    <w:rsid w:val="00D964BA"/>
    <w:rsid w:val="00D96931"/>
    <w:rsid w:val="00D974A5"/>
    <w:rsid w:val="00D97AD5"/>
    <w:rsid w:val="00DA6556"/>
    <w:rsid w:val="00DB0008"/>
    <w:rsid w:val="00DB1DB0"/>
    <w:rsid w:val="00DB3259"/>
    <w:rsid w:val="00DB380D"/>
    <w:rsid w:val="00DB7BE0"/>
    <w:rsid w:val="00DC4B7C"/>
    <w:rsid w:val="00DC7137"/>
    <w:rsid w:val="00DC7D85"/>
    <w:rsid w:val="00DD34FE"/>
    <w:rsid w:val="00DD77F4"/>
    <w:rsid w:val="00DE3F23"/>
    <w:rsid w:val="00DF2B75"/>
    <w:rsid w:val="00DF3480"/>
    <w:rsid w:val="00DF3B06"/>
    <w:rsid w:val="00DF5000"/>
    <w:rsid w:val="00E00470"/>
    <w:rsid w:val="00E00A2C"/>
    <w:rsid w:val="00E018D0"/>
    <w:rsid w:val="00E128D0"/>
    <w:rsid w:val="00E246FC"/>
    <w:rsid w:val="00E3009B"/>
    <w:rsid w:val="00E30492"/>
    <w:rsid w:val="00E31415"/>
    <w:rsid w:val="00E32291"/>
    <w:rsid w:val="00E36188"/>
    <w:rsid w:val="00E3682B"/>
    <w:rsid w:val="00E41C6F"/>
    <w:rsid w:val="00E439BE"/>
    <w:rsid w:val="00E5445E"/>
    <w:rsid w:val="00E56102"/>
    <w:rsid w:val="00E612D8"/>
    <w:rsid w:val="00E65D46"/>
    <w:rsid w:val="00E6620D"/>
    <w:rsid w:val="00E67402"/>
    <w:rsid w:val="00E713E8"/>
    <w:rsid w:val="00E7183A"/>
    <w:rsid w:val="00E72D73"/>
    <w:rsid w:val="00E76521"/>
    <w:rsid w:val="00E767D1"/>
    <w:rsid w:val="00E80BCC"/>
    <w:rsid w:val="00E82EC3"/>
    <w:rsid w:val="00E85848"/>
    <w:rsid w:val="00E87759"/>
    <w:rsid w:val="00E91334"/>
    <w:rsid w:val="00E960E0"/>
    <w:rsid w:val="00E97A04"/>
    <w:rsid w:val="00EA2758"/>
    <w:rsid w:val="00EA450F"/>
    <w:rsid w:val="00EA7216"/>
    <w:rsid w:val="00EB0EE4"/>
    <w:rsid w:val="00EB297D"/>
    <w:rsid w:val="00EB755A"/>
    <w:rsid w:val="00EC02D4"/>
    <w:rsid w:val="00EC2369"/>
    <w:rsid w:val="00EC34A6"/>
    <w:rsid w:val="00EC3753"/>
    <w:rsid w:val="00EC4DBD"/>
    <w:rsid w:val="00EC56E7"/>
    <w:rsid w:val="00EC7725"/>
    <w:rsid w:val="00ED43EF"/>
    <w:rsid w:val="00ED4779"/>
    <w:rsid w:val="00ED6BAE"/>
    <w:rsid w:val="00ED7B1F"/>
    <w:rsid w:val="00EE0C44"/>
    <w:rsid w:val="00EE1A37"/>
    <w:rsid w:val="00EE22E8"/>
    <w:rsid w:val="00EF0BB0"/>
    <w:rsid w:val="00EF1D99"/>
    <w:rsid w:val="00EF29BC"/>
    <w:rsid w:val="00EF55CC"/>
    <w:rsid w:val="00EF5AD5"/>
    <w:rsid w:val="00EF6F2C"/>
    <w:rsid w:val="00EF7CE3"/>
    <w:rsid w:val="00F002B9"/>
    <w:rsid w:val="00F01F74"/>
    <w:rsid w:val="00F02F32"/>
    <w:rsid w:val="00F107D1"/>
    <w:rsid w:val="00F11C4F"/>
    <w:rsid w:val="00F12A06"/>
    <w:rsid w:val="00F12BB1"/>
    <w:rsid w:val="00F130C5"/>
    <w:rsid w:val="00F13296"/>
    <w:rsid w:val="00F163DE"/>
    <w:rsid w:val="00F217C0"/>
    <w:rsid w:val="00F21B7C"/>
    <w:rsid w:val="00F23014"/>
    <w:rsid w:val="00F23F66"/>
    <w:rsid w:val="00F35396"/>
    <w:rsid w:val="00F3590C"/>
    <w:rsid w:val="00F439E0"/>
    <w:rsid w:val="00F447CC"/>
    <w:rsid w:val="00F4615C"/>
    <w:rsid w:val="00F524FF"/>
    <w:rsid w:val="00F6003A"/>
    <w:rsid w:val="00F6282B"/>
    <w:rsid w:val="00F63B2E"/>
    <w:rsid w:val="00F667A1"/>
    <w:rsid w:val="00F667BE"/>
    <w:rsid w:val="00F706EB"/>
    <w:rsid w:val="00F745E5"/>
    <w:rsid w:val="00F74968"/>
    <w:rsid w:val="00F76DDD"/>
    <w:rsid w:val="00F773BE"/>
    <w:rsid w:val="00F82ED2"/>
    <w:rsid w:val="00F830B4"/>
    <w:rsid w:val="00F84ECD"/>
    <w:rsid w:val="00F95294"/>
    <w:rsid w:val="00F95717"/>
    <w:rsid w:val="00FA4F4F"/>
    <w:rsid w:val="00FA6782"/>
    <w:rsid w:val="00FA692E"/>
    <w:rsid w:val="00FB2CB2"/>
    <w:rsid w:val="00FC603E"/>
    <w:rsid w:val="00FC738C"/>
    <w:rsid w:val="00FD3F6D"/>
    <w:rsid w:val="00FE04A1"/>
    <w:rsid w:val="00FE15C6"/>
    <w:rsid w:val="00FE613A"/>
    <w:rsid w:val="00FE6A85"/>
    <w:rsid w:val="00FF3428"/>
    <w:rsid w:val="00FF4DCB"/>
    <w:rsid w:val="00FF5CDB"/>
    <w:rsid w:val="00FF5DDF"/>
    <w:rsid w:val="00FF68ED"/>
    <w:rsid w:val="00FF79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16875"/>
  <w15:chartTrackingRefBased/>
  <w15:docId w15:val="{217688FD-3F0C-4A39-BD82-D88E44653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5A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5AF0"/>
  </w:style>
  <w:style w:type="paragraph" w:styleId="Footer">
    <w:name w:val="footer"/>
    <w:basedOn w:val="Normal"/>
    <w:link w:val="FooterChar"/>
    <w:uiPriority w:val="99"/>
    <w:unhideWhenUsed/>
    <w:rsid w:val="00025A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5AF0"/>
  </w:style>
  <w:style w:type="table" w:styleId="TableGrid">
    <w:name w:val="Table Grid"/>
    <w:basedOn w:val="TableNormal"/>
    <w:uiPriority w:val="39"/>
    <w:rsid w:val="005C58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54DC6"/>
    <w:pPr>
      <w:ind w:left="720"/>
      <w:contextualSpacing/>
    </w:pPr>
  </w:style>
  <w:style w:type="paragraph" w:styleId="NormalWeb">
    <w:name w:val="Normal (Web)"/>
    <w:basedOn w:val="Normal"/>
    <w:uiPriority w:val="99"/>
    <w:semiHidden/>
    <w:unhideWhenUsed/>
    <w:rsid w:val="00C3668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EndNoteBibliographyTitle">
    <w:name w:val="EndNote Bibliography Title"/>
    <w:basedOn w:val="Normal"/>
    <w:link w:val="EndNoteBibliographyTitleChar"/>
    <w:rsid w:val="00D27AFC"/>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D27AFC"/>
    <w:rPr>
      <w:rFonts w:ascii="Calibri" w:hAnsi="Calibri" w:cs="Calibri"/>
      <w:noProof/>
      <w:lang w:val="en-US"/>
    </w:rPr>
  </w:style>
  <w:style w:type="paragraph" w:customStyle="1" w:styleId="EndNoteBibliography">
    <w:name w:val="EndNote Bibliography"/>
    <w:basedOn w:val="Normal"/>
    <w:link w:val="EndNoteBibliographyChar"/>
    <w:rsid w:val="00D27AFC"/>
    <w:pPr>
      <w:spacing w:line="240" w:lineRule="auto"/>
      <w:jc w:val="both"/>
    </w:pPr>
    <w:rPr>
      <w:rFonts w:ascii="Calibri" w:hAnsi="Calibri" w:cs="Calibri"/>
      <w:noProof/>
      <w:lang w:val="en-US"/>
    </w:rPr>
  </w:style>
  <w:style w:type="character" w:customStyle="1" w:styleId="EndNoteBibliographyChar">
    <w:name w:val="EndNote Bibliography Char"/>
    <w:basedOn w:val="DefaultParagraphFont"/>
    <w:link w:val="EndNoteBibliography"/>
    <w:rsid w:val="00D27AFC"/>
    <w:rPr>
      <w:rFonts w:ascii="Calibri" w:hAnsi="Calibri" w:cs="Calibri"/>
      <w:noProof/>
      <w:lang w:val="en-US"/>
    </w:rPr>
  </w:style>
  <w:style w:type="character" w:styleId="CommentReference">
    <w:name w:val="annotation reference"/>
    <w:basedOn w:val="DefaultParagraphFont"/>
    <w:uiPriority w:val="99"/>
    <w:semiHidden/>
    <w:unhideWhenUsed/>
    <w:rsid w:val="00303CA5"/>
    <w:rPr>
      <w:sz w:val="16"/>
      <w:szCs w:val="16"/>
    </w:rPr>
  </w:style>
  <w:style w:type="paragraph" w:styleId="CommentText">
    <w:name w:val="annotation text"/>
    <w:basedOn w:val="Normal"/>
    <w:link w:val="CommentTextChar"/>
    <w:uiPriority w:val="99"/>
    <w:semiHidden/>
    <w:unhideWhenUsed/>
    <w:rsid w:val="00303CA5"/>
    <w:pPr>
      <w:spacing w:line="240" w:lineRule="auto"/>
    </w:pPr>
    <w:rPr>
      <w:sz w:val="20"/>
      <w:szCs w:val="20"/>
    </w:rPr>
  </w:style>
  <w:style w:type="character" w:customStyle="1" w:styleId="CommentTextChar">
    <w:name w:val="Comment Text Char"/>
    <w:basedOn w:val="DefaultParagraphFont"/>
    <w:link w:val="CommentText"/>
    <w:uiPriority w:val="99"/>
    <w:semiHidden/>
    <w:rsid w:val="00303CA5"/>
    <w:rPr>
      <w:sz w:val="20"/>
      <w:szCs w:val="20"/>
    </w:rPr>
  </w:style>
  <w:style w:type="paragraph" w:styleId="CommentSubject">
    <w:name w:val="annotation subject"/>
    <w:basedOn w:val="CommentText"/>
    <w:next w:val="CommentText"/>
    <w:link w:val="CommentSubjectChar"/>
    <w:uiPriority w:val="99"/>
    <w:semiHidden/>
    <w:unhideWhenUsed/>
    <w:rsid w:val="00303CA5"/>
    <w:rPr>
      <w:b/>
      <w:bCs/>
    </w:rPr>
  </w:style>
  <w:style w:type="character" w:customStyle="1" w:styleId="CommentSubjectChar">
    <w:name w:val="Comment Subject Char"/>
    <w:basedOn w:val="CommentTextChar"/>
    <w:link w:val="CommentSubject"/>
    <w:uiPriority w:val="99"/>
    <w:semiHidden/>
    <w:rsid w:val="00303CA5"/>
    <w:rPr>
      <w:b/>
      <w:bCs/>
      <w:sz w:val="20"/>
      <w:szCs w:val="20"/>
    </w:rPr>
  </w:style>
  <w:style w:type="paragraph" w:styleId="BalloonText">
    <w:name w:val="Balloon Text"/>
    <w:basedOn w:val="Normal"/>
    <w:link w:val="BalloonTextChar"/>
    <w:uiPriority w:val="99"/>
    <w:semiHidden/>
    <w:unhideWhenUsed/>
    <w:rsid w:val="00303C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3CA5"/>
    <w:rPr>
      <w:rFonts w:ascii="Segoe UI" w:hAnsi="Segoe UI" w:cs="Segoe UI"/>
      <w:sz w:val="18"/>
      <w:szCs w:val="18"/>
    </w:rPr>
  </w:style>
  <w:style w:type="table" w:styleId="PlainTable4">
    <w:name w:val="Plain Table 4"/>
    <w:basedOn w:val="TableNormal"/>
    <w:uiPriority w:val="44"/>
    <w:rsid w:val="00C57CE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uiPriority w:val="1"/>
    <w:qFormat/>
    <w:rsid w:val="00772E0A"/>
    <w:pPr>
      <w:spacing w:after="0" w:line="240" w:lineRule="auto"/>
    </w:pPr>
  </w:style>
  <w:style w:type="character" w:styleId="PlaceholderText">
    <w:name w:val="Placeholder Text"/>
    <w:basedOn w:val="DefaultParagraphFont"/>
    <w:uiPriority w:val="99"/>
    <w:semiHidden/>
    <w:rsid w:val="00F163D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21780">
      <w:bodyDiv w:val="1"/>
      <w:marLeft w:val="0"/>
      <w:marRight w:val="0"/>
      <w:marTop w:val="0"/>
      <w:marBottom w:val="0"/>
      <w:divBdr>
        <w:top w:val="none" w:sz="0" w:space="0" w:color="auto"/>
        <w:left w:val="none" w:sz="0" w:space="0" w:color="auto"/>
        <w:bottom w:val="none" w:sz="0" w:space="0" w:color="auto"/>
        <w:right w:val="none" w:sz="0" w:space="0" w:color="auto"/>
      </w:divBdr>
    </w:div>
    <w:div w:id="52583674">
      <w:bodyDiv w:val="1"/>
      <w:marLeft w:val="0"/>
      <w:marRight w:val="0"/>
      <w:marTop w:val="0"/>
      <w:marBottom w:val="0"/>
      <w:divBdr>
        <w:top w:val="none" w:sz="0" w:space="0" w:color="auto"/>
        <w:left w:val="none" w:sz="0" w:space="0" w:color="auto"/>
        <w:bottom w:val="none" w:sz="0" w:space="0" w:color="auto"/>
        <w:right w:val="none" w:sz="0" w:space="0" w:color="auto"/>
      </w:divBdr>
    </w:div>
    <w:div w:id="52657181">
      <w:bodyDiv w:val="1"/>
      <w:marLeft w:val="0"/>
      <w:marRight w:val="0"/>
      <w:marTop w:val="0"/>
      <w:marBottom w:val="0"/>
      <w:divBdr>
        <w:top w:val="none" w:sz="0" w:space="0" w:color="auto"/>
        <w:left w:val="none" w:sz="0" w:space="0" w:color="auto"/>
        <w:bottom w:val="none" w:sz="0" w:space="0" w:color="auto"/>
        <w:right w:val="none" w:sz="0" w:space="0" w:color="auto"/>
      </w:divBdr>
    </w:div>
    <w:div w:id="97719380">
      <w:bodyDiv w:val="1"/>
      <w:marLeft w:val="0"/>
      <w:marRight w:val="0"/>
      <w:marTop w:val="0"/>
      <w:marBottom w:val="0"/>
      <w:divBdr>
        <w:top w:val="none" w:sz="0" w:space="0" w:color="auto"/>
        <w:left w:val="none" w:sz="0" w:space="0" w:color="auto"/>
        <w:bottom w:val="none" w:sz="0" w:space="0" w:color="auto"/>
        <w:right w:val="none" w:sz="0" w:space="0" w:color="auto"/>
      </w:divBdr>
      <w:divsChild>
        <w:div w:id="1082987445">
          <w:marLeft w:val="0"/>
          <w:marRight w:val="0"/>
          <w:marTop w:val="0"/>
          <w:marBottom w:val="0"/>
          <w:divBdr>
            <w:top w:val="none" w:sz="0" w:space="0" w:color="auto"/>
            <w:left w:val="none" w:sz="0" w:space="0" w:color="auto"/>
            <w:bottom w:val="none" w:sz="0" w:space="0" w:color="auto"/>
            <w:right w:val="none" w:sz="0" w:space="0" w:color="auto"/>
          </w:divBdr>
          <w:divsChild>
            <w:div w:id="451171869">
              <w:marLeft w:val="0"/>
              <w:marRight w:val="0"/>
              <w:marTop w:val="0"/>
              <w:marBottom w:val="0"/>
              <w:divBdr>
                <w:top w:val="none" w:sz="0" w:space="0" w:color="auto"/>
                <w:left w:val="none" w:sz="0" w:space="0" w:color="auto"/>
                <w:bottom w:val="none" w:sz="0" w:space="0" w:color="auto"/>
                <w:right w:val="none" w:sz="0" w:space="0" w:color="auto"/>
              </w:divBdr>
              <w:divsChild>
                <w:div w:id="1755205805">
                  <w:marLeft w:val="-300"/>
                  <w:marRight w:val="0"/>
                  <w:marTop w:val="0"/>
                  <w:marBottom w:val="0"/>
                  <w:divBdr>
                    <w:top w:val="none" w:sz="0" w:space="0" w:color="auto"/>
                    <w:left w:val="none" w:sz="0" w:space="0" w:color="auto"/>
                    <w:bottom w:val="none" w:sz="0" w:space="0" w:color="auto"/>
                    <w:right w:val="none" w:sz="0" w:space="0" w:color="auto"/>
                  </w:divBdr>
                  <w:divsChild>
                    <w:div w:id="2113742366">
                      <w:marLeft w:val="0"/>
                      <w:marRight w:val="0"/>
                      <w:marTop w:val="0"/>
                      <w:marBottom w:val="0"/>
                      <w:divBdr>
                        <w:top w:val="none" w:sz="0" w:space="0" w:color="auto"/>
                        <w:left w:val="none" w:sz="0" w:space="0" w:color="auto"/>
                        <w:bottom w:val="none" w:sz="0" w:space="0" w:color="auto"/>
                        <w:right w:val="none" w:sz="0" w:space="0" w:color="auto"/>
                      </w:divBdr>
                      <w:divsChild>
                        <w:div w:id="1342388628">
                          <w:marLeft w:val="0"/>
                          <w:marRight w:val="0"/>
                          <w:marTop w:val="0"/>
                          <w:marBottom w:val="0"/>
                          <w:divBdr>
                            <w:top w:val="single" w:sz="18" w:space="3" w:color="EEEEEE"/>
                            <w:left w:val="single" w:sz="36" w:space="0" w:color="EEEEEE"/>
                            <w:bottom w:val="single" w:sz="18" w:space="0" w:color="EEEEEE"/>
                            <w:right w:val="none" w:sz="0" w:space="0" w:color="auto"/>
                          </w:divBdr>
                        </w:div>
                      </w:divsChild>
                    </w:div>
                  </w:divsChild>
                </w:div>
              </w:divsChild>
            </w:div>
          </w:divsChild>
        </w:div>
      </w:divsChild>
    </w:div>
    <w:div w:id="225800818">
      <w:bodyDiv w:val="1"/>
      <w:marLeft w:val="0"/>
      <w:marRight w:val="0"/>
      <w:marTop w:val="0"/>
      <w:marBottom w:val="0"/>
      <w:divBdr>
        <w:top w:val="none" w:sz="0" w:space="0" w:color="auto"/>
        <w:left w:val="none" w:sz="0" w:space="0" w:color="auto"/>
        <w:bottom w:val="none" w:sz="0" w:space="0" w:color="auto"/>
        <w:right w:val="none" w:sz="0" w:space="0" w:color="auto"/>
      </w:divBdr>
    </w:div>
    <w:div w:id="338776672">
      <w:bodyDiv w:val="1"/>
      <w:marLeft w:val="0"/>
      <w:marRight w:val="0"/>
      <w:marTop w:val="0"/>
      <w:marBottom w:val="0"/>
      <w:divBdr>
        <w:top w:val="none" w:sz="0" w:space="0" w:color="auto"/>
        <w:left w:val="none" w:sz="0" w:space="0" w:color="auto"/>
        <w:bottom w:val="none" w:sz="0" w:space="0" w:color="auto"/>
        <w:right w:val="none" w:sz="0" w:space="0" w:color="auto"/>
      </w:divBdr>
    </w:div>
    <w:div w:id="500000832">
      <w:bodyDiv w:val="1"/>
      <w:marLeft w:val="0"/>
      <w:marRight w:val="0"/>
      <w:marTop w:val="0"/>
      <w:marBottom w:val="0"/>
      <w:divBdr>
        <w:top w:val="none" w:sz="0" w:space="0" w:color="auto"/>
        <w:left w:val="none" w:sz="0" w:space="0" w:color="auto"/>
        <w:bottom w:val="none" w:sz="0" w:space="0" w:color="auto"/>
        <w:right w:val="none" w:sz="0" w:space="0" w:color="auto"/>
      </w:divBdr>
    </w:div>
    <w:div w:id="534587123">
      <w:bodyDiv w:val="1"/>
      <w:marLeft w:val="0"/>
      <w:marRight w:val="0"/>
      <w:marTop w:val="0"/>
      <w:marBottom w:val="0"/>
      <w:divBdr>
        <w:top w:val="none" w:sz="0" w:space="0" w:color="auto"/>
        <w:left w:val="none" w:sz="0" w:space="0" w:color="auto"/>
        <w:bottom w:val="none" w:sz="0" w:space="0" w:color="auto"/>
        <w:right w:val="none" w:sz="0" w:space="0" w:color="auto"/>
      </w:divBdr>
    </w:div>
    <w:div w:id="568268626">
      <w:bodyDiv w:val="1"/>
      <w:marLeft w:val="0"/>
      <w:marRight w:val="0"/>
      <w:marTop w:val="0"/>
      <w:marBottom w:val="0"/>
      <w:divBdr>
        <w:top w:val="none" w:sz="0" w:space="0" w:color="auto"/>
        <w:left w:val="none" w:sz="0" w:space="0" w:color="auto"/>
        <w:bottom w:val="none" w:sz="0" w:space="0" w:color="auto"/>
        <w:right w:val="none" w:sz="0" w:space="0" w:color="auto"/>
      </w:divBdr>
    </w:div>
    <w:div w:id="583219534">
      <w:bodyDiv w:val="1"/>
      <w:marLeft w:val="0"/>
      <w:marRight w:val="0"/>
      <w:marTop w:val="0"/>
      <w:marBottom w:val="0"/>
      <w:divBdr>
        <w:top w:val="none" w:sz="0" w:space="0" w:color="auto"/>
        <w:left w:val="none" w:sz="0" w:space="0" w:color="auto"/>
        <w:bottom w:val="none" w:sz="0" w:space="0" w:color="auto"/>
        <w:right w:val="none" w:sz="0" w:space="0" w:color="auto"/>
      </w:divBdr>
    </w:div>
    <w:div w:id="630012112">
      <w:bodyDiv w:val="1"/>
      <w:marLeft w:val="0"/>
      <w:marRight w:val="0"/>
      <w:marTop w:val="0"/>
      <w:marBottom w:val="0"/>
      <w:divBdr>
        <w:top w:val="none" w:sz="0" w:space="0" w:color="auto"/>
        <w:left w:val="none" w:sz="0" w:space="0" w:color="auto"/>
        <w:bottom w:val="none" w:sz="0" w:space="0" w:color="auto"/>
        <w:right w:val="none" w:sz="0" w:space="0" w:color="auto"/>
      </w:divBdr>
    </w:div>
    <w:div w:id="828322912">
      <w:bodyDiv w:val="1"/>
      <w:marLeft w:val="0"/>
      <w:marRight w:val="0"/>
      <w:marTop w:val="0"/>
      <w:marBottom w:val="0"/>
      <w:divBdr>
        <w:top w:val="none" w:sz="0" w:space="0" w:color="auto"/>
        <w:left w:val="none" w:sz="0" w:space="0" w:color="auto"/>
        <w:bottom w:val="none" w:sz="0" w:space="0" w:color="auto"/>
        <w:right w:val="none" w:sz="0" w:space="0" w:color="auto"/>
      </w:divBdr>
    </w:div>
    <w:div w:id="869991228">
      <w:bodyDiv w:val="1"/>
      <w:marLeft w:val="0"/>
      <w:marRight w:val="0"/>
      <w:marTop w:val="0"/>
      <w:marBottom w:val="0"/>
      <w:divBdr>
        <w:top w:val="none" w:sz="0" w:space="0" w:color="auto"/>
        <w:left w:val="none" w:sz="0" w:space="0" w:color="auto"/>
        <w:bottom w:val="none" w:sz="0" w:space="0" w:color="auto"/>
        <w:right w:val="none" w:sz="0" w:space="0" w:color="auto"/>
      </w:divBdr>
    </w:div>
    <w:div w:id="871579006">
      <w:bodyDiv w:val="1"/>
      <w:marLeft w:val="0"/>
      <w:marRight w:val="0"/>
      <w:marTop w:val="0"/>
      <w:marBottom w:val="0"/>
      <w:divBdr>
        <w:top w:val="none" w:sz="0" w:space="0" w:color="auto"/>
        <w:left w:val="none" w:sz="0" w:space="0" w:color="auto"/>
        <w:bottom w:val="none" w:sz="0" w:space="0" w:color="auto"/>
        <w:right w:val="none" w:sz="0" w:space="0" w:color="auto"/>
      </w:divBdr>
    </w:div>
    <w:div w:id="907690649">
      <w:bodyDiv w:val="1"/>
      <w:marLeft w:val="0"/>
      <w:marRight w:val="0"/>
      <w:marTop w:val="0"/>
      <w:marBottom w:val="0"/>
      <w:divBdr>
        <w:top w:val="none" w:sz="0" w:space="0" w:color="auto"/>
        <w:left w:val="none" w:sz="0" w:space="0" w:color="auto"/>
        <w:bottom w:val="none" w:sz="0" w:space="0" w:color="auto"/>
        <w:right w:val="none" w:sz="0" w:space="0" w:color="auto"/>
      </w:divBdr>
    </w:div>
    <w:div w:id="959338862">
      <w:bodyDiv w:val="1"/>
      <w:marLeft w:val="0"/>
      <w:marRight w:val="0"/>
      <w:marTop w:val="0"/>
      <w:marBottom w:val="0"/>
      <w:divBdr>
        <w:top w:val="none" w:sz="0" w:space="0" w:color="auto"/>
        <w:left w:val="none" w:sz="0" w:space="0" w:color="auto"/>
        <w:bottom w:val="none" w:sz="0" w:space="0" w:color="auto"/>
        <w:right w:val="none" w:sz="0" w:space="0" w:color="auto"/>
      </w:divBdr>
    </w:div>
    <w:div w:id="967129889">
      <w:bodyDiv w:val="1"/>
      <w:marLeft w:val="0"/>
      <w:marRight w:val="0"/>
      <w:marTop w:val="0"/>
      <w:marBottom w:val="0"/>
      <w:divBdr>
        <w:top w:val="none" w:sz="0" w:space="0" w:color="auto"/>
        <w:left w:val="none" w:sz="0" w:space="0" w:color="auto"/>
        <w:bottom w:val="none" w:sz="0" w:space="0" w:color="auto"/>
        <w:right w:val="none" w:sz="0" w:space="0" w:color="auto"/>
      </w:divBdr>
    </w:div>
    <w:div w:id="972835122">
      <w:bodyDiv w:val="1"/>
      <w:marLeft w:val="0"/>
      <w:marRight w:val="0"/>
      <w:marTop w:val="0"/>
      <w:marBottom w:val="0"/>
      <w:divBdr>
        <w:top w:val="none" w:sz="0" w:space="0" w:color="auto"/>
        <w:left w:val="none" w:sz="0" w:space="0" w:color="auto"/>
        <w:bottom w:val="none" w:sz="0" w:space="0" w:color="auto"/>
        <w:right w:val="none" w:sz="0" w:space="0" w:color="auto"/>
      </w:divBdr>
    </w:div>
    <w:div w:id="1025594182">
      <w:bodyDiv w:val="1"/>
      <w:marLeft w:val="0"/>
      <w:marRight w:val="0"/>
      <w:marTop w:val="0"/>
      <w:marBottom w:val="0"/>
      <w:divBdr>
        <w:top w:val="none" w:sz="0" w:space="0" w:color="auto"/>
        <w:left w:val="none" w:sz="0" w:space="0" w:color="auto"/>
        <w:bottom w:val="none" w:sz="0" w:space="0" w:color="auto"/>
        <w:right w:val="none" w:sz="0" w:space="0" w:color="auto"/>
      </w:divBdr>
    </w:div>
    <w:div w:id="1029767716">
      <w:bodyDiv w:val="1"/>
      <w:marLeft w:val="0"/>
      <w:marRight w:val="0"/>
      <w:marTop w:val="0"/>
      <w:marBottom w:val="0"/>
      <w:divBdr>
        <w:top w:val="none" w:sz="0" w:space="0" w:color="auto"/>
        <w:left w:val="none" w:sz="0" w:space="0" w:color="auto"/>
        <w:bottom w:val="none" w:sz="0" w:space="0" w:color="auto"/>
        <w:right w:val="none" w:sz="0" w:space="0" w:color="auto"/>
      </w:divBdr>
    </w:div>
    <w:div w:id="1277713506">
      <w:bodyDiv w:val="1"/>
      <w:marLeft w:val="0"/>
      <w:marRight w:val="0"/>
      <w:marTop w:val="0"/>
      <w:marBottom w:val="0"/>
      <w:divBdr>
        <w:top w:val="none" w:sz="0" w:space="0" w:color="auto"/>
        <w:left w:val="none" w:sz="0" w:space="0" w:color="auto"/>
        <w:bottom w:val="none" w:sz="0" w:space="0" w:color="auto"/>
        <w:right w:val="none" w:sz="0" w:space="0" w:color="auto"/>
      </w:divBdr>
    </w:div>
    <w:div w:id="1318725008">
      <w:bodyDiv w:val="1"/>
      <w:marLeft w:val="0"/>
      <w:marRight w:val="0"/>
      <w:marTop w:val="0"/>
      <w:marBottom w:val="0"/>
      <w:divBdr>
        <w:top w:val="none" w:sz="0" w:space="0" w:color="auto"/>
        <w:left w:val="none" w:sz="0" w:space="0" w:color="auto"/>
        <w:bottom w:val="none" w:sz="0" w:space="0" w:color="auto"/>
        <w:right w:val="none" w:sz="0" w:space="0" w:color="auto"/>
      </w:divBdr>
    </w:div>
    <w:div w:id="1326275014">
      <w:bodyDiv w:val="1"/>
      <w:marLeft w:val="0"/>
      <w:marRight w:val="0"/>
      <w:marTop w:val="0"/>
      <w:marBottom w:val="0"/>
      <w:divBdr>
        <w:top w:val="none" w:sz="0" w:space="0" w:color="auto"/>
        <w:left w:val="none" w:sz="0" w:space="0" w:color="auto"/>
        <w:bottom w:val="none" w:sz="0" w:space="0" w:color="auto"/>
        <w:right w:val="none" w:sz="0" w:space="0" w:color="auto"/>
      </w:divBdr>
      <w:divsChild>
        <w:div w:id="230772793">
          <w:marLeft w:val="360"/>
          <w:marRight w:val="0"/>
          <w:marTop w:val="200"/>
          <w:marBottom w:val="0"/>
          <w:divBdr>
            <w:top w:val="none" w:sz="0" w:space="0" w:color="auto"/>
            <w:left w:val="none" w:sz="0" w:space="0" w:color="auto"/>
            <w:bottom w:val="none" w:sz="0" w:space="0" w:color="auto"/>
            <w:right w:val="none" w:sz="0" w:space="0" w:color="auto"/>
          </w:divBdr>
        </w:div>
        <w:div w:id="2023848180">
          <w:marLeft w:val="1080"/>
          <w:marRight w:val="0"/>
          <w:marTop w:val="100"/>
          <w:marBottom w:val="0"/>
          <w:divBdr>
            <w:top w:val="none" w:sz="0" w:space="0" w:color="auto"/>
            <w:left w:val="none" w:sz="0" w:space="0" w:color="auto"/>
            <w:bottom w:val="none" w:sz="0" w:space="0" w:color="auto"/>
            <w:right w:val="none" w:sz="0" w:space="0" w:color="auto"/>
          </w:divBdr>
        </w:div>
        <w:div w:id="1645353122">
          <w:marLeft w:val="1080"/>
          <w:marRight w:val="0"/>
          <w:marTop w:val="100"/>
          <w:marBottom w:val="0"/>
          <w:divBdr>
            <w:top w:val="none" w:sz="0" w:space="0" w:color="auto"/>
            <w:left w:val="none" w:sz="0" w:space="0" w:color="auto"/>
            <w:bottom w:val="none" w:sz="0" w:space="0" w:color="auto"/>
            <w:right w:val="none" w:sz="0" w:space="0" w:color="auto"/>
          </w:divBdr>
        </w:div>
        <w:div w:id="1730035077">
          <w:marLeft w:val="1800"/>
          <w:marRight w:val="0"/>
          <w:marTop w:val="100"/>
          <w:marBottom w:val="0"/>
          <w:divBdr>
            <w:top w:val="none" w:sz="0" w:space="0" w:color="auto"/>
            <w:left w:val="none" w:sz="0" w:space="0" w:color="auto"/>
            <w:bottom w:val="none" w:sz="0" w:space="0" w:color="auto"/>
            <w:right w:val="none" w:sz="0" w:space="0" w:color="auto"/>
          </w:divBdr>
        </w:div>
        <w:div w:id="314720308">
          <w:marLeft w:val="1800"/>
          <w:marRight w:val="0"/>
          <w:marTop w:val="100"/>
          <w:marBottom w:val="0"/>
          <w:divBdr>
            <w:top w:val="none" w:sz="0" w:space="0" w:color="auto"/>
            <w:left w:val="none" w:sz="0" w:space="0" w:color="auto"/>
            <w:bottom w:val="none" w:sz="0" w:space="0" w:color="auto"/>
            <w:right w:val="none" w:sz="0" w:space="0" w:color="auto"/>
          </w:divBdr>
        </w:div>
        <w:div w:id="246888448">
          <w:marLeft w:val="1800"/>
          <w:marRight w:val="0"/>
          <w:marTop w:val="100"/>
          <w:marBottom w:val="0"/>
          <w:divBdr>
            <w:top w:val="none" w:sz="0" w:space="0" w:color="auto"/>
            <w:left w:val="none" w:sz="0" w:space="0" w:color="auto"/>
            <w:bottom w:val="none" w:sz="0" w:space="0" w:color="auto"/>
            <w:right w:val="none" w:sz="0" w:space="0" w:color="auto"/>
          </w:divBdr>
        </w:div>
        <w:div w:id="649291351">
          <w:marLeft w:val="1800"/>
          <w:marRight w:val="0"/>
          <w:marTop w:val="100"/>
          <w:marBottom w:val="0"/>
          <w:divBdr>
            <w:top w:val="none" w:sz="0" w:space="0" w:color="auto"/>
            <w:left w:val="none" w:sz="0" w:space="0" w:color="auto"/>
            <w:bottom w:val="none" w:sz="0" w:space="0" w:color="auto"/>
            <w:right w:val="none" w:sz="0" w:space="0" w:color="auto"/>
          </w:divBdr>
        </w:div>
        <w:div w:id="58599016">
          <w:marLeft w:val="1800"/>
          <w:marRight w:val="0"/>
          <w:marTop w:val="100"/>
          <w:marBottom w:val="0"/>
          <w:divBdr>
            <w:top w:val="none" w:sz="0" w:space="0" w:color="auto"/>
            <w:left w:val="none" w:sz="0" w:space="0" w:color="auto"/>
            <w:bottom w:val="none" w:sz="0" w:space="0" w:color="auto"/>
            <w:right w:val="none" w:sz="0" w:space="0" w:color="auto"/>
          </w:divBdr>
        </w:div>
        <w:div w:id="1354838691">
          <w:marLeft w:val="1800"/>
          <w:marRight w:val="0"/>
          <w:marTop w:val="100"/>
          <w:marBottom w:val="0"/>
          <w:divBdr>
            <w:top w:val="none" w:sz="0" w:space="0" w:color="auto"/>
            <w:left w:val="none" w:sz="0" w:space="0" w:color="auto"/>
            <w:bottom w:val="none" w:sz="0" w:space="0" w:color="auto"/>
            <w:right w:val="none" w:sz="0" w:space="0" w:color="auto"/>
          </w:divBdr>
        </w:div>
        <w:div w:id="1783567819">
          <w:marLeft w:val="1800"/>
          <w:marRight w:val="0"/>
          <w:marTop w:val="100"/>
          <w:marBottom w:val="0"/>
          <w:divBdr>
            <w:top w:val="none" w:sz="0" w:space="0" w:color="auto"/>
            <w:left w:val="none" w:sz="0" w:space="0" w:color="auto"/>
            <w:bottom w:val="none" w:sz="0" w:space="0" w:color="auto"/>
            <w:right w:val="none" w:sz="0" w:space="0" w:color="auto"/>
          </w:divBdr>
        </w:div>
        <w:div w:id="1518543548">
          <w:marLeft w:val="1800"/>
          <w:marRight w:val="0"/>
          <w:marTop w:val="100"/>
          <w:marBottom w:val="0"/>
          <w:divBdr>
            <w:top w:val="none" w:sz="0" w:space="0" w:color="auto"/>
            <w:left w:val="none" w:sz="0" w:space="0" w:color="auto"/>
            <w:bottom w:val="none" w:sz="0" w:space="0" w:color="auto"/>
            <w:right w:val="none" w:sz="0" w:space="0" w:color="auto"/>
          </w:divBdr>
        </w:div>
        <w:div w:id="534580083">
          <w:marLeft w:val="360"/>
          <w:marRight w:val="0"/>
          <w:marTop w:val="200"/>
          <w:marBottom w:val="0"/>
          <w:divBdr>
            <w:top w:val="none" w:sz="0" w:space="0" w:color="auto"/>
            <w:left w:val="none" w:sz="0" w:space="0" w:color="auto"/>
            <w:bottom w:val="none" w:sz="0" w:space="0" w:color="auto"/>
            <w:right w:val="none" w:sz="0" w:space="0" w:color="auto"/>
          </w:divBdr>
        </w:div>
        <w:div w:id="1681155884">
          <w:marLeft w:val="1080"/>
          <w:marRight w:val="0"/>
          <w:marTop w:val="100"/>
          <w:marBottom w:val="0"/>
          <w:divBdr>
            <w:top w:val="none" w:sz="0" w:space="0" w:color="auto"/>
            <w:left w:val="none" w:sz="0" w:space="0" w:color="auto"/>
            <w:bottom w:val="none" w:sz="0" w:space="0" w:color="auto"/>
            <w:right w:val="none" w:sz="0" w:space="0" w:color="auto"/>
          </w:divBdr>
        </w:div>
        <w:div w:id="1666125885">
          <w:marLeft w:val="1080"/>
          <w:marRight w:val="0"/>
          <w:marTop w:val="100"/>
          <w:marBottom w:val="0"/>
          <w:divBdr>
            <w:top w:val="none" w:sz="0" w:space="0" w:color="auto"/>
            <w:left w:val="none" w:sz="0" w:space="0" w:color="auto"/>
            <w:bottom w:val="none" w:sz="0" w:space="0" w:color="auto"/>
            <w:right w:val="none" w:sz="0" w:space="0" w:color="auto"/>
          </w:divBdr>
        </w:div>
        <w:div w:id="688064069">
          <w:marLeft w:val="1080"/>
          <w:marRight w:val="0"/>
          <w:marTop w:val="100"/>
          <w:marBottom w:val="0"/>
          <w:divBdr>
            <w:top w:val="none" w:sz="0" w:space="0" w:color="auto"/>
            <w:left w:val="none" w:sz="0" w:space="0" w:color="auto"/>
            <w:bottom w:val="none" w:sz="0" w:space="0" w:color="auto"/>
            <w:right w:val="none" w:sz="0" w:space="0" w:color="auto"/>
          </w:divBdr>
        </w:div>
        <w:div w:id="1536043702">
          <w:marLeft w:val="1080"/>
          <w:marRight w:val="0"/>
          <w:marTop w:val="100"/>
          <w:marBottom w:val="0"/>
          <w:divBdr>
            <w:top w:val="none" w:sz="0" w:space="0" w:color="auto"/>
            <w:left w:val="none" w:sz="0" w:space="0" w:color="auto"/>
            <w:bottom w:val="none" w:sz="0" w:space="0" w:color="auto"/>
            <w:right w:val="none" w:sz="0" w:space="0" w:color="auto"/>
          </w:divBdr>
        </w:div>
        <w:div w:id="1239553947">
          <w:marLeft w:val="1080"/>
          <w:marRight w:val="0"/>
          <w:marTop w:val="100"/>
          <w:marBottom w:val="0"/>
          <w:divBdr>
            <w:top w:val="none" w:sz="0" w:space="0" w:color="auto"/>
            <w:left w:val="none" w:sz="0" w:space="0" w:color="auto"/>
            <w:bottom w:val="none" w:sz="0" w:space="0" w:color="auto"/>
            <w:right w:val="none" w:sz="0" w:space="0" w:color="auto"/>
          </w:divBdr>
        </w:div>
        <w:div w:id="2035811611">
          <w:marLeft w:val="1080"/>
          <w:marRight w:val="0"/>
          <w:marTop w:val="100"/>
          <w:marBottom w:val="0"/>
          <w:divBdr>
            <w:top w:val="none" w:sz="0" w:space="0" w:color="auto"/>
            <w:left w:val="none" w:sz="0" w:space="0" w:color="auto"/>
            <w:bottom w:val="none" w:sz="0" w:space="0" w:color="auto"/>
            <w:right w:val="none" w:sz="0" w:space="0" w:color="auto"/>
          </w:divBdr>
        </w:div>
        <w:div w:id="1862619055">
          <w:marLeft w:val="1080"/>
          <w:marRight w:val="0"/>
          <w:marTop w:val="100"/>
          <w:marBottom w:val="0"/>
          <w:divBdr>
            <w:top w:val="none" w:sz="0" w:space="0" w:color="auto"/>
            <w:left w:val="none" w:sz="0" w:space="0" w:color="auto"/>
            <w:bottom w:val="none" w:sz="0" w:space="0" w:color="auto"/>
            <w:right w:val="none" w:sz="0" w:space="0" w:color="auto"/>
          </w:divBdr>
        </w:div>
        <w:div w:id="1416778382">
          <w:marLeft w:val="360"/>
          <w:marRight w:val="0"/>
          <w:marTop w:val="200"/>
          <w:marBottom w:val="0"/>
          <w:divBdr>
            <w:top w:val="none" w:sz="0" w:space="0" w:color="auto"/>
            <w:left w:val="none" w:sz="0" w:space="0" w:color="auto"/>
            <w:bottom w:val="none" w:sz="0" w:space="0" w:color="auto"/>
            <w:right w:val="none" w:sz="0" w:space="0" w:color="auto"/>
          </w:divBdr>
        </w:div>
        <w:div w:id="489178512">
          <w:marLeft w:val="1080"/>
          <w:marRight w:val="0"/>
          <w:marTop w:val="100"/>
          <w:marBottom w:val="0"/>
          <w:divBdr>
            <w:top w:val="none" w:sz="0" w:space="0" w:color="auto"/>
            <w:left w:val="none" w:sz="0" w:space="0" w:color="auto"/>
            <w:bottom w:val="none" w:sz="0" w:space="0" w:color="auto"/>
            <w:right w:val="none" w:sz="0" w:space="0" w:color="auto"/>
          </w:divBdr>
        </w:div>
        <w:div w:id="425082792">
          <w:marLeft w:val="1800"/>
          <w:marRight w:val="0"/>
          <w:marTop w:val="100"/>
          <w:marBottom w:val="0"/>
          <w:divBdr>
            <w:top w:val="none" w:sz="0" w:space="0" w:color="auto"/>
            <w:left w:val="none" w:sz="0" w:space="0" w:color="auto"/>
            <w:bottom w:val="none" w:sz="0" w:space="0" w:color="auto"/>
            <w:right w:val="none" w:sz="0" w:space="0" w:color="auto"/>
          </w:divBdr>
        </w:div>
        <w:div w:id="79983782">
          <w:marLeft w:val="1800"/>
          <w:marRight w:val="0"/>
          <w:marTop w:val="100"/>
          <w:marBottom w:val="0"/>
          <w:divBdr>
            <w:top w:val="none" w:sz="0" w:space="0" w:color="auto"/>
            <w:left w:val="none" w:sz="0" w:space="0" w:color="auto"/>
            <w:bottom w:val="none" w:sz="0" w:space="0" w:color="auto"/>
            <w:right w:val="none" w:sz="0" w:space="0" w:color="auto"/>
          </w:divBdr>
        </w:div>
        <w:div w:id="1744714236">
          <w:marLeft w:val="1800"/>
          <w:marRight w:val="0"/>
          <w:marTop w:val="100"/>
          <w:marBottom w:val="0"/>
          <w:divBdr>
            <w:top w:val="none" w:sz="0" w:space="0" w:color="auto"/>
            <w:left w:val="none" w:sz="0" w:space="0" w:color="auto"/>
            <w:bottom w:val="none" w:sz="0" w:space="0" w:color="auto"/>
            <w:right w:val="none" w:sz="0" w:space="0" w:color="auto"/>
          </w:divBdr>
        </w:div>
        <w:div w:id="1414089604">
          <w:marLeft w:val="1080"/>
          <w:marRight w:val="0"/>
          <w:marTop w:val="100"/>
          <w:marBottom w:val="0"/>
          <w:divBdr>
            <w:top w:val="none" w:sz="0" w:space="0" w:color="auto"/>
            <w:left w:val="none" w:sz="0" w:space="0" w:color="auto"/>
            <w:bottom w:val="none" w:sz="0" w:space="0" w:color="auto"/>
            <w:right w:val="none" w:sz="0" w:space="0" w:color="auto"/>
          </w:divBdr>
        </w:div>
        <w:div w:id="407654889">
          <w:marLeft w:val="1080"/>
          <w:marRight w:val="0"/>
          <w:marTop w:val="100"/>
          <w:marBottom w:val="0"/>
          <w:divBdr>
            <w:top w:val="none" w:sz="0" w:space="0" w:color="auto"/>
            <w:left w:val="none" w:sz="0" w:space="0" w:color="auto"/>
            <w:bottom w:val="none" w:sz="0" w:space="0" w:color="auto"/>
            <w:right w:val="none" w:sz="0" w:space="0" w:color="auto"/>
          </w:divBdr>
        </w:div>
        <w:div w:id="102922599">
          <w:marLeft w:val="360"/>
          <w:marRight w:val="0"/>
          <w:marTop w:val="200"/>
          <w:marBottom w:val="0"/>
          <w:divBdr>
            <w:top w:val="none" w:sz="0" w:space="0" w:color="auto"/>
            <w:left w:val="none" w:sz="0" w:space="0" w:color="auto"/>
            <w:bottom w:val="none" w:sz="0" w:space="0" w:color="auto"/>
            <w:right w:val="none" w:sz="0" w:space="0" w:color="auto"/>
          </w:divBdr>
        </w:div>
        <w:div w:id="1475561010">
          <w:marLeft w:val="360"/>
          <w:marRight w:val="0"/>
          <w:marTop w:val="200"/>
          <w:marBottom w:val="0"/>
          <w:divBdr>
            <w:top w:val="none" w:sz="0" w:space="0" w:color="auto"/>
            <w:left w:val="none" w:sz="0" w:space="0" w:color="auto"/>
            <w:bottom w:val="none" w:sz="0" w:space="0" w:color="auto"/>
            <w:right w:val="none" w:sz="0" w:space="0" w:color="auto"/>
          </w:divBdr>
        </w:div>
        <w:div w:id="1489974837">
          <w:marLeft w:val="1080"/>
          <w:marRight w:val="0"/>
          <w:marTop w:val="100"/>
          <w:marBottom w:val="0"/>
          <w:divBdr>
            <w:top w:val="none" w:sz="0" w:space="0" w:color="auto"/>
            <w:left w:val="none" w:sz="0" w:space="0" w:color="auto"/>
            <w:bottom w:val="none" w:sz="0" w:space="0" w:color="auto"/>
            <w:right w:val="none" w:sz="0" w:space="0" w:color="auto"/>
          </w:divBdr>
        </w:div>
        <w:div w:id="1932816683">
          <w:marLeft w:val="1080"/>
          <w:marRight w:val="0"/>
          <w:marTop w:val="100"/>
          <w:marBottom w:val="0"/>
          <w:divBdr>
            <w:top w:val="none" w:sz="0" w:space="0" w:color="auto"/>
            <w:left w:val="none" w:sz="0" w:space="0" w:color="auto"/>
            <w:bottom w:val="none" w:sz="0" w:space="0" w:color="auto"/>
            <w:right w:val="none" w:sz="0" w:space="0" w:color="auto"/>
          </w:divBdr>
        </w:div>
        <w:div w:id="1055660172">
          <w:marLeft w:val="1080"/>
          <w:marRight w:val="0"/>
          <w:marTop w:val="100"/>
          <w:marBottom w:val="0"/>
          <w:divBdr>
            <w:top w:val="none" w:sz="0" w:space="0" w:color="auto"/>
            <w:left w:val="none" w:sz="0" w:space="0" w:color="auto"/>
            <w:bottom w:val="none" w:sz="0" w:space="0" w:color="auto"/>
            <w:right w:val="none" w:sz="0" w:space="0" w:color="auto"/>
          </w:divBdr>
        </w:div>
        <w:div w:id="2071808452">
          <w:marLeft w:val="1080"/>
          <w:marRight w:val="0"/>
          <w:marTop w:val="100"/>
          <w:marBottom w:val="0"/>
          <w:divBdr>
            <w:top w:val="none" w:sz="0" w:space="0" w:color="auto"/>
            <w:left w:val="none" w:sz="0" w:space="0" w:color="auto"/>
            <w:bottom w:val="none" w:sz="0" w:space="0" w:color="auto"/>
            <w:right w:val="none" w:sz="0" w:space="0" w:color="auto"/>
          </w:divBdr>
        </w:div>
        <w:div w:id="1315917930">
          <w:marLeft w:val="1080"/>
          <w:marRight w:val="0"/>
          <w:marTop w:val="100"/>
          <w:marBottom w:val="0"/>
          <w:divBdr>
            <w:top w:val="none" w:sz="0" w:space="0" w:color="auto"/>
            <w:left w:val="none" w:sz="0" w:space="0" w:color="auto"/>
            <w:bottom w:val="none" w:sz="0" w:space="0" w:color="auto"/>
            <w:right w:val="none" w:sz="0" w:space="0" w:color="auto"/>
          </w:divBdr>
        </w:div>
        <w:div w:id="866870594">
          <w:marLeft w:val="1080"/>
          <w:marRight w:val="0"/>
          <w:marTop w:val="100"/>
          <w:marBottom w:val="0"/>
          <w:divBdr>
            <w:top w:val="none" w:sz="0" w:space="0" w:color="auto"/>
            <w:left w:val="none" w:sz="0" w:space="0" w:color="auto"/>
            <w:bottom w:val="none" w:sz="0" w:space="0" w:color="auto"/>
            <w:right w:val="none" w:sz="0" w:space="0" w:color="auto"/>
          </w:divBdr>
        </w:div>
        <w:div w:id="772940361">
          <w:marLeft w:val="360"/>
          <w:marRight w:val="0"/>
          <w:marTop w:val="200"/>
          <w:marBottom w:val="0"/>
          <w:divBdr>
            <w:top w:val="none" w:sz="0" w:space="0" w:color="auto"/>
            <w:left w:val="none" w:sz="0" w:space="0" w:color="auto"/>
            <w:bottom w:val="none" w:sz="0" w:space="0" w:color="auto"/>
            <w:right w:val="none" w:sz="0" w:space="0" w:color="auto"/>
          </w:divBdr>
        </w:div>
        <w:div w:id="135344228">
          <w:marLeft w:val="1080"/>
          <w:marRight w:val="0"/>
          <w:marTop w:val="100"/>
          <w:marBottom w:val="0"/>
          <w:divBdr>
            <w:top w:val="none" w:sz="0" w:space="0" w:color="auto"/>
            <w:left w:val="none" w:sz="0" w:space="0" w:color="auto"/>
            <w:bottom w:val="none" w:sz="0" w:space="0" w:color="auto"/>
            <w:right w:val="none" w:sz="0" w:space="0" w:color="auto"/>
          </w:divBdr>
        </w:div>
        <w:div w:id="598950772">
          <w:marLeft w:val="1080"/>
          <w:marRight w:val="0"/>
          <w:marTop w:val="100"/>
          <w:marBottom w:val="0"/>
          <w:divBdr>
            <w:top w:val="none" w:sz="0" w:space="0" w:color="auto"/>
            <w:left w:val="none" w:sz="0" w:space="0" w:color="auto"/>
            <w:bottom w:val="none" w:sz="0" w:space="0" w:color="auto"/>
            <w:right w:val="none" w:sz="0" w:space="0" w:color="auto"/>
          </w:divBdr>
        </w:div>
        <w:div w:id="201359">
          <w:marLeft w:val="1080"/>
          <w:marRight w:val="0"/>
          <w:marTop w:val="100"/>
          <w:marBottom w:val="0"/>
          <w:divBdr>
            <w:top w:val="none" w:sz="0" w:space="0" w:color="auto"/>
            <w:left w:val="none" w:sz="0" w:space="0" w:color="auto"/>
            <w:bottom w:val="none" w:sz="0" w:space="0" w:color="auto"/>
            <w:right w:val="none" w:sz="0" w:space="0" w:color="auto"/>
          </w:divBdr>
        </w:div>
        <w:div w:id="375668658">
          <w:marLeft w:val="1080"/>
          <w:marRight w:val="0"/>
          <w:marTop w:val="100"/>
          <w:marBottom w:val="0"/>
          <w:divBdr>
            <w:top w:val="none" w:sz="0" w:space="0" w:color="auto"/>
            <w:left w:val="none" w:sz="0" w:space="0" w:color="auto"/>
            <w:bottom w:val="none" w:sz="0" w:space="0" w:color="auto"/>
            <w:right w:val="none" w:sz="0" w:space="0" w:color="auto"/>
          </w:divBdr>
        </w:div>
        <w:div w:id="61024643">
          <w:marLeft w:val="360"/>
          <w:marRight w:val="0"/>
          <w:marTop w:val="200"/>
          <w:marBottom w:val="0"/>
          <w:divBdr>
            <w:top w:val="none" w:sz="0" w:space="0" w:color="auto"/>
            <w:left w:val="none" w:sz="0" w:space="0" w:color="auto"/>
            <w:bottom w:val="none" w:sz="0" w:space="0" w:color="auto"/>
            <w:right w:val="none" w:sz="0" w:space="0" w:color="auto"/>
          </w:divBdr>
        </w:div>
        <w:div w:id="1588688365">
          <w:marLeft w:val="360"/>
          <w:marRight w:val="0"/>
          <w:marTop w:val="200"/>
          <w:marBottom w:val="0"/>
          <w:divBdr>
            <w:top w:val="none" w:sz="0" w:space="0" w:color="auto"/>
            <w:left w:val="none" w:sz="0" w:space="0" w:color="auto"/>
            <w:bottom w:val="none" w:sz="0" w:space="0" w:color="auto"/>
            <w:right w:val="none" w:sz="0" w:space="0" w:color="auto"/>
          </w:divBdr>
        </w:div>
        <w:div w:id="1756245680">
          <w:marLeft w:val="1080"/>
          <w:marRight w:val="0"/>
          <w:marTop w:val="100"/>
          <w:marBottom w:val="0"/>
          <w:divBdr>
            <w:top w:val="none" w:sz="0" w:space="0" w:color="auto"/>
            <w:left w:val="none" w:sz="0" w:space="0" w:color="auto"/>
            <w:bottom w:val="none" w:sz="0" w:space="0" w:color="auto"/>
            <w:right w:val="none" w:sz="0" w:space="0" w:color="auto"/>
          </w:divBdr>
        </w:div>
        <w:div w:id="696926133">
          <w:marLeft w:val="1080"/>
          <w:marRight w:val="0"/>
          <w:marTop w:val="100"/>
          <w:marBottom w:val="0"/>
          <w:divBdr>
            <w:top w:val="none" w:sz="0" w:space="0" w:color="auto"/>
            <w:left w:val="none" w:sz="0" w:space="0" w:color="auto"/>
            <w:bottom w:val="none" w:sz="0" w:space="0" w:color="auto"/>
            <w:right w:val="none" w:sz="0" w:space="0" w:color="auto"/>
          </w:divBdr>
        </w:div>
        <w:div w:id="860095582">
          <w:marLeft w:val="1080"/>
          <w:marRight w:val="0"/>
          <w:marTop w:val="100"/>
          <w:marBottom w:val="0"/>
          <w:divBdr>
            <w:top w:val="none" w:sz="0" w:space="0" w:color="auto"/>
            <w:left w:val="none" w:sz="0" w:space="0" w:color="auto"/>
            <w:bottom w:val="none" w:sz="0" w:space="0" w:color="auto"/>
            <w:right w:val="none" w:sz="0" w:space="0" w:color="auto"/>
          </w:divBdr>
        </w:div>
        <w:div w:id="1162308101">
          <w:marLeft w:val="1080"/>
          <w:marRight w:val="0"/>
          <w:marTop w:val="100"/>
          <w:marBottom w:val="0"/>
          <w:divBdr>
            <w:top w:val="none" w:sz="0" w:space="0" w:color="auto"/>
            <w:left w:val="none" w:sz="0" w:space="0" w:color="auto"/>
            <w:bottom w:val="none" w:sz="0" w:space="0" w:color="auto"/>
            <w:right w:val="none" w:sz="0" w:space="0" w:color="auto"/>
          </w:divBdr>
        </w:div>
        <w:div w:id="1492451582">
          <w:marLeft w:val="360"/>
          <w:marRight w:val="0"/>
          <w:marTop w:val="200"/>
          <w:marBottom w:val="0"/>
          <w:divBdr>
            <w:top w:val="none" w:sz="0" w:space="0" w:color="auto"/>
            <w:left w:val="none" w:sz="0" w:space="0" w:color="auto"/>
            <w:bottom w:val="none" w:sz="0" w:space="0" w:color="auto"/>
            <w:right w:val="none" w:sz="0" w:space="0" w:color="auto"/>
          </w:divBdr>
        </w:div>
        <w:div w:id="2120879124">
          <w:marLeft w:val="360"/>
          <w:marRight w:val="0"/>
          <w:marTop w:val="200"/>
          <w:marBottom w:val="0"/>
          <w:divBdr>
            <w:top w:val="none" w:sz="0" w:space="0" w:color="auto"/>
            <w:left w:val="none" w:sz="0" w:space="0" w:color="auto"/>
            <w:bottom w:val="none" w:sz="0" w:space="0" w:color="auto"/>
            <w:right w:val="none" w:sz="0" w:space="0" w:color="auto"/>
          </w:divBdr>
        </w:div>
        <w:div w:id="527566998">
          <w:marLeft w:val="360"/>
          <w:marRight w:val="0"/>
          <w:marTop w:val="200"/>
          <w:marBottom w:val="0"/>
          <w:divBdr>
            <w:top w:val="none" w:sz="0" w:space="0" w:color="auto"/>
            <w:left w:val="none" w:sz="0" w:space="0" w:color="auto"/>
            <w:bottom w:val="none" w:sz="0" w:space="0" w:color="auto"/>
            <w:right w:val="none" w:sz="0" w:space="0" w:color="auto"/>
          </w:divBdr>
        </w:div>
        <w:div w:id="1547835669">
          <w:marLeft w:val="360"/>
          <w:marRight w:val="0"/>
          <w:marTop w:val="200"/>
          <w:marBottom w:val="0"/>
          <w:divBdr>
            <w:top w:val="none" w:sz="0" w:space="0" w:color="auto"/>
            <w:left w:val="none" w:sz="0" w:space="0" w:color="auto"/>
            <w:bottom w:val="none" w:sz="0" w:space="0" w:color="auto"/>
            <w:right w:val="none" w:sz="0" w:space="0" w:color="auto"/>
          </w:divBdr>
        </w:div>
        <w:div w:id="264194579">
          <w:marLeft w:val="360"/>
          <w:marRight w:val="0"/>
          <w:marTop w:val="200"/>
          <w:marBottom w:val="0"/>
          <w:divBdr>
            <w:top w:val="none" w:sz="0" w:space="0" w:color="auto"/>
            <w:left w:val="none" w:sz="0" w:space="0" w:color="auto"/>
            <w:bottom w:val="none" w:sz="0" w:space="0" w:color="auto"/>
            <w:right w:val="none" w:sz="0" w:space="0" w:color="auto"/>
          </w:divBdr>
        </w:div>
      </w:divsChild>
    </w:div>
    <w:div w:id="1350720671">
      <w:bodyDiv w:val="1"/>
      <w:marLeft w:val="0"/>
      <w:marRight w:val="0"/>
      <w:marTop w:val="0"/>
      <w:marBottom w:val="0"/>
      <w:divBdr>
        <w:top w:val="none" w:sz="0" w:space="0" w:color="auto"/>
        <w:left w:val="none" w:sz="0" w:space="0" w:color="auto"/>
        <w:bottom w:val="none" w:sz="0" w:space="0" w:color="auto"/>
        <w:right w:val="none" w:sz="0" w:space="0" w:color="auto"/>
      </w:divBdr>
    </w:div>
    <w:div w:id="1468545827">
      <w:bodyDiv w:val="1"/>
      <w:marLeft w:val="0"/>
      <w:marRight w:val="0"/>
      <w:marTop w:val="0"/>
      <w:marBottom w:val="0"/>
      <w:divBdr>
        <w:top w:val="none" w:sz="0" w:space="0" w:color="auto"/>
        <w:left w:val="none" w:sz="0" w:space="0" w:color="auto"/>
        <w:bottom w:val="none" w:sz="0" w:space="0" w:color="auto"/>
        <w:right w:val="none" w:sz="0" w:space="0" w:color="auto"/>
      </w:divBdr>
    </w:div>
    <w:div w:id="1475567437">
      <w:bodyDiv w:val="1"/>
      <w:marLeft w:val="0"/>
      <w:marRight w:val="0"/>
      <w:marTop w:val="0"/>
      <w:marBottom w:val="0"/>
      <w:divBdr>
        <w:top w:val="none" w:sz="0" w:space="0" w:color="auto"/>
        <w:left w:val="none" w:sz="0" w:space="0" w:color="auto"/>
        <w:bottom w:val="none" w:sz="0" w:space="0" w:color="auto"/>
        <w:right w:val="none" w:sz="0" w:space="0" w:color="auto"/>
      </w:divBdr>
    </w:div>
    <w:div w:id="1483304718">
      <w:bodyDiv w:val="1"/>
      <w:marLeft w:val="0"/>
      <w:marRight w:val="0"/>
      <w:marTop w:val="0"/>
      <w:marBottom w:val="0"/>
      <w:divBdr>
        <w:top w:val="none" w:sz="0" w:space="0" w:color="auto"/>
        <w:left w:val="none" w:sz="0" w:space="0" w:color="auto"/>
        <w:bottom w:val="none" w:sz="0" w:space="0" w:color="auto"/>
        <w:right w:val="none" w:sz="0" w:space="0" w:color="auto"/>
      </w:divBdr>
    </w:div>
    <w:div w:id="1631403632">
      <w:bodyDiv w:val="1"/>
      <w:marLeft w:val="0"/>
      <w:marRight w:val="0"/>
      <w:marTop w:val="0"/>
      <w:marBottom w:val="0"/>
      <w:divBdr>
        <w:top w:val="none" w:sz="0" w:space="0" w:color="auto"/>
        <w:left w:val="none" w:sz="0" w:space="0" w:color="auto"/>
        <w:bottom w:val="none" w:sz="0" w:space="0" w:color="auto"/>
        <w:right w:val="none" w:sz="0" w:space="0" w:color="auto"/>
      </w:divBdr>
    </w:div>
    <w:div w:id="1651790403">
      <w:bodyDiv w:val="1"/>
      <w:marLeft w:val="0"/>
      <w:marRight w:val="0"/>
      <w:marTop w:val="0"/>
      <w:marBottom w:val="0"/>
      <w:divBdr>
        <w:top w:val="none" w:sz="0" w:space="0" w:color="auto"/>
        <w:left w:val="none" w:sz="0" w:space="0" w:color="auto"/>
        <w:bottom w:val="none" w:sz="0" w:space="0" w:color="auto"/>
        <w:right w:val="none" w:sz="0" w:space="0" w:color="auto"/>
      </w:divBdr>
    </w:div>
    <w:div w:id="1720860404">
      <w:bodyDiv w:val="1"/>
      <w:marLeft w:val="0"/>
      <w:marRight w:val="0"/>
      <w:marTop w:val="0"/>
      <w:marBottom w:val="0"/>
      <w:divBdr>
        <w:top w:val="none" w:sz="0" w:space="0" w:color="auto"/>
        <w:left w:val="none" w:sz="0" w:space="0" w:color="auto"/>
        <w:bottom w:val="none" w:sz="0" w:space="0" w:color="auto"/>
        <w:right w:val="none" w:sz="0" w:space="0" w:color="auto"/>
      </w:divBdr>
    </w:div>
    <w:div w:id="1760905296">
      <w:bodyDiv w:val="1"/>
      <w:marLeft w:val="0"/>
      <w:marRight w:val="0"/>
      <w:marTop w:val="0"/>
      <w:marBottom w:val="0"/>
      <w:divBdr>
        <w:top w:val="none" w:sz="0" w:space="0" w:color="auto"/>
        <w:left w:val="none" w:sz="0" w:space="0" w:color="auto"/>
        <w:bottom w:val="none" w:sz="0" w:space="0" w:color="auto"/>
        <w:right w:val="none" w:sz="0" w:space="0" w:color="auto"/>
      </w:divBdr>
    </w:div>
    <w:div w:id="1809132145">
      <w:bodyDiv w:val="1"/>
      <w:marLeft w:val="0"/>
      <w:marRight w:val="0"/>
      <w:marTop w:val="0"/>
      <w:marBottom w:val="0"/>
      <w:divBdr>
        <w:top w:val="none" w:sz="0" w:space="0" w:color="auto"/>
        <w:left w:val="none" w:sz="0" w:space="0" w:color="auto"/>
        <w:bottom w:val="none" w:sz="0" w:space="0" w:color="auto"/>
        <w:right w:val="none" w:sz="0" w:space="0" w:color="auto"/>
      </w:divBdr>
    </w:div>
    <w:div w:id="1833139143">
      <w:bodyDiv w:val="1"/>
      <w:marLeft w:val="0"/>
      <w:marRight w:val="0"/>
      <w:marTop w:val="0"/>
      <w:marBottom w:val="0"/>
      <w:divBdr>
        <w:top w:val="none" w:sz="0" w:space="0" w:color="auto"/>
        <w:left w:val="none" w:sz="0" w:space="0" w:color="auto"/>
        <w:bottom w:val="none" w:sz="0" w:space="0" w:color="auto"/>
        <w:right w:val="none" w:sz="0" w:space="0" w:color="auto"/>
      </w:divBdr>
      <w:divsChild>
        <w:div w:id="134951178">
          <w:marLeft w:val="0"/>
          <w:marRight w:val="0"/>
          <w:marTop w:val="0"/>
          <w:marBottom w:val="0"/>
          <w:divBdr>
            <w:top w:val="none" w:sz="0" w:space="0" w:color="auto"/>
            <w:left w:val="none" w:sz="0" w:space="0" w:color="auto"/>
            <w:bottom w:val="none" w:sz="0" w:space="0" w:color="auto"/>
            <w:right w:val="none" w:sz="0" w:space="0" w:color="auto"/>
          </w:divBdr>
        </w:div>
      </w:divsChild>
    </w:div>
    <w:div w:id="1854300096">
      <w:bodyDiv w:val="1"/>
      <w:marLeft w:val="0"/>
      <w:marRight w:val="0"/>
      <w:marTop w:val="0"/>
      <w:marBottom w:val="0"/>
      <w:divBdr>
        <w:top w:val="none" w:sz="0" w:space="0" w:color="auto"/>
        <w:left w:val="none" w:sz="0" w:space="0" w:color="auto"/>
        <w:bottom w:val="none" w:sz="0" w:space="0" w:color="auto"/>
        <w:right w:val="none" w:sz="0" w:space="0" w:color="auto"/>
      </w:divBdr>
    </w:div>
    <w:div w:id="1937402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chart" Target="charts/chart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image" Target="media/image1.emf"/><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https://uccireland-my.sharepoint.com/personal/emma_jennings_ucc_ie/Documents/PhD%20Related/Systematic%20Review/Quality%20Assessmen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'[Quality Assessment.xlsx]Newcastle Ottawa'!$B$33</c:f>
              <c:strCache>
                <c:ptCount val="1"/>
                <c:pt idx="0">
                  <c:v>Low risk of bias</c:v>
                </c:pt>
              </c:strCache>
            </c:strRef>
          </c:tx>
          <c:spPr>
            <a:solidFill>
              <a:schemeClr val="accent6"/>
            </a:solidFill>
            <a:ln>
              <a:noFill/>
            </a:ln>
            <a:effectLst/>
          </c:spPr>
          <c:invertIfNegative val="0"/>
          <c:cat>
            <c:strRef>
              <c:f>'[Quality Assessment.xlsx]Newcastle Ottawa'!$A$34:$A$40</c:f>
              <c:strCache>
                <c:ptCount val="7"/>
                <c:pt idx="0">
                  <c:v>S1 -Representativeness of the exposed cohort</c:v>
                </c:pt>
                <c:pt idx="1">
                  <c:v>S2 - Selection of the non exposed cohort</c:v>
                </c:pt>
                <c:pt idx="2">
                  <c:v>S3 - Ascertainment of exposure</c:v>
                </c:pt>
                <c:pt idx="3">
                  <c:v>S4 - Demonstration that outcome of interest was not present at start of study</c:v>
                </c:pt>
                <c:pt idx="4">
                  <c:v>E1 - Assessment of outcome</c:v>
                </c:pt>
                <c:pt idx="5">
                  <c:v>E2 - Was follow-up long enough for outcomes to occur</c:v>
                </c:pt>
                <c:pt idx="6">
                  <c:v>E3 - Adequacy of follow up of cohorts</c:v>
                </c:pt>
              </c:strCache>
            </c:strRef>
          </c:cat>
          <c:val>
            <c:numRef>
              <c:f>'[Quality Assessment.xlsx]Newcastle Ottawa'!$B$34:$B$40</c:f>
              <c:numCache>
                <c:formatCode>0.00</c:formatCode>
                <c:ptCount val="7"/>
                <c:pt idx="0">
                  <c:v>76.19047619047619</c:v>
                </c:pt>
                <c:pt idx="1">
                  <c:v>100</c:v>
                </c:pt>
                <c:pt idx="2">
                  <c:v>90.476190476190482</c:v>
                </c:pt>
                <c:pt idx="3">
                  <c:v>42.857142857142854</c:v>
                </c:pt>
                <c:pt idx="4">
                  <c:v>71.428571428571431</c:v>
                </c:pt>
                <c:pt idx="5">
                  <c:v>52.380952380952387</c:v>
                </c:pt>
                <c:pt idx="6">
                  <c:v>100</c:v>
                </c:pt>
              </c:numCache>
            </c:numRef>
          </c:val>
          <c:extLst>
            <c:ext xmlns:c16="http://schemas.microsoft.com/office/drawing/2014/chart" uri="{C3380CC4-5D6E-409C-BE32-E72D297353CC}">
              <c16:uniqueId val="{00000000-477D-4972-A952-DE0FAA3257D0}"/>
            </c:ext>
          </c:extLst>
        </c:ser>
        <c:ser>
          <c:idx val="1"/>
          <c:order val="1"/>
          <c:tx>
            <c:strRef>
              <c:f>'[Quality Assessment.xlsx]Newcastle Ottawa'!$C$33</c:f>
              <c:strCache>
                <c:ptCount val="1"/>
                <c:pt idx="0">
                  <c:v>Unclear risk of bias</c:v>
                </c:pt>
              </c:strCache>
            </c:strRef>
          </c:tx>
          <c:spPr>
            <a:solidFill>
              <a:schemeClr val="accent5"/>
            </a:solidFill>
            <a:ln>
              <a:noFill/>
            </a:ln>
            <a:effectLst/>
          </c:spPr>
          <c:invertIfNegative val="0"/>
          <c:cat>
            <c:strRef>
              <c:f>'[Quality Assessment.xlsx]Newcastle Ottawa'!$A$34:$A$40</c:f>
              <c:strCache>
                <c:ptCount val="7"/>
                <c:pt idx="0">
                  <c:v>S1 -Representativeness of the exposed cohort</c:v>
                </c:pt>
                <c:pt idx="1">
                  <c:v>S2 - Selection of the non exposed cohort</c:v>
                </c:pt>
                <c:pt idx="2">
                  <c:v>S3 - Ascertainment of exposure</c:v>
                </c:pt>
                <c:pt idx="3">
                  <c:v>S4 - Demonstration that outcome of interest was not present at start of study</c:v>
                </c:pt>
                <c:pt idx="4">
                  <c:v>E1 - Assessment of outcome</c:v>
                </c:pt>
                <c:pt idx="5">
                  <c:v>E2 - Was follow-up long enough for outcomes to occur</c:v>
                </c:pt>
                <c:pt idx="6">
                  <c:v>E3 - Adequacy of follow up of cohorts</c:v>
                </c:pt>
              </c:strCache>
            </c:strRef>
          </c:cat>
          <c:val>
            <c:numRef>
              <c:f>'[Quality Assessment.xlsx]Newcastle Ottawa'!$C$34:$C$40</c:f>
              <c:numCache>
                <c:formatCode>0.00</c:formatCode>
                <c:ptCount val="7"/>
                <c:pt idx="0">
                  <c:v>9.5238095238095237</c:v>
                </c:pt>
                <c:pt idx="1">
                  <c:v>0</c:v>
                </c:pt>
                <c:pt idx="2">
                  <c:v>4.7619047619047619</c:v>
                </c:pt>
                <c:pt idx="3">
                  <c:v>42.857142857142854</c:v>
                </c:pt>
                <c:pt idx="4">
                  <c:v>19.047619047619047</c:v>
                </c:pt>
                <c:pt idx="5">
                  <c:v>38.095238095238095</c:v>
                </c:pt>
                <c:pt idx="6">
                  <c:v>0</c:v>
                </c:pt>
              </c:numCache>
            </c:numRef>
          </c:val>
          <c:extLst>
            <c:ext xmlns:c16="http://schemas.microsoft.com/office/drawing/2014/chart" uri="{C3380CC4-5D6E-409C-BE32-E72D297353CC}">
              <c16:uniqueId val="{00000001-477D-4972-A952-DE0FAA3257D0}"/>
            </c:ext>
          </c:extLst>
        </c:ser>
        <c:ser>
          <c:idx val="2"/>
          <c:order val="2"/>
          <c:tx>
            <c:strRef>
              <c:f>'[Quality Assessment.xlsx]Newcastle Ottawa'!$D$33</c:f>
              <c:strCache>
                <c:ptCount val="1"/>
                <c:pt idx="0">
                  <c:v>High risk of bias</c:v>
                </c:pt>
              </c:strCache>
            </c:strRef>
          </c:tx>
          <c:spPr>
            <a:solidFill>
              <a:schemeClr val="accent4"/>
            </a:solidFill>
            <a:ln>
              <a:noFill/>
            </a:ln>
            <a:effectLst/>
          </c:spPr>
          <c:invertIfNegative val="0"/>
          <c:cat>
            <c:strRef>
              <c:f>'[Quality Assessment.xlsx]Newcastle Ottawa'!$A$34:$A$40</c:f>
              <c:strCache>
                <c:ptCount val="7"/>
                <c:pt idx="0">
                  <c:v>S1 -Representativeness of the exposed cohort</c:v>
                </c:pt>
                <c:pt idx="1">
                  <c:v>S2 - Selection of the non exposed cohort</c:v>
                </c:pt>
                <c:pt idx="2">
                  <c:v>S3 - Ascertainment of exposure</c:v>
                </c:pt>
                <c:pt idx="3">
                  <c:v>S4 - Demonstration that outcome of interest was not present at start of study</c:v>
                </c:pt>
                <c:pt idx="4">
                  <c:v>E1 - Assessment of outcome</c:v>
                </c:pt>
                <c:pt idx="5">
                  <c:v>E2 - Was follow-up long enough for outcomes to occur</c:v>
                </c:pt>
                <c:pt idx="6">
                  <c:v>E3 - Adequacy of follow up of cohorts</c:v>
                </c:pt>
              </c:strCache>
            </c:strRef>
          </c:cat>
          <c:val>
            <c:numRef>
              <c:f>'[Quality Assessment.xlsx]Newcastle Ottawa'!$D$34:$D$40</c:f>
              <c:numCache>
                <c:formatCode>0.00</c:formatCode>
                <c:ptCount val="7"/>
                <c:pt idx="0">
                  <c:v>14.285714285714285</c:v>
                </c:pt>
                <c:pt idx="1">
                  <c:v>0</c:v>
                </c:pt>
                <c:pt idx="2">
                  <c:v>4.7619047619047619</c:v>
                </c:pt>
                <c:pt idx="3">
                  <c:v>14.285714285714285</c:v>
                </c:pt>
                <c:pt idx="4">
                  <c:v>9.5238095238095237</c:v>
                </c:pt>
                <c:pt idx="5">
                  <c:v>9.5238095238095237</c:v>
                </c:pt>
                <c:pt idx="6">
                  <c:v>0</c:v>
                </c:pt>
              </c:numCache>
            </c:numRef>
          </c:val>
          <c:extLst>
            <c:ext xmlns:c16="http://schemas.microsoft.com/office/drawing/2014/chart" uri="{C3380CC4-5D6E-409C-BE32-E72D297353CC}">
              <c16:uniqueId val="{00000002-477D-4972-A952-DE0FAA3257D0}"/>
            </c:ext>
          </c:extLst>
        </c:ser>
        <c:dLbls>
          <c:showLegendKey val="0"/>
          <c:showVal val="0"/>
          <c:showCatName val="0"/>
          <c:showSerName val="0"/>
          <c:showPercent val="0"/>
          <c:showBubbleSize val="0"/>
        </c:dLbls>
        <c:gapWidth val="150"/>
        <c:overlap val="100"/>
        <c:axId val="439043888"/>
        <c:axId val="439047496"/>
      </c:barChart>
      <c:catAx>
        <c:axId val="43904388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9047496"/>
        <c:crosses val="autoZero"/>
        <c:auto val="1"/>
        <c:lblAlgn val="ctr"/>
        <c:lblOffset val="100"/>
        <c:noMultiLvlLbl val="0"/>
      </c:catAx>
      <c:valAx>
        <c:axId val="439047496"/>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9043888"/>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48823C-0053-4A51-8E3F-B7E64DD61F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30</Pages>
  <Words>7832</Words>
  <Characters>44648</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Jennings, Emma</dc:creator>
  <cp:keywords/>
  <dc:description/>
  <cp:lastModifiedBy>Jennings, Emma</cp:lastModifiedBy>
  <cp:revision>3</cp:revision>
  <cp:lastPrinted>2019-05-29T07:50:00Z</cp:lastPrinted>
  <dcterms:created xsi:type="dcterms:W3CDTF">2019-05-30T11:39:00Z</dcterms:created>
  <dcterms:modified xsi:type="dcterms:W3CDTF">2019-05-30T11:40:00Z</dcterms:modified>
</cp:coreProperties>
</file>