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25013" w14:textId="55E34287" w:rsidR="00716566" w:rsidRDefault="001A7226" w:rsidP="00716566">
      <w:pPr>
        <w:pStyle w:val="BodyText"/>
      </w:pPr>
      <w:r>
        <w:t>HTE was estimated using the same categorized versions of baseline ferritin, TSAT and their combinations (either low</w:t>
      </w:r>
      <w:r w:rsidR="0034742C">
        <w:t>,</w:t>
      </w:r>
      <w:r>
        <w:t xml:space="preserve"> </w:t>
      </w:r>
      <w:r w:rsidR="0034742C">
        <w:t>or</w:t>
      </w:r>
      <w:r>
        <w:t xml:space="preserve"> both low), following what was previously done with negative binomial </w:t>
      </w:r>
      <w:r w:rsidR="0034742C">
        <w:t xml:space="preserve">regression </w:t>
      </w:r>
      <w:r>
        <w:t>models.</w:t>
      </w:r>
    </w:p>
    <w:p w14:paraId="3F5389FE" w14:textId="77777777" w:rsidR="00716566" w:rsidRDefault="00716566" w:rsidP="00716566">
      <w:pPr>
        <w:pStyle w:val="BodyText"/>
      </w:pPr>
    </w:p>
    <w:p w14:paraId="3295241A" w14:textId="13064838" w:rsidR="00716566" w:rsidRPr="00716566" w:rsidRDefault="00716566" w:rsidP="00716566">
      <w:pPr>
        <w:pStyle w:val="BodyText"/>
      </w:pPr>
      <w:r>
        <w:t xml:space="preserve">Table X. Subgroup specific effects of treatment on the number of blood transfusions (30 days post-surgery) and tests for the respective statistical interactions. </w:t>
      </w:r>
    </w:p>
    <w:tbl>
      <w:tblPr>
        <w:tblW w:w="5000" w:type="pct"/>
        <w:tblInd w:w="-176" w:type="dxa"/>
        <w:tblLook w:val="07E0" w:firstRow="1" w:lastRow="1" w:firstColumn="1" w:lastColumn="1" w:noHBand="1" w:noVBand="1"/>
      </w:tblPr>
      <w:tblGrid>
        <w:gridCol w:w="3935"/>
        <w:gridCol w:w="1261"/>
        <w:gridCol w:w="1260"/>
        <w:gridCol w:w="2352"/>
        <w:gridCol w:w="768"/>
      </w:tblGrid>
      <w:tr w:rsidR="00716566" w14:paraId="6173C533" w14:textId="77777777" w:rsidTr="00716566">
        <w:tc>
          <w:tcPr>
            <w:tcW w:w="2053" w:type="pct"/>
            <w:tcBorders>
              <w:bottom w:val="single" w:sz="0" w:space="0" w:color="auto"/>
            </w:tcBorders>
            <w:vAlign w:val="bottom"/>
          </w:tcPr>
          <w:p w14:paraId="3F132409" w14:textId="6D169B52" w:rsidR="00B630A0" w:rsidRDefault="00B630A0">
            <w:pPr>
              <w:pStyle w:val="Compact"/>
            </w:pPr>
          </w:p>
        </w:tc>
        <w:tc>
          <w:tcPr>
            <w:tcW w:w="0" w:type="auto"/>
            <w:tcBorders>
              <w:bottom w:val="single" w:sz="0" w:space="0" w:color="auto"/>
            </w:tcBorders>
            <w:vAlign w:val="bottom"/>
          </w:tcPr>
          <w:p w14:paraId="5C5A4875" w14:textId="0EEB7A27" w:rsidR="00B630A0" w:rsidRDefault="00716566" w:rsidP="00716566">
            <w:pPr>
              <w:pStyle w:val="Compact"/>
              <w:jc w:val="center"/>
            </w:pPr>
            <w:r>
              <w:t>P</w:t>
            </w:r>
            <w:r w:rsidR="001A7226">
              <w:t>lacebo</w:t>
            </w:r>
          </w:p>
        </w:tc>
        <w:tc>
          <w:tcPr>
            <w:tcW w:w="0" w:type="auto"/>
            <w:tcBorders>
              <w:bottom w:val="single" w:sz="0" w:space="0" w:color="auto"/>
            </w:tcBorders>
            <w:vAlign w:val="bottom"/>
          </w:tcPr>
          <w:p w14:paraId="0E9A8C85" w14:textId="49A67B86" w:rsidR="00B630A0" w:rsidRDefault="00716566" w:rsidP="00716566">
            <w:pPr>
              <w:pStyle w:val="Compact"/>
              <w:jc w:val="center"/>
            </w:pPr>
            <w:r>
              <w:t>A</w:t>
            </w:r>
            <w:r w:rsidR="001A7226">
              <w:t>ctive</w:t>
            </w:r>
          </w:p>
        </w:tc>
        <w:tc>
          <w:tcPr>
            <w:tcW w:w="0" w:type="auto"/>
            <w:tcBorders>
              <w:bottom w:val="single" w:sz="0" w:space="0" w:color="auto"/>
            </w:tcBorders>
            <w:vAlign w:val="bottom"/>
          </w:tcPr>
          <w:p w14:paraId="5A0D7FE4" w14:textId="5600C8DC" w:rsidR="00B630A0" w:rsidRDefault="00716566" w:rsidP="00716566">
            <w:pPr>
              <w:pStyle w:val="Compact"/>
              <w:jc w:val="center"/>
            </w:pPr>
            <w:r>
              <w:t>IRR (95% CI)</w:t>
            </w:r>
          </w:p>
        </w:tc>
        <w:tc>
          <w:tcPr>
            <w:tcW w:w="0" w:type="auto"/>
            <w:tcBorders>
              <w:bottom w:val="single" w:sz="0" w:space="0" w:color="auto"/>
            </w:tcBorders>
            <w:vAlign w:val="bottom"/>
          </w:tcPr>
          <w:p w14:paraId="52F022CC" w14:textId="77777777" w:rsidR="00B630A0" w:rsidRDefault="001A7226" w:rsidP="00716566">
            <w:pPr>
              <w:pStyle w:val="Compact"/>
              <w:jc w:val="center"/>
            </w:pPr>
            <w:r>
              <w:t>p</w:t>
            </w:r>
          </w:p>
        </w:tc>
      </w:tr>
      <w:tr w:rsidR="00716566" w14:paraId="49F31F37" w14:textId="77777777" w:rsidTr="004E42D7">
        <w:tc>
          <w:tcPr>
            <w:tcW w:w="2053" w:type="pct"/>
            <w:shd w:val="clear" w:color="auto" w:fill="F2F2F2" w:themeFill="background1" w:themeFillShade="F2"/>
          </w:tcPr>
          <w:p w14:paraId="31610E3E" w14:textId="35DD09FA" w:rsidR="00B630A0" w:rsidRDefault="00025C96">
            <w:pPr>
              <w:pStyle w:val="Compact"/>
            </w:pPr>
            <w:r>
              <w:t>F</w:t>
            </w:r>
            <w:r w:rsidR="00716566">
              <w:t>erritin</w:t>
            </w:r>
            <w:r>
              <w:t xml:space="preserve"> ng/ml</w:t>
            </w:r>
            <w:r w:rsidR="001A7226">
              <w:t xml:space="preserve"> &lt; 30</w:t>
            </w:r>
          </w:p>
        </w:tc>
        <w:tc>
          <w:tcPr>
            <w:tcW w:w="0" w:type="auto"/>
            <w:shd w:val="clear" w:color="auto" w:fill="F2F2F2" w:themeFill="background1" w:themeFillShade="F2"/>
          </w:tcPr>
          <w:p w14:paraId="736C3CC2" w14:textId="77777777" w:rsidR="00B630A0" w:rsidRDefault="001A7226" w:rsidP="00716566">
            <w:pPr>
              <w:pStyle w:val="Compact"/>
              <w:jc w:val="center"/>
            </w:pPr>
            <w:r>
              <w:t>0.5 ± 1.1</w:t>
            </w:r>
          </w:p>
        </w:tc>
        <w:tc>
          <w:tcPr>
            <w:tcW w:w="0" w:type="auto"/>
            <w:shd w:val="clear" w:color="auto" w:fill="F2F2F2" w:themeFill="background1" w:themeFillShade="F2"/>
          </w:tcPr>
          <w:p w14:paraId="1A63CF52" w14:textId="77777777" w:rsidR="00B630A0" w:rsidRDefault="001A7226" w:rsidP="00716566">
            <w:pPr>
              <w:pStyle w:val="Compact"/>
              <w:jc w:val="center"/>
            </w:pPr>
            <w:r>
              <w:t>0.2 ± 0.5</w:t>
            </w:r>
          </w:p>
        </w:tc>
        <w:tc>
          <w:tcPr>
            <w:tcW w:w="0" w:type="auto"/>
            <w:shd w:val="clear" w:color="auto" w:fill="F2F2F2" w:themeFill="background1" w:themeFillShade="F2"/>
          </w:tcPr>
          <w:p w14:paraId="0215458C" w14:textId="28FBBC23" w:rsidR="00B630A0" w:rsidRDefault="001A7226" w:rsidP="00716566">
            <w:pPr>
              <w:pStyle w:val="Compact"/>
              <w:jc w:val="center"/>
            </w:pPr>
            <w:r>
              <w:t>0.45 (0.2 to 0.98)</w:t>
            </w:r>
          </w:p>
        </w:tc>
        <w:tc>
          <w:tcPr>
            <w:tcW w:w="0" w:type="auto"/>
            <w:shd w:val="clear" w:color="auto" w:fill="F2F2F2" w:themeFill="background1" w:themeFillShade="F2"/>
          </w:tcPr>
          <w:p w14:paraId="0519CDA6" w14:textId="77777777" w:rsidR="00B630A0" w:rsidRDefault="001A7226" w:rsidP="00716566">
            <w:pPr>
              <w:pStyle w:val="Compact"/>
              <w:jc w:val="center"/>
            </w:pPr>
            <w:r>
              <w:t>0.06</w:t>
            </w:r>
          </w:p>
        </w:tc>
      </w:tr>
      <w:tr w:rsidR="00716566" w14:paraId="2FE390ED" w14:textId="77777777" w:rsidTr="004E42D7">
        <w:tc>
          <w:tcPr>
            <w:tcW w:w="2053" w:type="pct"/>
            <w:shd w:val="clear" w:color="auto" w:fill="F2F2F2" w:themeFill="background1" w:themeFillShade="F2"/>
          </w:tcPr>
          <w:p w14:paraId="0F015D83" w14:textId="69FB86C7" w:rsidR="00B630A0" w:rsidRDefault="00025C96">
            <w:pPr>
              <w:pStyle w:val="Compact"/>
            </w:pPr>
            <w:r>
              <w:t>F</w:t>
            </w:r>
            <w:r w:rsidR="00716566">
              <w:t>erritin</w:t>
            </w:r>
            <w:r w:rsidR="001A7226">
              <w:t xml:space="preserve"> </w:t>
            </w:r>
            <w:r>
              <w:t xml:space="preserve">ng/ml </w:t>
            </w:r>
            <w:r w:rsidR="001A7226">
              <w:t>30 - 100</w:t>
            </w:r>
          </w:p>
        </w:tc>
        <w:tc>
          <w:tcPr>
            <w:tcW w:w="0" w:type="auto"/>
            <w:shd w:val="clear" w:color="auto" w:fill="F2F2F2" w:themeFill="background1" w:themeFillShade="F2"/>
          </w:tcPr>
          <w:p w14:paraId="426D1B4B" w14:textId="77777777" w:rsidR="00B630A0" w:rsidRDefault="001A7226" w:rsidP="00716566">
            <w:pPr>
              <w:pStyle w:val="Compact"/>
              <w:jc w:val="center"/>
            </w:pPr>
            <w:r>
              <w:t>0.4 ± 0.9</w:t>
            </w:r>
          </w:p>
        </w:tc>
        <w:tc>
          <w:tcPr>
            <w:tcW w:w="0" w:type="auto"/>
            <w:shd w:val="clear" w:color="auto" w:fill="F2F2F2" w:themeFill="background1" w:themeFillShade="F2"/>
          </w:tcPr>
          <w:p w14:paraId="6EBCE8A1" w14:textId="77777777" w:rsidR="00B630A0" w:rsidRDefault="001A7226" w:rsidP="00716566">
            <w:pPr>
              <w:pStyle w:val="Compact"/>
              <w:jc w:val="center"/>
            </w:pPr>
            <w:r>
              <w:t>0.7 ± 1.3</w:t>
            </w:r>
          </w:p>
        </w:tc>
        <w:tc>
          <w:tcPr>
            <w:tcW w:w="0" w:type="auto"/>
            <w:shd w:val="clear" w:color="auto" w:fill="F2F2F2" w:themeFill="background1" w:themeFillShade="F2"/>
          </w:tcPr>
          <w:p w14:paraId="60356744" w14:textId="5C6D4C6D" w:rsidR="00B630A0" w:rsidRDefault="001A7226" w:rsidP="00716566">
            <w:pPr>
              <w:pStyle w:val="Compact"/>
              <w:jc w:val="center"/>
            </w:pPr>
            <w:r>
              <w:t>1.53 (0.75 to 3.1)</w:t>
            </w:r>
          </w:p>
        </w:tc>
        <w:tc>
          <w:tcPr>
            <w:tcW w:w="0" w:type="auto"/>
            <w:shd w:val="clear" w:color="auto" w:fill="F2F2F2" w:themeFill="background1" w:themeFillShade="F2"/>
          </w:tcPr>
          <w:p w14:paraId="7BC7826D" w14:textId="39F1724D" w:rsidR="00B630A0" w:rsidRDefault="00B630A0" w:rsidP="00716566">
            <w:pPr>
              <w:pStyle w:val="Compact"/>
              <w:jc w:val="center"/>
            </w:pPr>
          </w:p>
        </w:tc>
      </w:tr>
      <w:tr w:rsidR="00716566" w14:paraId="16676B66" w14:textId="77777777" w:rsidTr="004E42D7">
        <w:tc>
          <w:tcPr>
            <w:tcW w:w="2053" w:type="pct"/>
            <w:shd w:val="clear" w:color="auto" w:fill="F2F2F2" w:themeFill="background1" w:themeFillShade="F2"/>
          </w:tcPr>
          <w:p w14:paraId="483B9B5B" w14:textId="0A089284" w:rsidR="00B630A0" w:rsidRDefault="00025C96">
            <w:pPr>
              <w:pStyle w:val="Compact"/>
            </w:pPr>
            <w:r>
              <w:t>F</w:t>
            </w:r>
            <w:r w:rsidR="00716566">
              <w:t xml:space="preserve">erritin </w:t>
            </w:r>
            <w:r>
              <w:t xml:space="preserve">ng/ml </w:t>
            </w:r>
            <w:r w:rsidR="00716566">
              <w:t>≥</w:t>
            </w:r>
            <w:r w:rsidR="001A7226">
              <w:t xml:space="preserve"> 100</w:t>
            </w:r>
          </w:p>
        </w:tc>
        <w:tc>
          <w:tcPr>
            <w:tcW w:w="0" w:type="auto"/>
            <w:shd w:val="clear" w:color="auto" w:fill="F2F2F2" w:themeFill="background1" w:themeFillShade="F2"/>
          </w:tcPr>
          <w:p w14:paraId="31C3C1EF" w14:textId="77777777" w:rsidR="00B630A0" w:rsidRDefault="001A7226" w:rsidP="00716566">
            <w:pPr>
              <w:pStyle w:val="Compact"/>
              <w:jc w:val="center"/>
            </w:pPr>
            <w:r>
              <w:t>0.5 ± 0.8</w:t>
            </w:r>
          </w:p>
        </w:tc>
        <w:tc>
          <w:tcPr>
            <w:tcW w:w="0" w:type="auto"/>
            <w:shd w:val="clear" w:color="auto" w:fill="F2F2F2" w:themeFill="background1" w:themeFillShade="F2"/>
          </w:tcPr>
          <w:p w14:paraId="3DF3B96D" w14:textId="77777777" w:rsidR="00B630A0" w:rsidRDefault="001A7226" w:rsidP="00716566">
            <w:pPr>
              <w:pStyle w:val="Compact"/>
              <w:jc w:val="center"/>
            </w:pPr>
            <w:r>
              <w:t>0.5 ± 0.9</w:t>
            </w:r>
          </w:p>
        </w:tc>
        <w:tc>
          <w:tcPr>
            <w:tcW w:w="0" w:type="auto"/>
            <w:shd w:val="clear" w:color="auto" w:fill="F2F2F2" w:themeFill="background1" w:themeFillShade="F2"/>
          </w:tcPr>
          <w:p w14:paraId="4A1D6F00" w14:textId="6819D6E6" w:rsidR="00B630A0" w:rsidRDefault="001A7226" w:rsidP="00716566">
            <w:pPr>
              <w:pStyle w:val="Compact"/>
              <w:jc w:val="center"/>
            </w:pPr>
            <w:r>
              <w:t>1.04 (0.64 to 1.7)</w:t>
            </w:r>
          </w:p>
        </w:tc>
        <w:tc>
          <w:tcPr>
            <w:tcW w:w="0" w:type="auto"/>
            <w:shd w:val="clear" w:color="auto" w:fill="F2F2F2" w:themeFill="background1" w:themeFillShade="F2"/>
          </w:tcPr>
          <w:p w14:paraId="66383C1F" w14:textId="7EBAC9D6" w:rsidR="00B630A0" w:rsidRDefault="00B630A0" w:rsidP="00716566">
            <w:pPr>
              <w:pStyle w:val="Compact"/>
              <w:jc w:val="center"/>
            </w:pPr>
          </w:p>
        </w:tc>
      </w:tr>
      <w:tr w:rsidR="00716566" w14:paraId="3D60005C" w14:textId="77777777" w:rsidTr="00716566">
        <w:tc>
          <w:tcPr>
            <w:tcW w:w="2053" w:type="pct"/>
          </w:tcPr>
          <w:p w14:paraId="188FDE61" w14:textId="6C2CCBF6" w:rsidR="00B630A0" w:rsidRDefault="00716566">
            <w:pPr>
              <w:pStyle w:val="Compact"/>
            </w:pPr>
            <w:r>
              <w:t>TSAT%</w:t>
            </w:r>
            <w:r w:rsidR="001A7226">
              <w:t xml:space="preserve"> &lt; 20</w:t>
            </w:r>
          </w:p>
        </w:tc>
        <w:tc>
          <w:tcPr>
            <w:tcW w:w="0" w:type="auto"/>
          </w:tcPr>
          <w:p w14:paraId="6252FD29" w14:textId="77777777" w:rsidR="00B630A0" w:rsidRDefault="001A7226" w:rsidP="00716566">
            <w:pPr>
              <w:pStyle w:val="Compact"/>
              <w:jc w:val="center"/>
            </w:pPr>
            <w:r>
              <w:t>0.5 ± 1</w:t>
            </w:r>
          </w:p>
        </w:tc>
        <w:tc>
          <w:tcPr>
            <w:tcW w:w="0" w:type="auto"/>
          </w:tcPr>
          <w:p w14:paraId="24C70A81" w14:textId="77777777" w:rsidR="00B630A0" w:rsidRDefault="001A7226" w:rsidP="00716566">
            <w:pPr>
              <w:pStyle w:val="Compact"/>
              <w:jc w:val="center"/>
            </w:pPr>
            <w:r>
              <w:t>0.5 ± 1</w:t>
            </w:r>
          </w:p>
        </w:tc>
        <w:tc>
          <w:tcPr>
            <w:tcW w:w="0" w:type="auto"/>
          </w:tcPr>
          <w:p w14:paraId="02EAACF7" w14:textId="42562593" w:rsidR="00B630A0" w:rsidRDefault="001A7226" w:rsidP="00716566">
            <w:pPr>
              <w:pStyle w:val="Compact"/>
              <w:jc w:val="center"/>
            </w:pPr>
            <w:r>
              <w:t>0.92 (0.6 to 1.4)</w:t>
            </w:r>
          </w:p>
        </w:tc>
        <w:tc>
          <w:tcPr>
            <w:tcW w:w="0" w:type="auto"/>
          </w:tcPr>
          <w:p w14:paraId="7FFA38BF" w14:textId="77777777" w:rsidR="00B630A0" w:rsidRDefault="001A7226" w:rsidP="00716566">
            <w:pPr>
              <w:pStyle w:val="Compact"/>
              <w:jc w:val="center"/>
            </w:pPr>
            <w:r>
              <w:t>0.29</w:t>
            </w:r>
          </w:p>
        </w:tc>
      </w:tr>
      <w:tr w:rsidR="00716566" w14:paraId="629AA123" w14:textId="77777777" w:rsidTr="00716566">
        <w:tc>
          <w:tcPr>
            <w:tcW w:w="2053" w:type="pct"/>
          </w:tcPr>
          <w:p w14:paraId="26FA957A" w14:textId="0D998BCA" w:rsidR="00B630A0" w:rsidRDefault="00716566">
            <w:pPr>
              <w:pStyle w:val="Compact"/>
            </w:pPr>
            <w:r>
              <w:t>TSAT% ≥</w:t>
            </w:r>
            <w:r w:rsidR="001A7226">
              <w:t xml:space="preserve"> 20</w:t>
            </w:r>
          </w:p>
        </w:tc>
        <w:tc>
          <w:tcPr>
            <w:tcW w:w="0" w:type="auto"/>
          </w:tcPr>
          <w:p w14:paraId="76452ACE" w14:textId="77777777" w:rsidR="00B630A0" w:rsidRDefault="001A7226" w:rsidP="00716566">
            <w:pPr>
              <w:pStyle w:val="Compact"/>
              <w:jc w:val="center"/>
            </w:pPr>
            <w:r>
              <w:t>0.3 ± 0.7</w:t>
            </w:r>
          </w:p>
        </w:tc>
        <w:tc>
          <w:tcPr>
            <w:tcW w:w="0" w:type="auto"/>
          </w:tcPr>
          <w:p w14:paraId="56881799" w14:textId="77777777" w:rsidR="00B630A0" w:rsidRDefault="001A7226" w:rsidP="00716566">
            <w:pPr>
              <w:pStyle w:val="Compact"/>
              <w:jc w:val="center"/>
            </w:pPr>
            <w:r>
              <w:t>0.4 ± 0.7</w:t>
            </w:r>
          </w:p>
        </w:tc>
        <w:tc>
          <w:tcPr>
            <w:tcW w:w="0" w:type="auto"/>
          </w:tcPr>
          <w:p w14:paraId="3DFE1EAD" w14:textId="7DEC4114" w:rsidR="00B630A0" w:rsidRDefault="001A7226" w:rsidP="00716566">
            <w:pPr>
              <w:pStyle w:val="Compact"/>
              <w:jc w:val="center"/>
            </w:pPr>
            <w:r>
              <w:t>1.55 (0.63 to 3.8)</w:t>
            </w:r>
          </w:p>
        </w:tc>
        <w:tc>
          <w:tcPr>
            <w:tcW w:w="0" w:type="auto"/>
          </w:tcPr>
          <w:p w14:paraId="58EBA15F" w14:textId="5DE99B33" w:rsidR="00B630A0" w:rsidRDefault="00B630A0" w:rsidP="00716566">
            <w:pPr>
              <w:pStyle w:val="Compact"/>
              <w:jc w:val="center"/>
            </w:pPr>
          </w:p>
        </w:tc>
      </w:tr>
      <w:tr w:rsidR="00716566" w14:paraId="2150A875" w14:textId="77777777" w:rsidTr="004E42D7">
        <w:tc>
          <w:tcPr>
            <w:tcW w:w="2053" w:type="pct"/>
            <w:shd w:val="clear" w:color="auto" w:fill="F2F2F2" w:themeFill="background1" w:themeFillShade="F2"/>
          </w:tcPr>
          <w:p w14:paraId="61249D92" w14:textId="2D1DC489" w:rsidR="00B630A0" w:rsidRDefault="00025C96">
            <w:pPr>
              <w:pStyle w:val="Compact"/>
            </w:pPr>
            <w:r>
              <w:t>F</w:t>
            </w:r>
            <w:r w:rsidR="00716566">
              <w:t>erritin</w:t>
            </w:r>
            <w:r>
              <w:t xml:space="preserve"> ng/ml</w:t>
            </w:r>
            <w:r w:rsidR="00716566">
              <w:t xml:space="preserve"> </w:t>
            </w:r>
            <w:r w:rsidR="001A7226">
              <w:t xml:space="preserve">&lt; 100 OR </w:t>
            </w:r>
            <w:r w:rsidR="00716566">
              <w:t xml:space="preserve">TSAT% </w:t>
            </w:r>
            <w:r w:rsidR="001A7226">
              <w:t>&lt; 20</w:t>
            </w:r>
          </w:p>
        </w:tc>
        <w:tc>
          <w:tcPr>
            <w:tcW w:w="0" w:type="auto"/>
            <w:shd w:val="clear" w:color="auto" w:fill="F2F2F2" w:themeFill="background1" w:themeFillShade="F2"/>
          </w:tcPr>
          <w:p w14:paraId="54BDCC6B" w14:textId="77777777" w:rsidR="00B630A0" w:rsidRDefault="001A7226" w:rsidP="00716566">
            <w:pPr>
              <w:pStyle w:val="Compact"/>
              <w:jc w:val="center"/>
            </w:pPr>
            <w:r>
              <w:t>0.5 ± 1</w:t>
            </w:r>
          </w:p>
        </w:tc>
        <w:tc>
          <w:tcPr>
            <w:tcW w:w="0" w:type="auto"/>
            <w:shd w:val="clear" w:color="auto" w:fill="F2F2F2" w:themeFill="background1" w:themeFillShade="F2"/>
          </w:tcPr>
          <w:p w14:paraId="105811AC" w14:textId="77777777" w:rsidR="00B630A0" w:rsidRDefault="001A7226" w:rsidP="00716566">
            <w:pPr>
              <w:pStyle w:val="Compact"/>
              <w:jc w:val="center"/>
            </w:pPr>
            <w:r>
              <w:t>0.5 ± 1</w:t>
            </w:r>
          </w:p>
        </w:tc>
        <w:tc>
          <w:tcPr>
            <w:tcW w:w="0" w:type="auto"/>
            <w:shd w:val="clear" w:color="auto" w:fill="F2F2F2" w:themeFill="background1" w:themeFillShade="F2"/>
          </w:tcPr>
          <w:p w14:paraId="1DAA9D12" w14:textId="6B89A3CF" w:rsidR="00B630A0" w:rsidRDefault="001A7226" w:rsidP="00716566">
            <w:pPr>
              <w:pStyle w:val="Compact"/>
              <w:jc w:val="center"/>
            </w:pPr>
            <w:r>
              <w:t>0.95 (0.63 to 1.43)</w:t>
            </w:r>
          </w:p>
        </w:tc>
        <w:tc>
          <w:tcPr>
            <w:tcW w:w="0" w:type="auto"/>
            <w:shd w:val="clear" w:color="auto" w:fill="F2F2F2" w:themeFill="background1" w:themeFillShade="F2"/>
          </w:tcPr>
          <w:p w14:paraId="35588E1C" w14:textId="77777777" w:rsidR="00B630A0" w:rsidRDefault="001A7226" w:rsidP="00716566">
            <w:pPr>
              <w:pStyle w:val="Compact"/>
              <w:jc w:val="center"/>
            </w:pPr>
            <w:r>
              <w:t>0.29</w:t>
            </w:r>
          </w:p>
        </w:tc>
      </w:tr>
      <w:tr w:rsidR="00716566" w14:paraId="5A94A409" w14:textId="77777777" w:rsidTr="004E42D7">
        <w:tc>
          <w:tcPr>
            <w:tcW w:w="2053" w:type="pct"/>
            <w:shd w:val="clear" w:color="auto" w:fill="F2F2F2" w:themeFill="background1" w:themeFillShade="F2"/>
          </w:tcPr>
          <w:p w14:paraId="2E5B53A4" w14:textId="7279A439" w:rsidR="00B630A0" w:rsidRDefault="00025C96">
            <w:pPr>
              <w:pStyle w:val="Compact"/>
            </w:pPr>
            <w:r>
              <w:t>F</w:t>
            </w:r>
            <w:r w:rsidR="00716566">
              <w:t>erritin</w:t>
            </w:r>
            <w:r w:rsidR="001A7226">
              <w:t xml:space="preserve"> </w:t>
            </w:r>
            <w:r>
              <w:t xml:space="preserve">ng/ml </w:t>
            </w:r>
            <w:r w:rsidR="00716566">
              <w:t>≥</w:t>
            </w:r>
            <w:r w:rsidR="001A7226">
              <w:t xml:space="preserve"> 100 and </w:t>
            </w:r>
            <w:r w:rsidR="00716566">
              <w:t>TSAT% ≥</w:t>
            </w:r>
            <w:r w:rsidR="001A7226">
              <w:t xml:space="preserve"> 20</w:t>
            </w:r>
          </w:p>
        </w:tc>
        <w:tc>
          <w:tcPr>
            <w:tcW w:w="0" w:type="auto"/>
            <w:shd w:val="clear" w:color="auto" w:fill="F2F2F2" w:themeFill="background1" w:themeFillShade="F2"/>
          </w:tcPr>
          <w:p w14:paraId="00A48AD5" w14:textId="77777777" w:rsidR="00B630A0" w:rsidRDefault="001A7226" w:rsidP="00716566">
            <w:pPr>
              <w:pStyle w:val="Compact"/>
              <w:jc w:val="center"/>
            </w:pPr>
            <w:r>
              <w:t>0.3 ± 0.6</w:t>
            </w:r>
          </w:p>
        </w:tc>
        <w:tc>
          <w:tcPr>
            <w:tcW w:w="0" w:type="auto"/>
            <w:shd w:val="clear" w:color="auto" w:fill="F2F2F2" w:themeFill="background1" w:themeFillShade="F2"/>
          </w:tcPr>
          <w:p w14:paraId="436EAF19" w14:textId="77777777" w:rsidR="00B630A0" w:rsidRDefault="001A7226" w:rsidP="00716566">
            <w:pPr>
              <w:pStyle w:val="Compact"/>
              <w:jc w:val="center"/>
            </w:pPr>
            <w:r>
              <w:t>0.4 ± 0.8</w:t>
            </w:r>
          </w:p>
        </w:tc>
        <w:tc>
          <w:tcPr>
            <w:tcW w:w="0" w:type="auto"/>
            <w:shd w:val="clear" w:color="auto" w:fill="F2F2F2" w:themeFill="background1" w:themeFillShade="F2"/>
          </w:tcPr>
          <w:p w14:paraId="084021E3" w14:textId="1A5E2CAB" w:rsidR="00B630A0" w:rsidRDefault="001A7226" w:rsidP="00716566">
            <w:pPr>
              <w:pStyle w:val="Compact"/>
              <w:jc w:val="center"/>
            </w:pPr>
            <w:r>
              <w:t>1.72 (0.66 to 4.51)</w:t>
            </w:r>
          </w:p>
        </w:tc>
        <w:tc>
          <w:tcPr>
            <w:tcW w:w="0" w:type="auto"/>
            <w:shd w:val="clear" w:color="auto" w:fill="F2F2F2" w:themeFill="background1" w:themeFillShade="F2"/>
          </w:tcPr>
          <w:p w14:paraId="1F60AB34" w14:textId="65F3D289" w:rsidR="00B630A0" w:rsidRDefault="00B630A0" w:rsidP="00716566">
            <w:pPr>
              <w:pStyle w:val="Compact"/>
              <w:jc w:val="center"/>
            </w:pPr>
          </w:p>
        </w:tc>
      </w:tr>
      <w:tr w:rsidR="00716566" w14:paraId="383F942C" w14:textId="77777777" w:rsidTr="00716566">
        <w:tc>
          <w:tcPr>
            <w:tcW w:w="2053" w:type="pct"/>
          </w:tcPr>
          <w:p w14:paraId="1365C550" w14:textId="2E4FC632" w:rsidR="00B630A0" w:rsidRDefault="00025C96">
            <w:pPr>
              <w:pStyle w:val="Compact"/>
            </w:pPr>
            <w:r>
              <w:t>F</w:t>
            </w:r>
            <w:r w:rsidR="00716566">
              <w:t xml:space="preserve">erritin </w:t>
            </w:r>
            <w:r>
              <w:t xml:space="preserve">ng/ml </w:t>
            </w:r>
            <w:r w:rsidR="001A7226">
              <w:t xml:space="preserve">&lt; 100 AND </w:t>
            </w:r>
            <w:r w:rsidR="00716566">
              <w:t xml:space="preserve">TSAT% </w:t>
            </w:r>
            <w:r w:rsidR="001A7226">
              <w:t>&lt; 20</w:t>
            </w:r>
          </w:p>
        </w:tc>
        <w:tc>
          <w:tcPr>
            <w:tcW w:w="0" w:type="auto"/>
          </w:tcPr>
          <w:p w14:paraId="424F51F3" w14:textId="77777777" w:rsidR="00B630A0" w:rsidRDefault="001A7226" w:rsidP="00716566">
            <w:pPr>
              <w:pStyle w:val="Compact"/>
              <w:jc w:val="center"/>
            </w:pPr>
            <w:r>
              <w:t>0.5 ± 1</w:t>
            </w:r>
          </w:p>
        </w:tc>
        <w:tc>
          <w:tcPr>
            <w:tcW w:w="0" w:type="auto"/>
          </w:tcPr>
          <w:p w14:paraId="7807A07B" w14:textId="77777777" w:rsidR="00B630A0" w:rsidRDefault="001A7226" w:rsidP="00716566">
            <w:pPr>
              <w:pStyle w:val="Compact"/>
              <w:jc w:val="center"/>
            </w:pPr>
            <w:r>
              <w:t>0.4 ± 0.9</w:t>
            </w:r>
          </w:p>
        </w:tc>
        <w:tc>
          <w:tcPr>
            <w:tcW w:w="0" w:type="auto"/>
          </w:tcPr>
          <w:p w14:paraId="57A47A48" w14:textId="29E46853" w:rsidR="00B630A0" w:rsidRDefault="001A7226" w:rsidP="00716566">
            <w:pPr>
              <w:pStyle w:val="Compact"/>
              <w:jc w:val="center"/>
            </w:pPr>
            <w:r>
              <w:t>0.88 (0.49 to 1.55)</w:t>
            </w:r>
          </w:p>
        </w:tc>
        <w:tc>
          <w:tcPr>
            <w:tcW w:w="0" w:type="auto"/>
          </w:tcPr>
          <w:p w14:paraId="5BF3EFB3" w14:textId="77777777" w:rsidR="00B630A0" w:rsidRDefault="001A7226" w:rsidP="00716566">
            <w:pPr>
              <w:pStyle w:val="Compact"/>
              <w:jc w:val="center"/>
            </w:pPr>
            <w:r>
              <w:t>0.51</w:t>
            </w:r>
          </w:p>
        </w:tc>
      </w:tr>
      <w:tr w:rsidR="00716566" w14:paraId="63384EC8" w14:textId="77777777" w:rsidTr="00716566">
        <w:tc>
          <w:tcPr>
            <w:tcW w:w="2053" w:type="pct"/>
            <w:tcBorders>
              <w:bottom w:val="single" w:sz="4" w:space="0" w:color="auto"/>
            </w:tcBorders>
          </w:tcPr>
          <w:p w14:paraId="7A243645" w14:textId="152212D0" w:rsidR="00B630A0" w:rsidRDefault="00025C96">
            <w:pPr>
              <w:pStyle w:val="Compact"/>
            </w:pPr>
            <w:r>
              <w:t>F</w:t>
            </w:r>
            <w:r w:rsidR="00716566">
              <w:t xml:space="preserve">erritin </w:t>
            </w:r>
            <w:r>
              <w:t xml:space="preserve">ng/ml </w:t>
            </w:r>
            <w:r w:rsidR="00716566">
              <w:t>≥</w:t>
            </w:r>
            <w:r w:rsidR="001A7226">
              <w:t xml:space="preserve"> 100 or </w:t>
            </w:r>
            <w:r w:rsidR="00716566">
              <w:t>TSAT% ≥</w:t>
            </w:r>
            <w:r w:rsidR="001A7226">
              <w:t xml:space="preserve"> 20</w:t>
            </w:r>
          </w:p>
        </w:tc>
        <w:tc>
          <w:tcPr>
            <w:tcW w:w="0" w:type="auto"/>
            <w:tcBorders>
              <w:bottom w:val="single" w:sz="4" w:space="0" w:color="auto"/>
            </w:tcBorders>
          </w:tcPr>
          <w:p w14:paraId="5A42F08C" w14:textId="77777777" w:rsidR="00B630A0" w:rsidRDefault="001A7226" w:rsidP="00716566">
            <w:pPr>
              <w:pStyle w:val="Compact"/>
              <w:jc w:val="center"/>
            </w:pPr>
            <w:r>
              <w:t>0.5 ± 0.8</w:t>
            </w:r>
          </w:p>
        </w:tc>
        <w:tc>
          <w:tcPr>
            <w:tcW w:w="0" w:type="auto"/>
            <w:tcBorders>
              <w:bottom w:val="single" w:sz="4" w:space="0" w:color="auto"/>
            </w:tcBorders>
          </w:tcPr>
          <w:p w14:paraId="551311E3" w14:textId="77777777" w:rsidR="00B630A0" w:rsidRDefault="001A7226" w:rsidP="00716566">
            <w:pPr>
              <w:pStyle w:val="Compact"/>
              <w:jc w:val="center"/>
            </w:pPr>
            <w:r>
              <w:t>0.5 ± 0.9</w:t>
            </w:r>
          </w:p>
        </w:tc>
        <w:tc>
          <w:tcPr>
            <w:tcW w:w="0" w:type="auto"/>
            <w:tcBorders>
              <w:bottom w:val="single" w:sz="4" w:space="0" w:color="auto"/>
            </w:tcBorders>
          </w:tcPr>
          <w:p w14:paraId="57A201F0" w14:textId="3A830794" w:rsidR="00B630A0" w:rsidRDefault="001A7226" w:rsidP="00716566">
            <w:pPr>
              <w:pStyle w:val="Compact"/>
              <w:jc w:val="center"/>
            </w:pPr>
            <w:r>
              <w:t>1.14 (0.69 to 1.89)</w:t>
            </w:r>
          </w:p>
        </w:tc>
        <w:tc>
          <w:tcPr>
            <w:tcW w:w="0" w:type="auto"/>
            <w:tcBorders>
              <w:bottom w:val="single" w:sz="4" w:space="0" w:color="auto"/>
            </w:tcBorders>
          </w:tcPr>
          <w:p w14:paraId="7D31312C" w14:textId="55E0B7E5" w:rsidR="00B630A0" w:rsidRDefault="00B630A0" w:rsidP="00716566">
            <w:pPr>
              <w:pStyle w:val="Compact"/>
              <w:jc w:val="center"/>
            </w:pPr>
          </w:p>
        </w:tc>
      </w:tr>
      <w:tr w:rsidR="00716566" w14:paraId="5FBB9021" w14:textId="77777777" w:rsidTr="00716566">
        <w:tc>
          <w:tcPr>
            <w:tcW w:w="5000" w:type="pct"/>
            <w:gridSpan w:val="5"/>
            <w:tcBorders>
              <w:top w:val="single" w:sz="4" w:space="0" w:color="auto"/>
            </w:tcBorders>
          </w:tcPr>
          <w:p w14:paraId="108880A2" w14:textId="2CB2E79F" w:rsidR="00716566" w:rsidRDefault="00716566" w:rsidP="00716566">
            <w:pPr>
              <w:pStyle w:val="Compact"/>
            </w:pPr>
            <w:r>
              <w:t xml:space="preserve">Within-group outcomes (number of blood transfusions in 30 days post-surgery) are summarized as means and SDs. IRR = Incidence Rate Ratio. P-values are from the likelihood ratio test of the interaction between treatment group and the respective covariate. </w:t>
            </w:r>
          </w:p>
        </w:tc>
      </w:tr>
    </w:tbl>
    <w:p w14:paraId="500EEC59" w14:textId="77777777" w:rsidR="00716566" w:rsidRDefault="00716566" w:rsidP="00716566">
      <w:pPr>
        <w:pStyle w:val="FirstParagraph"/>
      </w:pPr>
    </w:p>
    <w:p w14:paraId="4D228934" w14:textId="77777777" w:rsidR="00716566" w:rsidRDefault="00716566">
      <w:pPr>
        <w:spacing w:after="200"/>
        <w:rPr>
          <w:rFonts w:ascii="Georgia" w:hAnsi="Georgia"/>
          <w:sz w:val="24"/>
          <w:szCs w:val="24"/>
        </w:rPr>
      </w:pPr>
      <w:r>
        <w:br w:type="page"/>
      </w:r>
    </w:p>
    <w:p w14:paraId="12521D67" w14:textId="7D1FF444" w:rsidR="00716566" w:rsidRDefault="00716566" w:rsidP="00716566">
      <w:pPr>
        <w:pStyle w:val="FirstParagraph"/>
      </w:pPr>
      <w:r>
        <w:lastRenderedPageBreak/>
        <w:t>HTE was also estimated using quasi-Poisson models with an interaction between treatment arms and a given baseline lab value (one for each model). Lab values were modeled with restricted cubic splines with 4 knots. This was done to avoid categorization of the lab values and the subsequent loss of power to detect interactions.  Each model is adjusted for age and an offset for time at risk.</w:t>
      </w:r>
    </w:p>
    <w:p w14:paraId="401C96C1" w14:textId="3C757AEE" w:rsidR="00716566" w:rsidRPr="00716566" w:rsidRDefault="00EA5A0F" w:rsidP="0034742C">
      <w:pPr>
        <w:pStyle w:val="FirstParagraph"/>
      </w:pPr>
      <w:r w:rsidRPr="00EA5A0F">
        <w:rPr>
          <w:noProof/>
        </w:rPr>
        <w:drawing>
          <wp:inline distT="0" distB="0" distL="0" distR="0" wp14:anchorId="01F9DF12" wp14:editId="4258863C">
            <wp:extent cx="59436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2350"/>
                    </a:xfrm>
                    <a:prstGeom prst="rect">
                      <a:avLst/>
                    </a:prstGeom>
                  </pic:spPr>
                </pic:pic>
              </a:graphicData>
            </a:graphic>
          </wp:inline>
        </w:drawing>
      </w:r>
    </w:p>
    <w:sectPr w:rsidR="00716566" w:rsidRPr="007165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848D5" w14:textId="77777777" w:rsidR="00E709A4" w:rsidRDefault="00E709A4">
      <w:r>
        <w:separator/>
      </w:r>
    </w:p>
  </w:endnote>
  <w:endnote w:type="continuationSeparator" w:id="0">
    <w:p w14:paraId="21FF9FE3" w14:textId="77777777" w:rsidR="00E709A4" w:rsidRDefault="00E7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69766" w14:textId="77777777" w:rsidR="00E709A4" w:rsidRDefault="00E709A4">
      <w:r>
        <w:separator/>
      </w:r>
    </w:p>
  </w:footnote>
  <w:footnote w:type="continuationSeparator" w:id="0">
    <w:p w14:paraId="31D2006D" w14:textId="77777777" w:rsidR="00E709A4" w:rsidRDefault="00E7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0D92D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5"/>
  </w:num>
  <w:num w:numId="15">
    <w:abstractNumId w:val="16"/>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5C96"/>
    <w:rsid w:val="001A7226"/>
    <w:rsid w:val="0034742C"/>
    <w:rsid w:val="004E29B3"/>
    <w:rsid w:val="004E42D7"/>
    <w:rsid w:val="00590D07"/>
    <w:rsid w:val="00716566"/>
    <w:rsid w:val="00784D58"/>
    <w:rsid w:val="008D6863"/>
    <w:rsid w:val="008E15CB"/>
    <w:rsid w:val="00B630A0"/>
    <w:rsid w:val="00B86B75"/>
    <w:rsid w:val="00BC48D5"/>
    <w:rsid w:val="00C36279"/>
    <w:rsid w:val="00E315A3"/>
    <w:rsid w:val="00E709A4"/>
    <w:rsid w:val="00EA5A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8FBA"/>
  <w15:docId w15:val="{4966D686-AE01-4765-96E6-FDDE3F2D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Dahly, Darren</dc:creator>
  <cp:keywords/>
  <cp:lastModifiedBy>Dahly, Darren</cp:lastModifiedBy>
  <cp:revision>2</cp:revision>
  <dcterms:created xsi:type="dcterms:W3CDTF">2020-11-20T09:03:00Z</dcterms:created>
  <dcterms:modified xsi:type="dcterms:W3CDTF">2020-11-20T09:03:00Z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