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  <Override PartName="/word/media/rId45.png" ContentType="image/png"/>
  <Override PartName="/word/media/rId46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7.png" ContentType="image/png"/>
  <Override PartName="/word/media/rId58.png" ContentType="image/png"/>
  <Override PartName="/word/media/rId25.png" ContentType="image/png"/>
  <Override PartName="/word/media/rId62.png" ContentType="image/png"/>
  <Override PartName="/word/media/rId6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te-by-baseline-lab-values"/>
      <w:r>
        <w:t xml:space="preserve">HTE by baseline lab values</w:t>
      </w:r>
      <w:bookmarkEnd w:id="20"/>
    </w:p>
    <w:p>
      <w:pPr>
        <w:pStyle w:val="Heading2"/>
      </w:pPr>
      <w:bookmarkStart w:id="21" w:name="binary-outcomes"/>
      <w:r>
        <w:t xml:space="preserve">Binary outcomes</w:t>
      </w:r>
      <w:bookmarkEnd w:id="21"/>
    </w:p>
    <w:p>
      <w:pPr>
        <w:pStyle w:val="FirstParagraph"/>
      </w:pPr>
      <w:r>
        <w:t xml:space="preserve">HTE was estimated using logistic regression models with an interaction between treatment arms and a given baseline lab value (one for each model). Lab values were modeled with restricted cubic splines with 4 knots, and each model is adjusted for age.</w:t>
      </w:r>
    </w:p>
    <w:p>
      <w:pPr>
        <w:pStyle w:val="BodyText"/>
      </w:pPr>
      <w:r>
        <w:t xml:space="preserve">Alternately, HTE was estimated using the same categorized versions of baseline ferritin, TSAT and their combinations (either low and both low), following what was previously done using log binomial models (</w:t>
      </w:r>
      <w:r>
        <w:rPr>
          <w:b/>
        </w:rPr>
        <w:t xml:space="preserve">Original models</w:t>
      </w:r>
      <w:r>
        <w:t xml:space="preserve">).</w:t>
      </w:r>
    </w:p>
    <w:p>
      <w:pPr>
        <w:pStyle w:val="Heading3"/>
      </w:pPr>
      <w:bookmarkStart w:id="22" w:name="first-co-primary-outcome"/>
      <w:r>
        <w:t xml:space="preserve">First co-primary outcome</w:t>
      </w:r>
      <w:bookmarkEnd w:id="22"/>
    </w:p>
    <w:p>
      <w:pPr>
        <w:pStyle w:val="Heading4"/>
      </w:pPr>
      <w:bookmarkStart w:id="23" w:name="original-models"/>
      <w:r>
        <w:t xml:space="preserve">Original models</w:t>
      </w:r>
      <w:bookmarkEnd w:id="23"/>
    </w:p>
    <w:tbl>
      <w:tblPr>
        <w:tblStyle w:val="Table"/>
        <w:tblW w:type="pct" w:w="5000.0"/>
        <w:tblLook w:firstRow="1"/>
      </w:tblPr>
      <w:tblGrid>
        <w:gridCol w:w="3825"/>
        <w:gridCol w:w="872"/>
        <w:gridCol w:w="872"/>
        <w:gridCol w:w="2013"/>
        <w:gridCol w:w="3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17/69 (25%)</w:t>
            </w:r>
          </w:p>
        </w:tc>
        <w:tc>
          <w:p>
            <w:pPr>
              <w:pStyle w:val="Compact"/>
              <w:jc w:val="left"/>
            </w:pPr>
            <w:r>
              <w:t xml:space="preserve">14/75 (19%)</w:t>
            </w:r>
          </w:p>
        </w:tc>
        <w:tc>
          <w:p>
            <w:pPr>
              <w:pStyle w:val="Compact"/>
              <w:jc w:val="left"/>
            </w:pPr>
            <w:r>
              <w:t xml:space="preserve">0.76 (0.4 to 1.42); p = 0.39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17/63 (27%)</w:t>
            </w:r>
          </w:p>
        </w:tc>
        <w:tc>
          <w:p>
            <w:pPr>
              <w:pStyle w:val="Compact"/>
              <w:jc w:val="left"/>
            </w:pPr>
            <w:r>
              <w:t xml:space="preserve">20/53 (38%)</w:t>
            </w:r>
          </w:p>
        </w:tc>
        <w:tc>
          <w:p>
            <w:pPr>
              <w:pStyle w:val="Compact"/>
              <w:jc w:val="left"/>
            </w:pPr>
            <w:r>
              <w:t xml:space="preserve">1.4 (0.82 to 2.38); p = 0.22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32/98 (33%)</w:t>
            </w:r>
          </w:p>
        </w:tc>
        <w:tc>
          <w:p>
            <w:pPr>
              <w:pStyle w:val="Compact"/>
              <w:jc w:val="left"/>
            </w:pPr>
            <w:r>
              <w:t xml:space="preserve">31/94 (33%)</w:t>
            </w:r>
          </w:p>
        </w:tc>
        <w:tc>
          <w:p>
            <w:pPr>
              <w:pStyle w:val="Compact"/>
              <w:jc w:val="left"/>
            </w:pPr>
            <w:r>
              <w:t xml:space="preserve">1.01 (0.67 to 1.51); p = 0.96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55/174 (32%)</w:t>
            </w:r>
          </w:p>
        </w:tc>
        <w:tc>
          <w:p>
            <w:pPr>
              <w:pStyle w:val="Compact"/>
              <w:jc w:val="left"/>
            </w:pPr>
            <w:r>
              <w:t xml:space="preserve">49/163 (30%)</w:t>
            </w:r>
          </w:p>
        </w:tc>
        <w:tc>
          <w:p>
            <w:pPr>
              <w:pStyle w:val="Compact"/>
              <w:jc w:val="left"/>
            </w:pPr>
            <w:r>
              <w:t xml:space="preserve">0.95 (0.69 to 1.31); p = 0.76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8/50 (16%)</w:t>
            </w:r>
          </w:p>
        </w:tc>
        <w:tc>
          <w:p>
            <w:pPr>
              <w:pStyle w:val="Compact"/>
              <w:jc w:val="left"/>
            </w:pPr>
            <w:r>
              <w:t xml:space="preserve">15/53 (28%)</w:t>
            </w:r>
          </w:p>
        </w:tc>
        <w:tc>
          <w:p>
            <w:pPr>
              <w:pStyle w:val="Compact"/>
              <w:jc w:val="left"/>
            </w:pPr>
            <w:r>
              <w:t xml:space="preserve">1.77 (0.82 to 3.81); p = 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58/193 (30%)</w:t>
            </w:r>
          </w:p>
        </w:tc>
        <w:tc>
          <w:p>
            <w:pPr>
              <w:pStyle w:val="Compact"/>
              <w:jc w:val="left"/>
            </w:pPr>
            <w:r>
              <w:t xml:space="preserve">53/176 (30%)</w:t>
            </w:r>
          </w:p>
        </w:tc>
        <w:tc>
          <w:p>
            <w:pPr>
              <w:pStyle w:val="Compact"/>
              <w:jc w:val="left"/>
            </w:pPr>
            <w:r>
              <w:t xml:space="preserve">1 (0.73 to 1.37); p = 0.99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7/35 (20%)</w:t>
            </w:r>
          </w:p>
        </w:tc>
        <w:tc>
          <w:p>
            <w:pPr>
              <w:pStyle w:val="Compact"/>
              <w:jc w:val="left"/>
            </w:pPr>
            <w:r>
              <w:t xml:space="preserve">12/43 (28%)</w:t>
            </w:r>
          </w:p>
        </w:tc>
        <w:tc>
          <w:p>
            <w:pPr>
              <w:pStyle w:val="Compact"/>
              <w:jc w:val="left"/>
            </w:pPr>
            <w:r>
              <w:t xml:space="preserve">1.4 (0.62 to 3.16); p = 0.42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31/113 (27%)</w:t>
            </w:r>
          </w:p>
        </w:tc>
        <w:tc>
          <w:p>
            <w:pPr>
              <w:pStyle w:val="Compact"/>
              <w:jc w:val="left"/>
            </w:pPr>
            <w:r>
              <w:t xml:space="preserve">30/115 (26%)</w:t>
            </w:r>
          </w:p>
        </w:tc>
        <w:tc>
          <w:p>
            <w:pPr>
              <w:pStyle w:val="Compact"/>
              <w:jc w:val="left"/>
            </w:pPr>
            <w:r>
              <w:t xml:space="preserve">0.95 (0.62 to 1.46); p = 0.82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32/111 (29%)</w:t>
            </w:r>
          </w:p>
        </w:tc>
        <w:tc>
          <w:p>
            <w:pPr>
              <w:pStyle w:val="Compact"/>
              <w:jc w:val="left"/>
            </w:pPr>
            <w:r>
              <w:t xml:space="preserve">34/101 (34%)</w:t>
            </w:r>
          </w:p>
        </w:tc>
        <w:tc>
          <w:p>
            <w:pPr>
              <w:pStyle w:val="Compact"/>
              <w:jc w:val="left"/>
            </w:pPr>
            <w:r>
              <w:t xml:space="preserve">1.17 (0.78 to 1.74); p = 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BodyText"/>
      </w:pPr>
      <w:r>
        <w:t xml:space="preserve">These match almost exactly. The only difference is for the low tsat OR low ferritin subgroup. In the original analysis it looks like there are 5 individuals with a missing TSAT and a ferritin &gt; 100 but that were counted as</w:t>
      </w:r>
      <w:r>
        <w:t xml:space="preserve"> </w:t>
      </w:r>
      <w:r>
        <w:rPr>
          <w:i/>
        </w:rPr>
        <w:t xml:space="preserve">low TSAT OR low ferritin</w:t>
      </w:r>
      <w:r>
        <w:t xml:space="preserve">.</w:t>
      </w:r>
    </w:p>
    <w:p>
      <w:pPr>
        <w:pStyle w:val="Heading4"/>
      </w:pPr>
      <w:bookmarkStart w:id="24" w:name="new-models"/>
      <w:r>
        <w:t xml:space="preserve">New models</w:t>
      </w:r>
      <w:bookmarkEnd w:id="24"/>
    </w:p>
    <w:p>
      <w:pPr>
        <w:pStyle w:val="FirstParagraph"/>
      </w:pPr>
      <w:r>
        <w:t xml:space="preserve">Predicted outcomes from logistic regression models of the primary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Tests of the interactions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6.15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Now with logged values.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27" w:name="cd-grade-iii-or-above-to-discharge"/>
      <w:r>
        <w:t xml:space="preserve">CD grade III or above to discharge</w:t>
      </w:r>
      <w:bookmarkEnd w:id="27"/>
    </w:p>
    <w:p>
      <w:pPr>
        <w:pStyle w:val="Heading4"/>
      </w:pPr>
      <w:bookmarkStart w:id="28" w:name="original-models-1"/>
      <w:r>
        <w:t xml:space="preserve">Original models</w:t>
      </w:r>
      <w:bookmarkEnd w:id="28"/>
    </w:p>
    <w:tbl>
      <w:tblPr>
        <w:tblStyle w:val="Table"/>
        <w:tblW w:type="pct" w:w="5000.0"/>
        <w:tblLook w:firstRow="1"/>
      </w:tblPr>
      <w:tblGrid>
        <w:gridCol w:w="3825"/>
        <w:gridCol w:w="872"/>
        <w:gridCol w:w="872"/>
        <w:gridCol w:w="2013"/>
        <w:gridCol w:w="3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2/65 (3%)</w:t>
            </w:r>
          </w:p>
        </w:tc>
        <w:tc>
          <w:p>
            <w:pPr>
              <w:pStyle w:val="Compact"/>
              <w:jc w:val="left"/>
            </w:pPr>
            <w:r>
              <w:t xml:space="preserve">4/73 (5%)</w:t>
            </w:r>
          </w:p>
        </w:tc>
        <w:tc>
          <w:p>
            <w:pPr>
              <w:pStyle w:val="Compact"/>
              <w:jc w:val="left"/>
            </w:pPr>
            <w:r>
              <w:t xml:space="preserve">1.78 (0.34 to 9.4); p = 0.5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4/62 (6%)</w:t>
            </w:r>
          </w:p>
        </w:tc>
        <w:tc>
          <w:p>
            <w:pPr>
              <w:pStyle w:val="Compact"/>
              <w:jc w:val="left"/>
            </w:pPr>
            <w:r>
              <w:t xml:space="preserve">8/53 (15%)</w:t>
            </w:r>
          </w:p>
        </w:tc>
        <w:tc>
          <w:p>
            <w:pPr>
              <w:pStyle w:val="Compact"/>
              <w:jc w:val="left"/>
            </w:pPr>
            <w:r>
              <w:t xml:space="preserve">2.34 (0.75 to 7.34); p = 0.14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18/95 (19%)</w:t>
            </w:r>
          </w:p>
        </w:tc>
        <w:tc>
          <w:p>
            <w:pPr>
              <w:pStyle w:val="Compact"/>
              <w:jc w:val="left"/>
            </w:pPr>
            <w:r>
              <w:t xml:space="preserve">8/93 (9%)</w:t>
            </w:r>
          </w:p>
        </w:tc>
        <w:tc>
          <w:p>
            <w:pPr>
              <w:pStyle w:val="Compact"/>
              <w:jc w:val="left"/>
            </w:pPr>
            <w:r>
              <w:t xml:space="preserve">0.45 (0.21 to 0.99); p = 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19/167 (11%)</w:t>
            </w:r>
          </w:p>
        </w:tc>
        <w:tc>
          <w:p>
            <w:pPr>
              <w:pStyle w:val="Compact"/>
              <w:jc w:val="left"/>
            </w:pPr>
            <w:r>
              <w:t xml:space="preserve">17/161 (11%)</w:t>
            </w:r>
          </w:p>
        </w:tc>
        <w:tc>
          <w:p>
            <w:pPr>
              <w:pStyle w:val="Compact"/>
              <w:jc w:val="left"/>
            </w:pPr>
            <w:r>
              <w:t xml:space="preserve">0.93 (0.5 to 1.72); p = 0.81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5/49 (10%)</w:t>
            </w:r>
          </w:p>
        </w:tc>
        <w:tc>
          <w:p>
            <w:pPr>
              <w:pStyle w:val="Compact"/>
              <w:jc w:val="left"/>
            </w:pPr>
            <w:r>
              <w:t xml:space="preserve">3/52 (6%)</w:t>
            </w:r>
          </w:p>
        </w:tc>
        <w:tc>
          <w:p>
            <w:pPr>
              <w:pStyle w:val="Compact"/>
              <w:jc w:val="left"/>
            </w:pPr>
            <w:r>
              <w:t xml:space="preserve">0.57 (0.14 to 2.24); p = 0.42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19/185 (10%)</w:t>
            </w:r>
          </w:p>
        </w:tc>
        <w:tc>
          <w:p>
            <w:pPr>
              <w:pStyle w:val="Compact"/>
              <w:jc w:val="left"/>
            </w:pPr>
            <w:r>
              <w:t xml:space="preserve">17/173 (10%)</w:t>
            </w:r>
          </w:p>
        </w:tc>
        <w:tc>
          <w:p>
            <w:pPr>
              <w:pStyle w:val="Compact"/>
              <w:jc w:val="left"/>
            </w:pPr>
            <w:r>
              <w:t xml:space="preserve">0.96 (0.51 to 1.78); p = 0.89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5/35 (14%)</w:t>
            </w:r>
          </w:p>
        </w:tc>
        <w:tc>
          <w:p>
            <w:pPr>
              <w:pStyle w:val="Compact"/>
              <w:jc w:val="left"/>
            </w:pPr>
            <w:r>
              <w:t xml:space="preserve">3/43 (7%)</w:t>
            </w:r>
          </w:p>
        </w:tc>
        <w:tc>
          <w:p>
            <w:pPr>
              <w:pStyle w:val="Compact"/>
              <w:jc w:val="left"/>
            </w:pPr>
            <w:r>
              <w:t xml:space="preserve">0.49 (0.13 to 1.9); p = 0.3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6/109 (6%)</w:t>
            </w:r>
          </w:p>
        </w:tc>
        <w:tc>
          <w:p>
            <w:pPr>
              <w:pStyle w:val="Compact"/>
              <w:jc w:val="left"/>
            </w:pPr>
            <w:r>
              <w:t xml:space="preserve">12/114 (11%)</w:t>
            </w:r>
          </w:p>
        </w:tc>
        <w:tc>
          <w:p>
            <w:pPr>
              <w:pStyle w:val="Compact"/>
              <w:jc w:val="left"/>
            </w:pPr>
            <w:r>
              <w:t xml:space="preserve">1.91 (0.74 to 4.92); p = 0.18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18/107 (17%)</w:t>
            </w:r>
          </w:p>
        </w:tc>
        <w:tc>
          <w:p>
            <w:pPr>
              <w:pStyle w:val="Compact"/>
              <w:jc w:val="left"/>
            </w:pPr>
            <w:r>
              <w:t xml:space="preserve">8/99 (8%)</w:t>
            </w:r>
          </w:p>
        </w:tc>
        <w:tc>
          <w:p>
            <w:pPr>
              <w:pStyle w:val="Compact"/>
              <w:jc w:val="left"/>
            </w:pPr>
            <w:r>
              <w:t xml:space="preserve">0.48 (0.22 to 1.05); p = 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4"/>
      </w:pPr>
      <w:bookmarkStart w:id="29" w:name="new-models-1"/>
      <w:r>
        <w:t xml:space="preserve">New models</w:t>
      </w:r>
      <w:bookmarkEnd w:id="29"/>
    </w:p>
    <w:p>
      <w:pPr>
        <w:pStyle w:val="FirstParagraph"/>
      </w:pPr>
      <w:r>
        <w:t xml:space="preserve">Predicted outcomes from logistic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Now with logged values.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32" w:name="all-cause-mortality-at-6-months"/>
      <w:r>
        <w:t xml:space="preserve">All cause mortality at 6 months</w:t>
      </w:r>
      <w:bookmarkEnd w:id="32"/>
    </w:p>
    <w:p>
      <w:pPr>
        <w:pStyle w:val="Heading4"/>
      </w:pPr>
      <w:bookmarkStart w:id="33" w:name="original-models-2"/>
      <w:r>
        <w:t xml:space="preserve">Original models</w:t>
      </w:r>
      <w:bookmarkEnd w:id="33"/>
    </w:p>
    <w:tbl>
      <w:tblPr>
        <w:tblStyle w:val="Table"/>
        <w:tblW w:type="pct" w:w="5000.0"/>
        <w:tblLook w:firstRow="1"/>
      </w:tblPr>
      <w:tblGrid>
        <w:gridCol w:w="3925"/>
        <w:gridCol w:w="757"/>
        <w:gridCol w:w="757"/>
        <w:gridCol w:w="2134"/>
        <w:gridCol w:w="3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1/69 (1%)</w:t>
            </w:r>
          </w:p>
        </w:tc>
        <w:tc>
          <w:p>
            <w:pPr>
              <w:pStyle w:val="Compact"/>
              <w:jc w:val="left"/>
            </w:pPr>
            <w:r>
              <w:t xml:space="preserve">1/73 (1%)</w:t>
            </w:r>
          </w:p>
        </w:tc>
        <w:tc>
          <w:p>
            <w:pPr>
              <w:pStyle w:val="Compact"/>
              <w:jc w:val="left"/>
            </w:pPr>
            <w:r>
              <w:t xml:space="preserve">0.95 (0.06 to 14.82); p = 0.97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3/62 (5%)</w:t>
            </w:r>
          </w:p>
        </w:tc>
        <w:tc>
          <w:p>
            <w:pPr>
              <w:pStyle w:val="Compact"/>
              <w:jc w:val="left"/>
            </w:pPr>
            <w:r>
              <w:t xml:space="preserve">5/54 (9%)</w:t>
            </w:r>
          </w:p>
        </w:tc>
        <w:tc>
          <w:p>
            <w:pPr>
              <w:pStyle w:val="Compact"/>
              <w:jc w:val="left"/>
            </w:pPr>
            <w:r>
              <w:t xml:space="preserve">1.91 (0.48 to 7.64); p = 0.36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6/98 (6%)</w:t>
            </w:r>
          </w:p>
        </w:tc>
        <w:tc>
          <w:p>
            <w:pPr>
              <w:pStyle w:val="Compact"/>
              <w:jc w:val="left"/>
            </w:pPr>
            <w:r>
              <w:t xml:space="preserve">6/96 (6%)</w:t>
            </w:r>
          </w:p>
        </w:tc>
        <w:tc>
          <w:p>
            <w:pPr>
              <w:pStyle w:val="Compact"/>
              <w:jc w:val="left"/>
            </w:pPr>
            <w:r>
              <w:t xml:space="preserve">1.02 (0.34 to 3.05); p = 0.97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9/173 (5%)</w:t>
            </w:r>
          </w:p>
        </w:tc>
        <w:tc>
          <w:p>
            <w:pPr>
              <w:pStyle w:val="Compact"/>
              <w:jc w:val="left"/>
            </w:pPr>
            <w:r>
              <w:t xml:space="preserve">7/162 (4%)</w:t>
            </w:r>
          </w:p>
        </w:tc>
        <w:tc>
          <w:p>
            <w:pPr>
              <w:pStyle w:val="Compact"/>
              <w:jc w:val="left"/>
            </w:pPr>
            <w:r>
              <w:t xml:space="preserve">0.83 (0.32 to 2.18); p = 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1/50 (2%)</w:t>
            </w:r>
          </w:p>
        </w:tc>
        <w:tc>
          <w:p>
            <w:pPr>
              <w:pStyle w:val="Compact"/>
              <w:jc w:val="left"/>
            </w:pPr>
            <w:r>
              <w:t xml:space="preserve">5/55 (9%)</w:t>
            </w:r>
          </w:p>
        </w:tc>
        <w:tc>
          <w:p>
            <w:pPr>
              <w:pStyle w:val="Compact"/>
              <w:jc w:val="left"/>
            </w:pPr>
            <w:r>
              <w:t xml:space="preserve">4.55 (0.55 to 37.59); p = 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9/191 (5%)</w:t>
            </w:r>
          </w:p>
        </w:tc>
        <w:tc>
          <w:p>
            <w:pPr>
              <w:pStyle w:val="Compact"/>
              <w:jc w:val="left"/>
            </w:pPr>
            <w:r>
              <w:t xml:space="preserve">7/175 (4%)</w:t>
            </w:r>
          </w:p>
        </w:tc>
        <w:tc>
          <w:p>
            <w:pPr>
              <w:pStyle w:val="Compact"/>
              <w:jc w:val="left"/>
            </w:pPr>
            <w:r>
              <w:t xml:space="preserve">0.85 (0.32 to 2.23); p = 0.74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1/36 (3%)</w:t>
            </w:r>
          </w:p>
        </w:tc>
        <w:tc>
          <w:p>
            <w:pPr>
              <w:pStyle w:val="Compact"/>
              <w:jc w:val="left"/>
            </w:pPr>
            <w:r>
              <w:t xml:space="preserve">5/45 (11%)</w:t>
            </w:r>
          </w:p>
        </w:tc>
        <w:tc>
          <w:p>
            <w:pPr>
              <w:pStyle w:val="Compact"/>
              <w:jc w:val="left"/>
            </w:pPr>
            <w:r>
              <w:t xml:space="preserve">4 (0.49 to 32.71); p = 0.2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4/113 (4%)</w:t>
            </w:r>
          </w:p>
        </w:tc>
        <w:tc>
          <w:p>
            <w:pPr>
              <w:pStyle w:val="Compact"/>
              <w:jc w:val="left"/>
            </w:pPr>
            <w:r>
              <w:t xml:space="preserve">6/114 (5%)</w:t>
            </w:r>
          </w:p>
        </w:tc>
        <w:tc>
          <w:p>
            <w:pPr>
              <w:pStyle w:val="Compact"/>
              <w:jc w:val="left"/>
            </w:pPr>
            <w:r>
              <w:t xml:space="preserve">1.49 (0.43 to 5.13); p = 0.53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6/110 (5%)</w:t>
            </w:r>
          </w:p>
        </w:tc>
        <w:tc>
          <w:p>
            <w:pPr>
              <w:pStyle w:val="Compact"/>
              <w:jc w:val="left"/>
            </w:pPr>
            <w:r>
              <w:t xml:space="preserve">6/103 (6%)</w:t>
            </w:r>
          </w:p>
        </w:tc>
        <w:tc>
          <w:p>
            <w:pPr>
              <w:pStyle w:val="Compact"/>
              <w:jc w:val="left"/>
            </w:pPr>
            <w:r>
              <w:t xml:space="preserve">1.07 (0.36 to 3.21); p = 0.91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Heading4"/>
      </w:pPr>
      <w:bookmarkStart w:id="34" w:name="new-models-2"/>
      <w:r>
        <w:t xml:space="preserve">New models</w:t>
      </w:r>
      <w:bookmarkEnd w:id="34"/>
    </w:p>
    <w:p>
      <w:pPr>
        <w:pStyle w:val="FirstParagraph"/>
      </w:pPr>
      <w:r>
        <w:t xml:space="preserve">Predicted outcomes from logistic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Logged values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37" w:name="Xe3bc44a8456298b21afc7ff3d26a78d22829670"/>
      <w:r>
        <w:t xml:space="preserve">Any readmission for complications - Discharge to 8 weeks</w:t>
      </w:r>
      <w:bookmarkEnd w:id="37"/>
    </w:p>
    <w:p>
      <w:pPr>
        <w:pStyle w:val="Heading4"/>
      </w:pPr>
      <w:bookmarkStart w:id="38" w:name="original-models-3"/>
      <w:r>
        <w:t xml:space="preserve">Original models</w:t>
      </w:r>
      <w:bookmarkEnd w:id="38"/>
    </w:p>
    <w:tbl>
      <w:tblPr>
        <w:tblStyle w:val="Table"/>
        <w:tblW w:type="pct" w:w="4999.999999999999"/>
        <w:tblLook w:firstRow="1"/>
      </w:tblPr>
      <w:tblGrid>
        <w:gridCol w:w="4104"/>
        <w:gridCol w:w="648"/>
        <w:gridCol w:w="648"/>
        <w:gridCol w:w="2160"/>
        <w:gridCol w:w="3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/69 (%)</w:t>
            </w:r>
          </w:p>
        </w:tc>
        <w:tc>
          <w:p>
            <w:pPr>
              <w:pStyle w:val="Compact"/>
              <w:jc w:val="left"/>
            </w:pPr>
            <w:r>
              <w:t xml:space="preserve">/73 (%)</w:t>
            </w:r>
          </w:p>
        </w:tc>
        <w:tc>
          <w:p>
            <w:pPr>
              <w:pStyle w:val="Compact"/>
              <w:jc w:val="left"/>
            </w:pPr>
            <w:r>
              <w:t xml:space="preserve">0.83 (0.32 to 2.16); p = 0.7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/61 (%)</w:t>
            </w:r>
          </w:p>
        </w:tc>
        <w:tc>
          <w:p>
            <w:pPr>
              <w:pStyle w:val="Compact"/>
              <w:jc w:val="left"/>
            </w:pPr>
            <w:r>
              <w:t xml:space="preserve">/50 (%)</w:t>
            </w:r>
          </w:p>
        </w:tc>
        <w:tc>
          <w:p>
            <w:pPr>
              <w:pStyle w:val="Compact"/>
              <w:jc w:val="left"/>
            </w:pPr>
            <w:r>
              <w:t xml:space="preserve">0.94 (0.45 to 1.96); p = 0.87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/97 (%)</w:t>
            </w:r>
          </w:p>
        </w:tc>
        <w:tc>
          <w:p>
            <w:pPr>
              <w:pStyle w:val="Compact"/>
              <w:jc w:val="left"/>
            </w:pPr>
            <w:r>
              <w:t xml:space="preserve">/96 (%)</w:t>
            </w:r>
          </w:p>
        </w:tc>
        <w:tc>
          <w:p>
            <w:pPr>
              <w:pStyle w:val="Compact"/>
              <w:jc w:val="left"/>
            </w:pPr>
            <w:r>
              <w:t xml:space="preserve">0.42 (0.23 to 0.77); p = 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/171 (%)</w:t>
            </w:r>
          </w:p>
        </w:tc>
        <w:tc>
          <w:p>
            <w:pPr>
              <w:pStyle w:val="Compact"/>
              <w:jc w:val="left"/>
            </w:pPr>
            <w:r>
              <w:t xml:space="preserve">/159 (%)</w:t>
            </w:r>
          </w:p>
        </w:tc>
        <w:tc>
          <w:p>
            <w:pPr>
              <w:pStyle w:val="Compact"/>
              <w:jc w:val="left"/>
            </w:pPr>
            <w:r>
              <w:t xml:space="preserve">0.55 (0.33 to 0.92); p = 0.02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/50 (%)</w:t>
            </w:r>
          </w:p>
        </w:tc>
        <w:tc>
          <w:p>
            <w:pPr>
              <w:pStyle w:val="Compact"/>
              <w:jc w:val="left"/>
            </w:pPr>
            <w:r>
              <w:t xml:space="preserve">/54 (%)</w:t>
            </w:r>
          </w:p>
        </w:tc>
        <w:tc>
          <w:p>
            <w:pPr>
              <w:pStyle w:val="Compact"/>
              <w:jc w:val="left"/>
            </w:pPr>
            <w:r>
              <w:t xml:space="preserve">0.77 (0.37 to 1.63); p = 0.5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/190 (%)</w:t>
            </w:r>
          </w:p>
        </w:tc>
        <w:tc>
          <w:p>
            <w:pPr>
              <w:pStyle w:val="Compact"/>
              <w:jc w:val="left"/>
            </w:pPr>
            <w:r>
              <w:t xml:space="preserve">/171 (%)</w:t>
            </w:r>
          </w:p>
        </w:tc>
        <w:tc>
          <w:p>
            <w:pPr>
              <w:pStyle w:val="Compact"/>
              <w:jc w:val="left"/>
            </w:pPr>
            <w:r>
              <w:t xml:space="preserve">0.67 (0.42 to 1.06); p = 0.09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/35 (%)</w:t>
            </w:r>
          </w:p>
        </w:tc>
        <w:tc>
          <w:p>
            <w:pPr>
              <w:pStyle w:val="Compact"/>
              <w:jc w:val="left"/>
            </w:pPr>
            <w:r>
              <w:t xml:space="preserve">/45 (%)</w:t>
            </w:r>
          </w:p>
        </w:tc>
        <w:tc>
          <w:p>
            <w:pPr>
              <w:pStyle w:val="Compact"/>
              <w:jc w:val="left"/>
            </w:pPr>
            <w:r>
              <w:t xml:space="preserve">0.39 (0.15 to 1.03); p = 0.06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/111 (%)</w:t>
            </w:r>
          </w:p>
        </w:tc>
        <w:tc>
          <w:p>
            <w:pPr>
              <w:pStyle w:val="Compact"/>
              <w:jc w:val="left"/>
            </w:pPr>
            <w:r>
              <w:t xml:space="preserve">/111 (%)</w:t>
            </w:r>
          </w:p>
        </w:tc>
        <w:tc>
          <w:p>
            <w:pPr>
              <w:pStyle w:val="Compact"/>
              <w:jc w:val="left"/>
            </w:pPr>
            <w:r>
              <w:t xml:space="preserve">0.67 (0.34 to 1.32); p = 0.24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/110 (%)</w:t>
            </w:r>
          </w:p>
        </w:tc>
        <w:tc>
          <w:p>
            <w:pPr>
              <w:pStyle w:val="Compact"/>
              <w:jc w:val="left"/>
            </w:pPr>
            <w:r>
              <w:t xml:space="preserve">/102 (%)</w:t>
            </w:r>
          </w:p>
        </w:tc>
        <w:tc>
          <w:p>
            <w:pPr>
              <w:pStyle w:val="Compact"/>
              <w:jc w:val="left"/>
            </w:pPr>
            <w:r>
              <w:t xml:space="preserve">0.59 (0.35 to 1); p = 0.05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</w:tbl>
    <w:p>
      <w:pPr>
        <w:pStyle w:val="Heading4"/>
      </w:pPr>
      <w:bookmarkStart w:id="39" w:name="new-models-3"/>
      <w:r>
        <w:t xml:space="preserve">New models</w:t>
      </w:r>
      <w:bookmarkEnd w:id="39"/>
    </w:p>
    <w:p>
      <w:pPr>
        <w:pStyle w:val="FirstParagraph"/>
      </w:pPr>
      <w:r>
        <w:t xml:space="preserve">Predicted outcomes from logistic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Logged values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42" w:name="X493b0e13913c7090e31ab89ff528724d0a91439"/>
      <w:r>
        <w:t xml:space="preserve">Any readmission for complications - Discharge to 6 months</w:t>
      </w:r>
      <w:bookmarkEnd w:id="42"/>
    </w:p>
    <w:p>
      <w:pPr>
        <w:pStyle w:val="Heading4"/>
      </w:pPr>
      <w:bookmarkStart w:id="43" w:name="orignal-models"/>
      <w:r>
        <w:t xml:space="preserve">Orignal models</w:t>
      </w:r>
      <w:bookmarkEnd w:id="43"/>
    </w:p>
    <w:tbl>
      <w:tblPr>
        <w:tblStyle w:val="Table"/>
        <w:tblW w:type="pct" w:w="4999.999999999999"/>
        <w:tblLook w:firstRow="1"/>
      </w:tblPr>
      <w:tblGrid>
        <w:gridCol w:w="4104"/>
        <w:gridCol w:w="648"/>
        <w:gridCol w:w="648"/>
        <w:gridCol w:w="2160"/>
        <w:gridCol w:w="3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/66 (%)</w:t>
            </w:r>
          </w:p>
        </w:tc>
        <w:tc>
          <w:p>
            <w:pPr>
              <w:pStyle w:val="Compact"/>
              <w:jc w:val="left"/>
            </w:pPr>
            <w:r>
              <w:t xml:space="preserve">/68 (%)</w:t>
            </w:r>
          </w:p>
        </w:tc>
        <w:tc>
          <w:p>
            <w:pPr>
              <w:pStyle w:val="Compact"/>
              <w:jc w:val="left"/>
            </w:pPr>
            <w:r>
              <w:t xml:space="preserve">0.97 (0.49 to 1.94); p = 0.93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/60 (%)</w:t>
            </w:r>
          </w:p>
        </w:tc>
        <w:tc>
          <w:p>
            <w:pPr>
              <w:pStyle w:val="Compact"/>
              <w:jc w:val="left"/>
            </w:pPr>
            <w:r>
              <w:t xml:space="preserve">/50 (%)</w:t>
            </w:r>
          </w:p>
        </w:tc>
        <w:tc>
          <w:p>
            <w:pPr>
              <w:pStyle w:val="Compact"/>
              <w:jc w:val="left"/>
            </w:pPr>
            <w:r>
              <w:t xml:space="preserve">0.82 (0.48 to 1.4); p = 0.47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/90 (%)</w:t>
            </w:r>
          </w:p>
        </w:tc>
        <w:tc>
          <w:p>
            <w:pPr>
              <w:pStyle w:val="Compact"/>
              <w:jc w:val="left"/>
            </w:pPr>
            <w:r>
              <w:t xml:space="preserve">/94 (%)</w:t>
            </w:r>
          </w:p>
        </w:tc>
        <w:tc>
          <w:p>
            <w:pPr>
              <w:pStyle w:val="Compact"/>
              <w:jc w:val="left"/>
            </w:pPr>
            <w:r>
              <w:t xml:space="preserve">0.71 (0.47 to 1.08); p = 0.11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/163 (%)</w:t>
            </w:r>
          </w:p>
        </w:tc>
        <w:tc>
          <w:p>
            <w:pPr>
              <w:pStyle w:val="Compact"/>
              <w:jc w:val="left"/>
            </w:pPr>
            <w:r>
              <w:t xml:space="preserve">/153 (%)</w:t>
            </w:r>
          </w:p>
        </w:tc>
        <w:tc>
          <w:p>
            <w:pPr>
              <w:pStyle w:val="Compact"/>
              <w:jc w:val="left"/>
            </w:pPr>
            <w:r>
              <w:t xml:space="preserve">0.77 (0.54 to 1.11); p = 0.16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/47 (%)</w:t>
            </w:r>
          </w:p>
        </w:tc>
        <w:tc>
          <w:p>
            <w:pPr>
              <w:pStyle w:val="Compact"/>
              <w:jc w:val="left"/>
            </w:pPr>
            <w:r>
              <w:t xml:space="preserve">/53 (%)</w:t>
            </w:r>
          </w:p>
        </w:tc>
        <w:tc>
          <w:p>
            <w:pPr>
              <w:pStyle w:val="Compact"/>
              <w:jc w:val="left"/>
            </w:pPr>
            <w:r>
              <w:t xml:space="preserve">0.89 (0.5 to 1.57); p = 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/181 (%)</w:t>
            </w:r>
          </w:p>
        </w:tc>
        <w:tc>
          <w:p>
            <w:pPr>
              <w:pStyle w:val="Compact"/>
              <w:jc w:val="left"/>
            </w:pPr>
            <w:r>
              <w:t xml:space="preserve">/166 (%)</w:t>
            </w:r>
          </w:p>
        </w:tc>
        <w:tc>
          <w:p>
            <w:pPr>
              <w:pStyle w:val="Compact"/>
              <w:jc w:val="left"/>
            </w:pPr>
            <w:r>
              <w:t xml:space="preserve">0.82 (0.58 to 1.15); p = 0.25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/33 (%)</w:t>
            </w:r>
          </w:p>
        </w:tc>
        <w:tc>
          <w:p>
            <w:pPr>
              <w:pStyle w:val="Compact"/>
              <w:jc w:val="left"/>
            </w:pPr>
            <w:r>
              <w:t xml:space="preserve">/43 (%)</w:t>
            </w:r>
          </w:p>
        </w:tc>
        <w:tc>
          <w:p>
            <w:pPr>
              <w:pStyle w:val="Compact"/>
              <w:jc w:val="left"/>
            </w:pPr>
            <w:r>
              <w:t xml:space="preserve">0.65 (0.33 to 1.26); p = 0.2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/108 (%)</w:t>
            </w:r>
          </w:p>
        </w:tc>
        <w:tc>
          <w:p>
            <w:pPr>
              <w:pStyle w:val="Compact"/>
              <w:jc w:val="left"/>
            </w:pPr>
            <w:r>
              <w:t xml:space="preserve">/105 (%)</w:t>
            </w:r>
          </w:p>
        </w:tc>
        <w:tc>
          <w:p>
            <w:pPr>
              <w:pStyle w:val="Compact"/>
              <w:jc w:val="left"/>
            </w:pPr>
            <w:r>
              <w:t xml:space="preserve">0.79 (0.49 to 1.26); p = 0.32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/102 (%)</w:t>
            </w:r>
          </w:p>
        </w:tc>
        <w:tc>
          <w:p>
            <w:pPr>
              <w:pStyle w:val="Compact"/>
              <w:jc w:val="left"/>
            </w:pPr>
            <w:r>
              <w:t xml:space="preserve">/101 (%)</w:t>
            </w:r>
          </w:p>
        </w:tc>
        <w:tc>
          <w:p>
            <w:pPr>
              <w:pStyle w:val="Compact"/>
              <w:jc w:val="left"/>
            </w:pPr>
            <w:r>
              <w:t xml:space="preserve">0.82 (0.55 to 1.22); p = 0.32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p>
      <w:pPr>
        <w:pStyle w:val="Heading4"/>
      </w:pPr>
      <w:bookmarkStart w:id="44" w:name="new-models-4"/>
      <w:r>
        <w:t xml:space="preserve">New models</w:t>
      </w:r>
      <w:bookmarkEnd w:id="44"/>
    </w:p>
    <w:p>
      <w:pPr>
        <w:pStyle w:val="FirstParagraph"/>
      </w:pPr>
      <w:r>
        <w:t xml:space="preserve">Predicted outcomes from logistic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Logged values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47" w:name="count-outcomes"/>
      <w:r>
        <w:t xml:space="preserve">Count outcomes</w:t>
      </w:r>
      <w:bookmarkEnd w:id="47"/>
    </w:p>
    <w:p>
      <w:pPr>
        <w:pStyle w:val="FirstParagraph"/>
      </w:pPr>
      <w:r>
        <w:t xml:space="preserve">HTE was estimated using quasi-poisson models with an interaction between treatment arms and a given baseline lab value (one for each model). Lab values were modeled with restricted cubic splines with 4 knots, and each model is adjusted for age and an offset for time at risk when relevant.</w:t>
      </w:r>
    </w:p>
    <w:p>
      <w:pPr>
        <w:pStyle w:val="BodyText"/>
      </w:pPr>
      <w:r>
        <w:t xml:space="preserve">Alternately, HTE was estimated using the same categorized versions of baseline ferritin, TSAT and their combinations (either low and both low), following what was previously done with negative binomial models (</w:t>
      </w:r>
      <w:r>
        <w:rPr>
          <w:b/>
        </w:rPr>
        <w:t xml:space="preserve">Original models</w:t>
      </w:r>
      <w:r>
        <w:t xml:space="preserve">).</w:t>
      </w:r>
    </w:p>
    <w:p>
      <w:pPr>
        <w:pStyle w:val="Heading3"/>
      </w:pPr>
      <w:bookmarkStart w:id="48" w:name="X1c8790dace5d7736410e80b0618e5794540d2f9"/>
      <w:r>
        <w:t xml:space="preserve">Second primary outcome - Number of tranfusions at 30 days</w:t>
      </w:r>
      <w:bookmarkEnd w:id="48"/>
    </w:p>
    <w:p>
      <w:pPr>
        <w:pStyle w:val="Heading4"/>
      </w:pPr>
      <w:bookmarkStart w:id="49" w:name="original-models-4"/>
      <w:r>
        <w:t xml:space="preserve">Original models</w:t>
      </w:r>
      <w:bookmarkEnd w:id="49"/>
    </w:p>
    <w:tbl>
      <w:tblPr>
        <w:tblStyle w:val="Table"/>
        <w:tblW w:type="pct" w:w="4999.999999999999"/>
        <w:tblLook w:firstRow="1"/>
      </w:tblPr>
      <w:tblGrid>
        <w:gridCol w:w="4030"/>
        <w:gridCol w:w="707"/>
        <w:gridCol w:w="707"/>
        <w:gridCol w:w="2121"/>
        <w:gridCol w:w="3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0.5 ± 1.1</w:t>
            </w:r>
          </w:p>
        </w:tc>
        <w:tc>
          <w:p>
            <w:pPr>
              <w:pStyle w:val="Compact"/>
              <w:jc w:val="left"/>
            </w:pPr>
            <w:r>
              <w:t xml:space="preserve">0.2 ± 0.5</w:t>
            </w:r>
          </w:p>
        </w:tc>
        <w:tc>
          <w:p>
            <w:pPr>
              <w:pStyle w:val="Compact"/>
              <w:jc w:val="left"/>
            </w:pPr>
            <w:r>
              <w:t xml:space="preserve">0.48 (0.21 to 1.07); p = 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0.4 ± 0.9</w:t>
            </w:r>
          </w:p>
        </w:tc>
        <w:tc>
          <w:p>
            <w:pPr>
              <w:pStyle w:val="Compact"/>
              <w:jc w:val="left"/>
            </w:pPr>
            <w:r>
              <w:t xml:space="preserve">0.7 ± 1.3</w:t>
            </w:r>
          </w:p>
        </w:tc>
        <w:tc>
          <w:p>
            <w:pPr>
              <w:pStyle w:val="Compact"/>
              <w:jc w:val="left"/>
            </w:pPr>
            <w:r>
              <w:t xml:space="preserve">1.56 (0.75 to 3.23); p = 0.23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0.5 ± 0.8</w:t>
            </w:r>
          </w:p>
        </w:tc>
        <w:tc>
          <w:p>
            <w:pPr>
              <w:pStyle w:val="Compact"/>
              <w:jc w:val="left"/>
            </w:pPr>
            <w:r>
              <w:t xml:space="preserve">0.5 ± 0.9</w:t>
            </w:r>
          </w:p>
        </w:tc>
        <w:tc>
          <w:p>
            <w:pPr>
              <w:pStyle w:val="Compact"/>
              <w:jc w:val="left"/>
            </w:pPr>
            <w:r>
              <w:t xml:space="preserve">1.07 (0.65 to 1.78); p = 0.78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0.92 (0.6 to 1.4); p = 0.7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0.3 ± 0.7</w:t>
            </w:r>
          </w:p>
        </w:tc>
        <w:tc>
          <w:p>
            <w:pPr>
              <w:pStyle w:val="Compact"/>
              <w:jc w:val="left"/>
            </w:pPr>
            <w:r>
              <w:t xml:space="preserve">0.4 ± 0.7</w:t>
            </w:r>
          </w:p>
        </w:tc>
        <w:tc>
          <w:p>
            <w:pPr>
              <w:pStyle w:val="Compact"/>
              <w:jc w:val="left"/>
            </w:pPr>
            <w:r>
              <w:t xml:space="preserve">1.55 (0.63 to 3.8); p = 0.34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0.95 (0.63 to 1.43); p = 0.8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0.3 ± 0.6</w:t>
            </w:r>
          </w:p>
        </w:tc>
        <w:tc>
          <w:p>
            <w:pPr>
              <w:pStyle w:val="Compact"/>
              <w:jc w:val="left"/>
            </w:pPr>
            <w:r>
              <w:t xml:space="preserve">0.4 ± 0.8</w:t>
            </w:r>
          </w:p>
        </w:tc>
        <w:tc>
          <w:p>
            <w:pPr>
              <w:pStyle w:val="Compact"/>
              <w:jc w:val="left"/>
            </w:pPr>
            <w:r>
              <w:t xml:space="preserve">1.72 (0.66 to 4.51); p = 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0.4 ± 0.9</w:t>
            </w:r>
          </w:p>
        </w:tc>
        <w:tc>
          <w:p>
            <w:pPr>
              <w:pStyle w:val="Compact"/>
              <w:jc w:val="left"/>
            </w:pPr>
            <w:r>
              <w:t xml:space="preserve">0.88 (0.49 to 1.55); p = 0.65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0.5 ± 0.8</w:t>
            </w:r>
          </w:p>
        </w:tc>
        <w:tc>
          <w:p>
            <w:pPr>
              <w:pStyle w:val="Compact"/>
              <w:jc w:val="left"/>
            </w:pPr>
            <w:r>
              <w:t xml:space="preserve">0.5 ± 0.9</w:t>
            </w:r>
          </w:p>
        </w:tc>
        <w:tc>
          <w:p>
            <w:pPr>
              <w:pStyle w:val="Compact"/>
              <w:jc w:val="left"/>
            </w:pPr>
            <w:r>
              <w:t xml:space="preserve">1.14 (0.69 to 1.89); p = 0.61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BodyText"/>
      </w:pPr>
      <w:r>
        <w:t xml:space="preserve">(30 day mortality offset makes this match original result)</w:t>
      </w:r>
    </w:p>
    <w:p>
      <w:pPr>
        <w:pStyle w:val="Heading4"/>
      </w:pPr>
      <w:bookmarkStart w:id="50" w:name="new-models-5"/>
      <w:r>
        <w:t xml:space="preserve">New models</w:t>
      </w:r>
      <w:bookmarkEnd w:id="50"/>
    </w:p>
    <w:p>
      <w:pPr>
        <w:pStyle w:val="FirstParagraph"/>
      </w:pPr>
      <w:r>
        <w:t xml:space="preserve">Predicted outcomes from quasi-Poison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Logged values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54" w:name="units-of-blood-to-30-days-excluding-lbt"/>
      <w:r>
        <w:t xml:space="preserve">Units of blood to 30 days (excluding LBT)</w:t>
      </w:r>
      <w:bookmarkEnd w:id="54"/>
    </w:p>
    <w:p>
      <w:pPr>
        <w:pStyle w:val="Heading4"/>
      </w:pPr>
      <w:bookmarkStart w:id="55" w:name="original-models-5"/>
      <w:r>
        <w:t xml:space="preserve">Original models</w:t>
      </w:r>
      <w:bookmarkEnd w:id="55"/>
    </w:p>
    <w:tbl>
      <w:tblPr>
        <w:tblStyle w:val="Table"/>
        <w:tblW w:type="pct" w:w="4999.999999999999"/>
        <w:tblLook w:firstRow="1"/>
      </w:tblPr>
      <w:tblGrid>
        <w:gridCol w:w="4030"/>
        <w:gridCol w:w="707"/>
        <w:gridCol w:w="707"/>
        <w:gridCol w:w="2121"/>
        <w:gridCol w:w="3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0.5 ± 1.1</w:t>
            </w:r>
          </w:p>
        </w:tc>
        <w:tc>
          <w:p>
            <w:pPr>
              <w:pStyle w:val="Compact"/>
              <w:jc w:val="left"/>
            </w:pPr>
            <w:r>
              <w:t xml:space="preserve">0.2 ± 0.5</w:t>
            </w:r>
          </w:p>
        </w:tc>
        <w:tc>
          <w:p>
            <w:pPr>
              <w:pStyle w:val="Compact"/>
              <w:jc w:val="left"/>
            </w:pPr>
            <w:r>
              <w:t xml:space="preserve">0.46 (0.19 to 1.11); p = 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0.4 ± 0.9</w:t>
            </w:r>
          </w:p>
        </w:tc>
        <w:tc>
          <w:p>
            <w:pPr>
              <w:pStyle w:val="Compact"/>
              <w:jc w:val="left"/>
            </w:pPr>
            <w:r>
              <w:t xml:space="preserve">0.7 ± 1.3</w:t>
            </w:r>
          </w:p>
        </w:tc>
        <w:tc>
          <w:p>
            <w:pPr>
              <w:pStyle w:val="Compact"/>
              <w:jc w:val="left"/>
            </w:pPr>
            <w:r>
              <w:t xml:space="preserve">1.55 (0.71 to 3.38); p = 0.27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0.5 ± 0.8</w:t>
            </w:r>
          </w:p>
        </w:tc>
        <w:tc>
          <w:p>
            <w:pPr>
              <w:pStyle w:val="Compact"/>
              <w:jc w:val="left"/>
            </w:pPr>
            <w:r>
              <w:t xml:space="preserve">0.5 ± 0.9</w:t>
            </w:r>
          </w:p>
        </w:tc>
        <w:tc>
          <w:p>
            <w:pPr>
              <w:pStyle w:val="Compact"/>
              <w:jc w:val="left"/>
            </w:pPr>
            <w:r>
              <w:t xml:space="preserve">1.08 (0.6 to 1.93); p = 0.8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0.92 (0.57 to 1.47); p = 0.72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0.3 ± 0.7</w:t>
            </w:r>
          </w:p>
        </w:tc>
        <w:tc>
          <w:p>
            <w:pPr>
              <w:pStyle w:val="Compact"/>
              <w:jc w:val="left"/>
            </w:pPr>
            <w:r>
              <w:t xml:space="preserve">0.4 ± 0.7</w:t>
            </w:r>
          </w:p>
        </w:tc>
        <w:tc>
          <w:p>
            <w:pPr>
              <w:pStyle w:val="Compact"/>
              <w:jc w:val="left"/>
            </w:pPr>
            <w:r>
              <w:t xml:space="preserve">1.58 (0.58 to 4.26); p = 0.37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0.95 (0.6 to 1.5); p = 0.81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0.3 ± 0.6</w:t>
            </w:r>
          </w:p>
        </w:tc>
        <w:tc>
          <w:p>
            <w:pPr>
              <w:pStyle w:val="Compact"/>
              <w:jc w:val="left"/>
            </w:pPr>
            <w:r>
              <w:t xml:space="preserve">0.4 ± 0.8</w:t>
            </w:r>
          </w:p>
        </w:tc>
        <w:tc>
          <w:p>
            <w:pPr>
              <w:pStyle w:val="Compact"/>
              <w:jc w:val="left"/>
            </w:pPr>
            <w:r>
              <w:t xml:space="preserve">1.54 (0.52 to 4.57); p = 0.44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0.4 ± 0.9</w:t>
            </w:r>
          </w:p>
        </w:tc>
        <w:tc>
          <w:p>
            <w:pPr>
              <w:pStyle w:val="Compact"/>
              <w:jc w:val="left"/>
            </w:pPr>
            <w:r>
              <w:t xml:space="preserve">0.84 (0.45 to 1.59); p = 0.6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0.5 ± 0.8</w:t>
            </w:r>
          </w:p>
        </w:tc>
        <w:tc>
          <w:p>
            <w:pPr>
              <w:pStyle w:val="Compact"/>
              <w:jc w:val="left"/>
            </w:pPr>
            <w:r>
              <w:t xml:space="preserve">0.5 ± 0.9</w:t>
            </w:r>
          </w:p>
        </w:tc>
        <w:tc>
          <w:p>
            <w:pPr>
              <w:pStyle w:val="Compact"/>
              <w:jc w:val="left"/>
            </w:pPr>
            <w:r>
              <w:t xml:space="preserve">1.19 (0.67 to 2.12); p = 0.54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Heading4"/>
      </w:pPr>
      <w:bookmarkStart w:id="56" w:name="new-models-6"/>
      <w:r>
        <w:t xml:space="preserve">New models</w:t>
      </w:r>
      <w:bookmarkEnd w:id="56"/>
    </w:p>
    <w:p>
      <w:pPr>
        <w:pStyle w:val="FirstParagraph"/>
      </w:pPr>
      <w:r>
        <w:t xml:space="preserve">Predicted outcomes from logistic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Logged values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3"/>
      </w:pPr>
      <w:bookmarkStart w:id="59" w:name="units-of-blood-to-6-months-exluding-lbt"/>
      <w:r>
        <w:t xml:space="preserve">Units of blood to 6 months (exluding LBT)</w:t>
      </w:r>
      <w:bookmarkEnd w:id="59"/>
    </w:p>
    <w:p>
      <w:pPr>
        <w:pStyle w:val="Heading4"/>
      </w:pPr>
      <w:bookmarkStart w:id="60" w:name="original-models-6"/>
      <w:r>
        <w:t xml:space="preserve">Original models</w:t>
      </w:r>
      <w:bookmarkEnd w:id="60"/>
    </w:p>
    <w:tbl>
      <w:tblPr>
        <w:tblStyle w:val="Table"/>
        <w:tblW w:type="pct" w:w="4999.999999999999"/>
        <w:tblLook w:firstRow="1"/>
      </w:tblPr>
      <w:tblGrid>
        <w:gridCol w:w="4030"/>
        <w:gridCol w:w="707"/>
        <w:gridCol w:w="707"/>
        <w:gridCol w:w="2121"/>
        <w:gridCol w:w="3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&lt; 30</w:t>
            </w:r>
          </w:p>
        </w:tc>
        <w:tc>
          <w:p>
            <w:pPr>
              <w:pStyle w:val="Compact"/>
              <w:jc w:val="left"/>
            </w:pPr>
            <w:r>
              <w:t xml:space="preserve">0.5 ± 1.1</w:t>
            </w:r>
          </w:p>
        </w:tc>
        <w:tc>
          <w:p>
            <w:pPr>
              <w:pStyle w:val="Compact"/>
              <w:jc w:val="left"/>
            </w:pPr>
            <w:r>
              <w:t xml:space="preserve">0.2 ± 0.5</w:t>
            </w:r>
          </w:p>
        </w:tc>
        <w:tc>
          <w:p>
            <w:pPr>
              <w:pStyle w:val="Compact"/>
              <w:jc w:val="left"/>
            </w:pPr>
            <w:r>
              <w:t xml:space="preserve">0.61 (0.26 to 1.4); p = 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30 - 100</w:t>
            </w:r>
          </w:p>
        </w:tc>
        <w:tc>
          <w:p>
            <w:pPr>
              <w:pStyle w:val="Compact"/>
              <w:jc w:val="left"/>
            </w:pPr>
            <w:r>
              <w:t xml:space="preserve">0.4 ± 0.9</w:t>
            </w:r>
          </w:p>
        </w:tc>
        <w:tc>
          <w:p>
            <w:pPr>
              <w:pStyle w:val="Compact"/>
              <w:jc w:val="left"/>
            </w:pPr>
            <w:r>
              <w:t xml:space="preserve">0.7 ± 1.3</w:t>
            </w:r>
          </w:p>
        </w:tc>
        <w:tc>
          <w:p>
            <w:pPr>
              <w:pStyle w:val="Compact"/>
              <w:jc w:val="left"/>
            </w:pPr>
            <w:r>
              <w:t xml:space="preserve">1.5 (0.68 to 3.29); p = 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tdl_ferritin_bl_cat_2 &gt;= 100</w:t>
            </w:r>
          </w:p>
        </w:tc>
        <w:tc>
          <w:p>
            <w:pPr>
              <w:pStyle w:val="Compact"/>
              <w:jc w:val="left"/>
            </w:pPr>
            <w:r>
              <w:t xml:space="preserve">0.5 ± 0.8</w:t>
            </w:r>
          </w:p>
        </w:tc>
        <w:tc>
          <w:p>
            <w:pPr>
              <w:pStyle w:val="Compact"/>
              <w:jc w:val="left"/>
            </w:pPr>
            <w:r>
              <w:t xml:space="preserve">0.5 ± 0.9</w:t>
            </w:r>
          </w:p>
        </w:tc>
        <w:tc>
          <w:p>
            <w:pPr>
              <w:pStyle w:val="Compact"/>
              <w:jc w:val="left"/>
            </w:pPr>
            <w:r>
              <w:t xml:space="preserve">0.76 (0.43 to 1.35); p = 0.34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0.8 (0.5 to 1.27); p = 0.34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tdl_tsat_bl_cat &gt;= 20</w:t>
            </w:r>
          </w:p>
        </w:tc>
        <w:tc>
          <w:p>
            <w:pPr>
              <w:pStyle w:val="Compact"/>
              <w:jc w:val="left"/>
            </w:pPr>
            <w:r>
              <w:t xml:space="preserve">0.3 ± 0.7</w:t>
            </w:r>
          </w:p>
        </w:tc>
        <w:tc>
          <w:p>
            <w:pPr>
              <w:pStyle w:val="Compact"/>
              <w:jc w:val="left"/>
            </w:pPr>
            <w:r>
              <w:t xml:space="preserve">0.4 ± 0.7</w:t>
            </w:r>
          </w:p>
        </w:tc>
        <w:tc>
          <w:p>
            <w:pPr>
              <w:pStyle w:val="Compact"/>
              <w:jc w:val="left"/>
            </w:pPr>
            <w:r>
              <w:t xml:space="preserve">1.55 (0.61 to 3.94); p = 0.35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&lt; 100 OR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0.84 (0.53 to 1.31); p = 0.44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fer_tsat_or tdl_ferritin_bl &gt;= 100 and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0.3 ± 0.6</w:t>
            </w:r>
          </w:p>
        </w:tc>
        <w:tc>
          <w:p>
            <w:pPr>
              <w:pStyle w:val="Compact"/>
              <w:jc w:val="left"/>
            </w:pPr>
            <w:r>
              <w:t xml:space="preserve">0.4 ± 0.8</w:t>
            </w:r>
          </w:p>
        </w:tc>
        <w:tc>
          <w:p>
            <w:pPr>
              <w:pStyle w:val="Compact"/>
              <w:jc w:val="left"/>
            </w:pPr>
            <w:r>
              <w:t xml:space="preserve">1.41 (0.5 to 3.96); p = 0.52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&lt; 100 AND tdl_tsat_bl &lt; 20</w:t>
            </w:r>
          </w:p>
        </w:tc>
        <w:tc>
          <w:p>
            <w:pPr>
              <w:pStyle w:val="Compact"/>
              <w:jc w:val="left"/>
            </w:pPr>
            <w:r>
              <w:t xml:space="preserve">0.5 ± 1</w:t>
            </w:r>
          </w:p>
        </w:tc>
        <w:tc>
          <w:p>
            <w:pPr>
              <w:pStyle w:val="Compact"/>
              <w:jc w:val="left"/>
            </w:pPr>
            <w:r>
              <w:t xml:space="preserve">0.4 ± 0.9</w:t>
            </w:r>
          </w:p>
        </w:tc>
        <w:tc>
          <w:p>
            <w:pPr>
              <w:pStyle w:val="Compact"/>
              <w:jc w:val="left"/>
            </w:pPr>
            <w:r>
              <w:t xml:space="preserve">0.94 (0.51 to 1.73); p = 0.83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fer_tsat_and tdl_ferritin_bl &gt;= 100 or tdl_tsat_bl &gt;= 20</w:t>
            </w:r>
          </w:p>
        </w:tc>
        <w:tc>
          <w:p>
            <w:pPr>
              <w:pStyle w:val="Compact"/>
              <w:jc w:val="left"/>
            </w:pPr>
            <w:r>
              <w:t xml:space="preserve">0.5 ± 0.8</w:t>
            </w:r>
          </w:p>
        </w:tc>
        <w:tc>
          <w:p>
            <w:pPr>
              <w:pStyle w:val="Compact"/>
              <w:jc w:val="left"/>
            </w:pPr>
            <w:r>
              <w:t xml:space="preserve">0.5 ± 0.9</w:t>
            </w:r>
          </w:p>
        </w:tc>
        <w:tc>
          <w:p>
            <w:pPr>
              <w:pStyle w:val="Compact"/>
              <w:jc w:val="left"/>
            </w:pPr>
            <w:r>
              <w:t xml:space="preserve">0.85 (0.48 to 1.49); p = 0.57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Heading4"/>
      </w:pPr>
      <w:bookmarkStart w:id="61" w:name="new-models-7"/>
      <w:r>
        <w:t xml:space="preserve">New models</w:t>
      </w:r>
      <w:bookmarkEnd w:id="61"/>
    </w:p>
    <w:p>
      <w:pPr>
        <w:pStyle w:val="FirstParagraph"/>
      </w:pPr>
      <w:r>
        <w:t xml:space="preserve">Predicted outcomes from logistic regression models of the outcome with an interaction between treatment arm and a given baseline lab value (modeled continuously with splines).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Logged values</w:t>
      </w:r>
    </w:p>
    <w:p>
      <w:pPr>
        <w:pStyle w:val="BodyText"/>
      </w:pPr>
      <w:r>
        <w:drawing>
          <wp:inline>
            <wp:extent cx="5943600" cy="35624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02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d.f.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Hb g/L (log10)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ferritin (log10)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6.29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tsat (log10)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iron (log10)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TDL baseline tibc (log10)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64" w:name="end-matter"/>
      <w:r>
        <w:t xml:space="preserve">End matter</w:t>
      </w:r>
      <w:bookmarkEnd w:id="6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System: Windows 10 x64 build 18363</w:t>
      </w:r>
      <w:r>
        <w:br/>
      </w:r>
      <w:r>
        <w:rPr>
          <w:rStyle w:val="VerbatimChar"/>
        </w:rPr>
        <w:t xml:space="preserve">## Nodename: DESKTOP-JKQ7LTN, User: Darren</w:t>
      </w:r>
      <w:r>
        <w:br/>
      </w:r>
      <w:r>
        <w:rPr>
          <w:rStyle w:val="VerbatimChar"/>
        </w:rPr>
        <w:t xml:space="preserve">## Total Memory: 16168 MB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version 4.0.3 (2020-10-10) </w:t>
      </w:r>
      <w:r>
        <w:br/>
      </w:r>
      <w:r>
        <w:rPr>
          <w:rStyle w:val="VerbatimChar"/>
        </w:rPr>
        <w:t xml:space="preserve">## x86_64-w64-mingw32/x64 (64-bit)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Packages: </w:t>
      </w:r>
      <w:r>
        <w:br/>
      </w:r>
      <w:r>
        <w:rPr>
          <w:rStyle w:val="VerbatimChar"/>
        </w:rPr>
        <w:t xml:space="preserve">##  broom (0.7.1), patchwork (1.0.1), rms (6.0-1), SparseM (1.78), Hmisc (4.4-1), Formula (1.2-3), survival (3.2-7), lattice (0.20-41), knitr (1.30), viridis (0.5.1), viridisLite (0.3.0), forcats (0.5.0), stringr (1.4.0), dplyr (1.0.2), purrr (0.3.4), readr (1.4.0), tidyr (1.1.2), tibble (3.0.4), ggplot2 (3.3.2), tidyverse (1.3.0), descr (1.1.4), MASS (7.3-53), logbin (2.0.4)</w:t>
      </w:r>
    </w:p>
    <w:sectPr w:rsidR="00014A4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728F3"/>
    <w:multiLevelType w:val="multilevel"/>
    <w:tmpl w:val="28826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FD931E"/>
    <w:multiLevelType w:val="multilevel"/>
    <w:tmpl w:val="AD08B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7927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B47DE2"/>
    <w:multiLevelType w:val="multilevel"/>
    <w:tmpl w:val="EA3A6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DD02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49835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60C4B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39062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4A16A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5A48F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3AE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9B49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530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785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37E5B7"/>
    <w:multiLevelType w:val="multilevel"/>
    <w:tmpl w:val="B958F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38DA07"/>
    <w:multiLevelType w:val="multilevel"/>
    <w:tmpl w:val="A1024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BE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BodyText"/>
    <w:next w:val="BodyText"/>
    <w:uiPriority w:val="9"/>
    <w:qFormat/>
    <w:rsid w:val="00C81083"/>
    <w:pPr>
      <w:outlineLvl w:val="0"/>
    </w:pPr>
    <w:rPr>
      <w:b/>
      <w:sz w:val="28"/>
      <w:szCs w:val="28"/>
    </w:rPr>
  </w:style>
  <w:style w:type="paragraph" w:styleId="Heading2">
    <w:name w:val="heading 2"/>
    <w:basedOn w:val="BodyText"/>
    <w:next w:val="BodyText"/>
    <w:uiPriority w:val="9"/>
    <w:unhideWhenUsed/>
    <w:qFormat/>
    <w:rsid w:val="00C81083"/>
    <w:pPr>
      <w:outlineLvl w:val="1"/>
    </w:pPr>
    <w:rPr>
      <w:i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C81083"/>
    <w:pPr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C81083"/>
    <w:pPr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1083"/>
    <w:pPr>
      <w:spacing w:before="180" w:after="180"/>
    </w:pPr>
    <w:rPr>
      <w:rFonts w:ascii="Georgia" w:hAnsi="Georg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Spacing"/>
    <w:next w:val="NoSpacing"/>
    <w:qFormat/>
    <w:rsid w:val="009937AF"/>
  </w:style>
  <w:style w:type="paragraph" w:styleId="Title">
    <w:name w:val="Title"/>
    <w:basedOn w:val="Normal"/>
    <w:next w:val="BodyText"/>
    <w:qFormat/>
    <w:rsid w:val="00D44F97"/>
    <w:pPr>
      <w:keepNext/>
      <w:keepLines/>
      <w:spacing w:before="480" w:after="240"/>
      <w:jc w:val="center"/>
    </w:pPr>
    <w:rPr>
      <w:rFonts w:ascii="Georgia" w:eastAsiaTheme="majorEastAsia" w:hAnsi="Georg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44F97"/>
    <w:pPr>
      <w:keepNext/>
      <w:keepLines/>
      <w:jc w:val="center"/>
    </w:pPr>
    <w:rPr>
      <w:rFonts w:ascii="Georgia" w:hAnsi="Georgia" w:cs="Arial"/>
    </w:rPr>
  </w:style>
  <w:style w:type="paragraph" w:styleId="Date">
    <w:name w:val="Date"/>
    <w:next w:val="BodyText"/>
    <w:qFormat/>
    <w:rsid w:val="00D44F97"/>
    <w:pPr>
      <w:keepNext/>
      <w:keepLines/>
      <w:jc w:val="center"/>
    </w:pPr>
    <w:rPr>
      <w:rFonts w:ascii="Georgia" w:hAnsi="Georgia" w:cs="Arial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qFormat/>
    <w:rsid w:val="0071553F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1083"/>
    <w:rPr>
      <w:rFonts w:ascii="Georgia" w:hAnsi="Georgia" w:cs="Arial"/>
    </w:rPr>
  </w:style>
  <w:style w:type="paragraph" w:styleId="NormalWeb">
    <w:name w:val="Normal (Web)"/>
    <w:basedOn w:val="Normal"/>
    <w:unhideWhenUsed/>
    <w:rsid w:val="00D008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2020-11-25T11:27:41Z</dcterms:created>
  <dcterms:modified xsi:type="dcterms:W3CDTF">2020-11-25T11:27:41Z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