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BC51" w14:textId="2D3AD474" w:rsidR="008223FF" w:rsidRPr="00B3716E" w:rsidRDefault="004A0527" w:rsidP="008223FF">
      <w:pPr>
        <w:spacing w:after="12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Evaluation</w:t>
      </w:r>
      <w:r w:rsidR="00A77608">
        <w:rPr>
          <w:rFonts w:cstheme="minorHAnsi"/>
          <w:b/>
        </w:rPr>
        <w:t xml:space="preserve"> of serum phosphate levels in surgical patients receiving intravenous Ferric </w:t>
      </w:r>
      <w:proofErr w:type="spellStart"/>
      <w:r w:rsidR="00A77608">
        <w:rPr>
          <w:rFonts w:cstheme="minorHAnsi"/>
          <w:b/>
        </w:rPr>
        <w:t>Carboxymaltose</w:t>
      </w:r>
      <w:proofErr w:type="spellEnd"/>
    </w:p>
    <w:p w14:paraId="44D2A477" w14:textId="758FC380" w:rsidR="00041428" w:rsidRDefault="00041428" w:rsidP="004F5DE5">
      <w:pPr>
        <w:spacing w:line="360" w:lineRule="auto"/>
        <w:jc w:val="both"/>
      </w:pPr>
    </w:p>
    <w:p w14:paraId="2B751147" w14:textId="5BA5390A" w:rsidR="00EF739A" w:rsidRPr="00B3716E" w:rsidRDefault="00EF739A" w:rsidP="004F5DE5">
      <w:pPr>
        <w:spacing w:line="360" w:lineRule="auto"/>
        <w:jc w:val="both"/>
        <w:rPr>
          <w:rFonts w:cstheme="minorHAnsi"/>
        </w:rPr>
      </w:pPr>
      <w:r w:rsidRPr="00B3716E">
        <w:rPr>
          <w:rFonts w:cstheme="minorHAnsi"/>
          <w:b/>
        </w:rPr>
        <w:t>Linda K Wijaya, PhD</w:t>
      </w:r>
      <w:r w:rsidRPr="00B3716E">
        <w:rPr>
          <w:rFonts w:cstheme="minorHAnsi"/>
          <w:b/>
          <w:vertAlign w:val="superscript"/>
        </w:rPr>
        <w:t>1,2</w:t>
      </w:r>
      <w:r w:rsidRPr="00B3716E">
        <w:rPr>
          <w:rFonts w:cstheme="minorHAnsi"/>
          <w:b/>
        </w:rPr>
        <w:t>;</w:t>
      </w:r>
      <w:r w:rsidR="00B44EF8">
        <w:rPr>
          <w:rFonts w:cstheme="minorHAnsi"/>
          <w:b/>
        </w:rPr>
        <w:t xml:space="preserve"> </w:t>
      </w:r>
      <w:r w:rsidR="00B44EF8" w:rsidRPr="00B44EF8">
        <w:rPr>
          <w:rFonts w:cstheme="minorHAnsi"/>
          <w:b/>
        </w:rPr>
        <w:t>Darren Dahly, PhD</w:t>
      </w:r>
      <w:r w:rsidR="00B44EF8" w:rsidRPr="00B44EF8">
        <w:rPr>
          <w:rFonts w:cstheme="minorHAnsi"/>
          <w:b/>
          <w:vertAlign w:val="superscript"/>
        </w:rPr>
        <w:t>3</w:t>
      </w:r>
      <w:r w:rsidR="00B44EF8" w:rsidRPr="00B44EF8">
        <w:rPr>
          <w:rFonts w:cstheme="minorHAnsi"/>
          <w:b/>
        </w:rPr>
        <w:t>,</w:t>
      </w:r>
      <w:r w:rsidR="00B44EF8">
        <w:rPr>
          <w:rFonts w:cstheme="minorHAnsi"/>
          <w:b/>
        </w:rPr>
        <w:t xml:space="preserve"> The PREVENTT Team,</w:t>
      </w:r>
      <w:r w:rsidR="003A100B">
        <w:rPr>
          <w:rFonts w:cstheme="minorHAnsi"/>
          <w:b/>
        </w:rPr>
        <w:t xml:space="preserve"> </w:t>
      </w:r>
      <w:r w:rsidRPr="00B3716E">
        <w:rPr>
          <w:rFonts w:cstheme="minorHAnsi"/>
          <w:b/>
        </w:rPr>
        <w:t>Toby Richards, MD, PhD</w:t>
      </w:r>
      <w:r w:rsidR="00C55928">
        <w:rPr>
          <w:rFonts w:cstheme="minorHAnsi"/>
          <w:b/>
          <w:vertAlign w:val="superscript"/>
        </w:rPr>
        <w:t>1</w:t>
      </w:r>
      <w:r w:rsidRPr="00B3716E">
        <w:rPr>
          <w:rFonts w:cstheme="minorHAnsi"/>
        </w:rPr>
        <w:t xml:space="preserve"> </w:t>
      </w:r>
    </w:p>
    <w:p w14:paraId="25CAB30A" w14:textId="5B59CCDD" w:rsidR="00EF739A" w:rsidRPr="00B3716E" w:rsidRDefault="00C55928" w:rsidP="004F5DE5">
      <w:pPr>
        <w:spacing w:line="360" w:lineRule="auto"/>
        <w:jc w:val="both"/>
        <w:rPr>
          <w:rFonts w:cstheme="minorHAnsi"/>
        </w:rPr>
      </w:pPr>
      <w:r>
        <w:rPr>
          <w:rFonts w:cstheme="minorHAnsi"/>
          <w:vertAlign w:val="superscript"/>
        </w:rPr>
        <w:t>1</w:t>
      </w:r>
      <w:r w:rsidR="00EF739A" w:rsidRPr="00B3716E">
        <w:rPr>
          <w:rFonts w:cstheme="minorHAnsi"/>
        </w:rPr>
        <w:t>Division of Surgery, Medical School, Faculty of Health and Medical Sciences, University of Western Australia, Perth, Australia.</w:t>
      </w:r>
    </w:p>
    <w:p w14:paraId="55B59E87" w14:textId="54E63146" w:rsidR="00C55928" w:rsidRDefault="00C55928" w:rsidP="00C55928">
      <w:pPr>
        <w:spacing w:line="360" w:lineRule="auto"/>
        <w:jc w:val="both"/>
        <w:rPr>
          <w:rFonts w:cstheme="minorHAnsi"/>
        </w:rPr>
      </w:pPr>
      <w:r>
        <w:rPr>
          <w:rFonts w:cstheme="minorHAnsi"/>
          <w:vertAlign w:val="superscript"/>
        </w:rPr>
        <w:t>2</w:t>
      </w:r>
      <w:r w:rsidRPr="00B3716E">
        <w:rPr>
          <w:rFonts w:cstheme="minorHAnsi"/>
        </w:rPr>
        <w:t>College of Science, Health, Engineering and Education, Murdoch University, Perth, Western Australia, Australia</w:t>
      </w:r>
    </w:p>
    <w:p w14:paraId="1DFD1CC7" w14:textId="4120C635" w:rsidR="003F6C59" w:rsidRPr="00B3716E" w:rsidRDefault="003F6C59" w:rsidP="00C55928">
      <w:pPr>
        <w:spacing w:line="360" w:lineRule="auto"/>
        <w:jc w:val="both"/>
        <w:rPr>
          <w:rFonts w:cstheme="minorHAnsi"/>
        </w:rPr>
      </w:pPr>
      <w:r>
        <w:rPr>
          <w:rFonts w:cstheme="minorHAnsi"/>
          <w:vertAlign w:val="superscript"/>
        </w:rPr>
        <w:t xml:space="preserve">3 </w:t>
      </w:r>
      <w:r w:rsidRPr="003F6C59">
        <w:rPr>
          <w:rFonts w:cstheme="minorHAnsi"/>
        </w:rPr>
        <w:t>School of Public Health, University College Cork</w:t>
      </w:r>
      <w:r>
        <w:rPr>
          <w:rFonts w:cstheme="minorHAnsi"/>
        </w:rPr>
        <w:t>, Ireland</w:t>
      </w:r>
    </w:p>
    <w:p w14:paraId="274C0C00" w14:textId="0E8468BE" w:rsidR="00EF739A" w:rsidRDefault="00EF739A" w:rsidP="004F5DE5">
      <w:pPr>
        <w:spacing w:line="360" w:lineRule="auto"/>
        <w:jc w:val="both"/>
      </w:pPr>
    </w:p>
    <w:p w14:paraId="08B30C54" w14:textId="15EEC920" w:rsidR="003008E3" w:rsidRDefault="003008E3" w:rsidP="004F5DE5">
      <w:pPr>
        <w:spacing w:line="360" w:lineRule="auto"/>
        <w:jc w:val="both"/>
      </w:pPr>
      <w:r>
        <w:t xml:space="preserve">Categories / keywords: </w:t>
      </w:r>
      <w:r w:rsidR="00DA5071" w:rsidRPr="00DA5071">
        <w:t>Blood transfusion services / risks of transfusion</w:t>
      </w:r>
    </w:p>
    <w:p w14:paraId="6F743827" w14:textId="589B26C7" w:rsidR="00EF739A" w:rsidRDefault="00EF739A" w:rsidP="004F5DE5">
      <w:pPr>
        <w:spacing w:line="360" w:lineRule="auto"/>
        <w:jc w:val="both"/>
      </w:pPr>
    </w:p>
    <w:p w14:paraId="0EC5F0F5" w14:textId="6255BE23" w:rsidR="002A1662" w:rsidRPr="002A1662" w:rsidRDefault="00EF739A" w:rsidP="00791C35">
      <w:pPr>
        <w:spacing w:line="360" w:lineRule="auto"/>
        <w:jc w:val="both"/>
      </w:pPr>
      <w:r w:rsidRPr="00493E6C">
        <w:rPr>
          <w:b/>
          <w:bCs/>
        </w:rPr>
        <w:t>Introduction</w:t>
      </w:r>
      <w:r w:rsidR="008F38C6" w:rsidRPr="00493E6C">
        <w:rPr>
          <w:b/>
          <w:bCs/>
        </w:rPr>
        <w:t xml:space="preserve">: </w:t>
      </w:r>
      <w:r w:rsidR="006F1AA1" w:rsidRPr="006F1AA1">
        <w:t>The</w:t>
      </w:r>
      <w:r w:rsidR="006F1AA1">
        <w:rPr>
          <w:b/>
          <w:bCs/>
        </w:rPr>
        <w:t xml:space="preserve"> </w:t>
      </w:r>
      <w:r w:rsidR="006F1AA1">
        <w:t xml:space="preserve">PREVENTT trial </w:t>
      </w:r>
      <w:r w:rsidR="00AB100E">
        <w:t xml:space="preserve">was </w:t>
      </w:r>
      <w:r w:rsidR="006F1AA1">
        <w:t>a two-arm parallel double-blind randomized controlled trial aimed at understanding the effects of pre-operative intravenous iron in anaemic patients undergoing major abdominal surgery.</w:t>
      </w:r>
      <w:r w:rsidR="00850D6A">
        <w:t xml:space="preserve"> </w:t>
      </w:r>
      <w:r w:rsidR="00A70FC5">
        <w:t>As</w:t>
      </w:r>
      <w:r w:rsidR="00850D6A">
        <w:t xml:space="preserve"> </w:t>
      </w:r>
      <w:r w:rsidR="00A70FC5">
        <w:t xml:space="preserve">there is a risk of </w:t>
      </w:r>
      <w:r w:rsidR="00850D6A">
        <w:t>hypophosphatemia following iron transfusion</w:t>
      </w:r>
      <w:r w:rsidR="00A70FC5">
        <w:t>,</w:t>
      </w:r>
      <w:r w:rsidR="00850D6A">
        <w:t xml:space="preserve"> </w:t>
      </w:r>
      <w:r w:rsidR="00A70FC5">
        <w:t xml:space="preserve">an exploratory analysis was undertaken to determine </w:t>
      </w:r>
      <w:r w:rsidR="00850D6A">
        <w:t>whether this condition affects the patient outcomes</w:t>
      </w:r>
      <w:r w:rsidR="00791C35">
        <w:t xml:space="preserve">. </w:t>
      </w:r>
      <w:r w:rsidR="00236E5B">
        <w:t>S</w:t>
      </w:r>
      <w:r w:rsidR="002A1662">
        <w:rPr>
          <w:rFonts w:cstheme="minorHAnsi"/>
        </w:rPr>
        <w:t xml:space="preserve">erum phosphate levels </w:t>
      </w:r>
      <w:r w:rsidR="005014DB">
        <w:rPr>
          <w:rFonts w:cstheme="minorHAnsi"/>
        </w:rPr>
        <w:t xml:space="preserve">were evaluated </w:t>
      </w:r>
      <w:r w:rsidR="002A1662">
        <w:rPr>
          <w:rFonts w:cstheme="minorHAnsi"/>
        </w:rPr>
        <w:t xml:space="preserve">in surgical patients who had received intravenous iron or placebo and correlated </w:t>
      </w:r>
      <w:r w:rsidR="002A1662" w:rsidRPr="0042579E">
        <w:rPr>
          <w:rFonts w:cstheme="minorHAnsi"/>
        </w:rPr>
        <w:t xml:space="preserve">to the main </w:t>
      </w:r>
      <w:r w:rsidR="007A3976">
        <w:rPr>
          <w:rFonts w:cstheme="minorHAnsi"/>
        </w:rPr>
        <w:t>study</w:t>
      </w:r>
      <w:r w:rsidR="002A1662" w:rsidRPr="0042579E">
        <w:rPr>
          <w:rFonts w:cstheme="minorHAnsi"/>
        </w:rPr>
        <w:t xml:space="preserve"> </w:t>
      </w:r>
      <w:r w:rsidR="00464C91">
        <w:rPr>
          <w:rFonts w:cstheme="minorHAnsi"/>
        </w:rPr>
        <w:t xml:space="preserve">outcomes and </w:t>
      </w:r>
      <w:r w:rsidR="002A1662" w:rsidRPr="0042579E">
        <w:rPr>
          <w:rFonts w:cstheme="minorHAnsi"/>
        </w:rPr>
        <w:t>safety analysis</w:t>
      </w:r>
      <w:r w:rsidR="002A1662">
        <w:rPr>
          <w:rFonts w:cstheme="minorHAnsi"/>
        </w:rPr>
        <w:t>.</w:t>
      </w:r>
    </w:p>
    <w:p w14:paraId="1793F343" w14:textId="21E8160D" w:rsidR="00EF739A" w:rsidRDefault="00EF739A" w:rsidP="004F5DE5">
      <w:pPr>
        <w:spacing w:line="360" w:lineRule="auto"/>
        <w:jc w:val="both"/>
      </w:pPr>
    </w:p>
    <w:p w14:paraId="43E1F133" w14:textId="47CDAE02" w:rsidR="00493E6C" w:rsidRPr="002B32E2" w:rsidRDefault="00EF739A" w:rsidP="002B32E2">
      <w:pPr>
        <w:spacing w:line="360" w:lineRule="auto"/>
        <w:jc w:val="both"/>
        <w:rPr>
          <w:b/>
          <w:bCs/>
        </w:rPr>
      </w:pPr>
      <w:r w:rsidRPr="00493E6C">
        <w:rPr>
          <w:b/>
          <w:bCs/>
        </w:rPr>
        <w:t>Methods</w:t>
      </w:r>
      <w:r w:rsidR="00493E6C" w:rsidRPr="00493E6C">
        <w:rPr>
          <w:b/>
          <w:bCs/>
        </w:rPr>
        <w:t>:</w:t>
      </w:r>
      <w:r w:rsidR="002B32E2">
        <w:rPr>
          <w:b/>
          <w:bCs/>
        </w:rPr>
        <w:t xml:space="preserve"> </w:t>
      </w:r>
      <w:r w:rsidR="00F94C50">
        <w:rPr>
          <w:rFonts w:cstheme="minorHAnsi"/>
        </w:rPr>
        <w:t>The study</w:t>
      </w:r>
      <w:r w:rsidR="002B32E2">
        <w:rPr>
          <w:rFonts w:cstheme="minorHAnsi"/>
        </w:rPr>
        <w:t xml:space="preserve"> protocol</w:t>
      </w:r>
      <w:r w:rsidR="00F94C50">
        <w:rPr>
          <w:rFonts w:cstheme="minorHAnsi"/>
        </w:rPr>
        <w:t xml:space="preserve"> </w:t>
      </w:r>
      <w:r w:rsidR="002B32E2">
        <w:rPr>
          <w:rFonts w:cstheme="minorHAnsi"/>
        </w:rPr>
        <w:t xml:space="preserve">was approved by the UK National Research Ethics Committee East of England and </w:t>
      </w:r>
      <w:r w:rsidR="005014DB">
        <w:rPr>
          <w:rFonts w:cstheme="minorHAnsi"/>
        </w:rPr>
        <w:t xml:space="preserve">has </w:t>
      </w:r>
      <w:r w:rsidR="00F94C50">
        <w:rPr>
          <w:rFonts w:cstheme="minorHAnsi"/>
        </w:rPr>
        <w:t>been described elsewhere</w:t>
      </w:r>
      <w:r w:rsidR="00F94C50" w:rsidRPr="00C824DA">
        <w:rPr>
          <w:rFonts w:cstheme="minorHAnsi"/>
          <w:vertAlign w:val="superscript"/>
        </w:rPr>
        <w:fldChar w:fldCharType="begin">
          <w:fldData xml:space="preserve">PEVuZE5vdGU+PENpdGU+PEF1dGhvcj5SaWNoYXJkczwvQXV0aG9yPjxZZWFyPjIwMjA8L1llYXI+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</w:fldData>
        </w:fldChar>
      </w:r>
      <w:r w:rsidR="00F94C50" w:rsidRPr="00C824DA">
        <w:rPr>
          <w:rFonts w:cstheme="minorHAnsi"/>
          <w:vertAlign w:val="superscript"/>
        </w:rPr>
        <w:instrText xml:space="preserve"> ADDIN EN.CITE </w:instrText>
      </w:r>
      <w:r w:rsidR="00F94C50" w:rsidRPr="00C824DA">
        <w:rPr>
          <w:rFonts w:cstheme="minorHAnsi"/>
          <w:vertAlign w:val="superscript"/>
        </w:rPr>
        <w:fldChar w:fldCharType="begin">
          <w:fldData xml:space="preserve">PEVuZE5vdGU+PENpdGU+PEF1dGhvcj5SaWNoYXJkczwvQXV0aG9yPjxZZWFyPjIwMjA8L1llYXI+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</w:fldData>
        </w:fldChar>
      </w:r>
      <w:r w:rsidR="00F94C50" w:rsidRPr="00C824DA">
        <w:rPr>
          <w:rFonts w:cstheme="minorHAnsi"/>
          <w:vertAlign w:val="superscript"/>
        </w:rPr>
        <w:instrText xml:space="preserve"> ADDIN EN.CITE.DATA </w:instrText>
      </w:r>
      <w:r w:rsidR="00F94C50" w:rsidRPr="00C824DA">
        <w:rPr>
          <w:rFonts w:cstheme="minorHAnsi"/>
          <w:vertAlign w:val="superscript"/>
        </w:rPr>
      </w:r>
      <w:r w:rsidR="00F94C50" w:rsidRPr="00C824DA">
        <w:rPr>
          <w:rFonts w:cstheme="minorHAnsi"/>
          <w:vertAlign w:val="superscript"/>
        </w:rPr>
        <w:fldChar w:fldCharType="end"/>
      </w:r>
      <w:r w:rsidR="00F94C50" w:rsidRPr="00C824DA">
        <w:rPr>
          <w:rFonts w:cstheme="minorHAnsi"/>
          <w:vertAlign w:val="superscript"/>
        </w:rPr>
      </w:r>
      <w:r w:rsidR="00F94C50" w:rsidRPr="00C824DA">
        <w:rPr>
          <w:rFonts w:cstheme="minorHAnsi"/>
          <w:vertAlign w:val="superscript"/>
        </w:rPr>
        <w:fldChar w:fldCharType="separate"/>
      </w:r>
      <w:r w:rsidR="00F94C50" w:rsidRPr="00C824DA">
        <w:rPr>
          <w:rFonts w:cstheme="minorHAnsi"/>
          <w:noProof/>
          <w:vertAlign w:val="superscript"/>
        </w:rPr>
        <w:t>[1]</w:t>
      </w:r>
      <w:r w:rsidR="00F94C50" w:rsidRPr="00C824DA">
        <w:rPr>
          <w:rFonts w:cstheme="minorHAnsi"/>
          <w:vertAlign w:val="superscript"/>
        </w:rPr>
        <w:fldChar w:fldCharType="end"/>
      </w:r>
      <w:r w:rsidR="00F94C50">
        <w:rPr>
          <w:rFonts w:cstheme="minorHAnsi"/>
        </w:rPr>
        <w:t>.</w:t>
      </w:r>
      <w:r w:rsidR="00006F2C">
        <w:rPr>
          <w:rFonts w:cstheme="minorHAnsi"/>
        </w:rPr>
        <w:t xml:space="preserve"> A</w:t>
      </w:r>
      <w:r w:rsidR="00006F2C" w:rsidRPr="00B3716E">
        <w:rPr>
          <w:rFonts w:cstheme="minorHAnsi"/>
        </w:rPr>
        <w:t xml:space="preserve"> single 1000 mg dose of ferric </w:t>
      </w:r>
      <w:proofErr w:type="spellStart"/>
      <w:r w:rsidR="00006F2C" w:rsidRPr="00B3716E">
        <w:rPr>
          <w:rFonts w:cstheme="minorHAnsi"/>
        </w:rPr>
        <w:t>carboxymaltose</w:t>
      </w:r>
      <w:proofErr w:type="spellEnd"/>
      <w:r w:rsidR="00006F2C" w:rsidRPr="00B3716E">
        <w:rPr>
          <w:rFonts w:cstheme="minorHAnsi"/>
        </w:rPr>
        <w:t xml:space="preserve"> </w:t>
      </w:r>
      <w:r w:rsidR="00006F2C">
        <w:rPr>
          <w:rFonts w:cstheme="minorHAnsi"/>
        </w:rPr>
        <w:t>(</w:t>
      </w:r>
      <w:proofErr w:type="spellStart"/>
      <w:r w:rsidR="00006F2C">
        <w:rPr>
          <w:rFonts w:cstheme="minorHAnsi"/>
        </w:rPr>
        <w:t>Ferinject</w:t>
      </w:r>
      <w:proofErr w:type="spellEnd"/>
      <w:r w:rsidR="00006F2C">
        <w:rPr>
          <w:rFonts w:cstheme="minorHAnsi"/>
        </w:rPr>
        <w:t xml:space="preserve">®) or placebo were administered </w:t>
      </w:r>
      <w:r w:rsidR="00006F2C" w:rsidRPr="00B3716E">
        <w:rPr>
          <w:rFonts w:cstheme="minorHAnsi"/>
        </w:rPr>
        <w:t>10–42 days before surgery</w:t>
      </w:r>
      <w:r w:rsidR="00006F2C">
        <w:rPr>
          <w:rFonts w:cstheme="minorHAnsi"/>
        </w:rPr>
        <w:t xml:space="preserve">. </w:t>
      </w:r>
      <w:r w:rsidR="002B32E2">
        <w:rPr>
          <w:rFonts w:cstheme="minorHAnsi"/>
        </w:rPr>
        <w:t>Serum phosphate levels</w:t>
      </w:r>
      <w:r w:rsidR="00006F2C">
        <w:rPr>
          <w:rFonts w:cstheme="minorHAnsi"/>
        </w:rPr>
        <w:t xml:space="preserve"> were </w:t>
      </w:r>
      <w:r w:rsidR="002B32E2">
        <w:rPr>
          <w:rFonts w:cstheme="minorHAnsi"/>
        </w:rPr>
        <w:t>measured</w:t>
      </w:r>
      <w:r w:rsidR="00006F2C">
        <w:rPr>
          <w:rFonts w:cstheme="minorHAnsi"/>
        </w:rPr>
        <w:t xml:space="preserve"> at baseline and </w:t>
      </w:r>
      <w:r w:rsidR="002B32E2">
        <w:rPr>
          <w:rFonts w:cstheme="minorHAnsi"/>
        </w:rPr>
        <w:t>preoperatively.</w:t>
      </w:r>
    </w:p>
    <w:p w14:paraId="69A0D8F5" w14:textId="6E2AF1FF" w:rsidR="00006F2C" w:rsidRPr="00CE5C44" w:rsidRDefault="002D4C24" w:rsidP="00006F2C">
      <w:pPr>
        <w:spacing w:after="120" w:line="360" w:lineRule="auto"/>
        <w:jc w:val="both"/>
        <w:rPr>
          <w:rFonts w:cstheme="minorHAnsi"/>
        </w:rPr>
      </w:pPr>
      <w:r>
        <w:rPr>
          <w:rFonts w:cstheme="minorHAnsi"/>
        </w:rPr>
        <w:t>In an exploratory analysis,</w:t>
      </w:r>
      <w:r w:rsidR="00006F2C">
        <w:rPr>
          <w:rFonts w:cstheme="minorHAnsi"/>
        </w:rPr>
        <w:t xml:space="preserve"> </w:t>
      </w:r>
      <w:r w:rsidR="0085351F">
        <w:rPr>
          <w:rFonts w:cstheme="minorHAnsi"/>
        </w:rPr>
        <w:t xml:space="preserve">whether </w:t>
      </w:r>
      <w:r w:rsidR="00006F2C">
        <w:rPr>
          <w:rFonts w:cstheme="minorHAnsi"/>
        </w:rPr>
        <w:t xml:space="preserve">phosphate levels were predictive </w:t>
      </w:r>
      <w:r w:rsidR="00006F2C">
        <w:t>of heterogenous treatment effects (HTE)</w:t>
      </w:r>
      <w:r w:rsidR="0085351F">
        <w:t xml:space="preserve"> was investigated</w:t>
      </w:r>
      <w:r w:rsidR="00006F2C">
        <w:t xml:space="preserve"> </w:t>
      </w:r>
      <w:r w:rsidR="0085351F">
        <w:t xml:space="preserve">using </w:t>
      </w:r>
      <w:r w:rsidR="00006F2C">
        <w:t xml:space="preserve">generalized linear models. The interaction between phosphate levels </w:t>
      </w:r>
      <w:r w:rsidR="0048522D">
        <w:t xml:space="preserve">and </w:t>
      </w:r>
      <w:r w:rsidR="00C315A7">
        <w:t>the</w:t>
      </w:r>
      <w:r w:rsidR="00E0160D">
        <w:t xml:space="preserve"> main study </w:t>
      </w:r>
      <w:r w:rsidR="00C315A7">
        <w:t xml:space="preserve">outcomes: </w:t>
      </w:r>
      <w:r w:rsidR="00F64130">
        <w:t>a composite of death or the need for any blood transfusion in 30 days (</w:t>
      </w:r>
      <w:r w:rsidR="00006F2C">
        <w:t>1</w:t>
      </w:r>
      <w:r w:rsidR="00006F2C" w:rsidRPr="00006F2C">
        <w:rPr>
          <w:vertAlign w:val="superscript"/>
        </w:rPr>
        <w:t>st</w:t>
      </w:r>
      <w:r w:rsidR="00006F2C">
        <w:t xml:space="preserve"> co-primary endpoint</w:t>
      </w:r>
      <w:r w:rsidR="00F64130">
        <w:t>), the count of blood transfusions in the first 30 days (</w:t>
      </w:r>
      <w:r w:rsidR="00006F2C">
        <w:t>2</w:t>
      </w:r>
      <w:r w:rsidR="00006F2C" w:rsidRPr="00006F2C">
        <w:rPr>
          <w:vertAlign w:val="superscript"/>
        </w:rPr>
        <w:t>nd</w:t>
      </w:r>
      <w:r w:rsidR="00006F2C">
        <w:t xml:space="preserve"> co-primary endpoint</w:t>
      </w:r>
      <w:r w:rsidR="00F64130">
        <w:t xml:space="preserve">), </w:t>
      </w:r>
      <w:r w:rsidR="00006F2C">
        <w:t>ICU length of stay, and any postoperative grade 3+ complications were investigated</w:t>
      </w:r>
      <w:r w:rsidR="00CE5C44">
        <w:t xml:space="preserve">. HTE was considered for subgroups based on commonly used definitions of phosphate levels, as well as </w:t>
      </w:r>
      <w:r w:rsidR="00CE5C44">
        <w:lastRenderedPageBreak/>
        <w:t>continuously measured phosphate modelled with restricted cubic splines. Interactions were evaluated visually and with likelihood ratio tests of the relevant nested models.</w:t>
      </w:r>
    </w:p>
    <w:p w14:paraId="5C926B53" w14:textId="77777777" w:rsidR="00006F2C" w:rsidRDefault="00006F2C" w:rsidP="00006F2C">
      <w:pPr>
        <w:rPr>
          <w:rFonts w:cstheme="minorHAnsi"/>
        </w:rPr>
      </w:pPr>
    </w:p>
    <w:p w14:paraId="630C0DB9" w14:textId="7EAF45B4" w:rsidR="00CE5C44" w:rsidRPr="002B32E2" w:rsidRDefault="00EF739A" w:rsidP="004F5DE5">
      <w:pPr>
        <w:spacing w:line="360" w:lineRule="auto"/>
        <w:jc w:val="both"/>
        <w:rPr>
          <w:b/>
          <w:bCs/>
        </w:rPr>
      </w:pPr>
      <w:r w:rsidRPr="00493E6C">
        <w:rPr>
          <w:b/>
          <w:bCs/>
        </w:rPr>
        <w:t>Results</w:t>
      </w:r>
      <w:r w:rsidR="00493E6C">
        <w:rPr>
          <w:b/>
          <w:bCs/>
        </w:rPr>
        <w:t>:</w:t>
      </w:r>
      <w:r w:rsidR="002B32E2">
        <w:rPr>
          <w:b/>
          <w:bCs/>
        </w:rPr>
        <w:t xml:space="preserve"> </w:t>
      </w:r>
      <w:r w:rsidR="00CE5C44" w:rsidRPr="002D2F36">
        <w:t xml:space="preserve">In the </w:t>
      </w:r>
      <w:r w:rsidR="0094574F">
        <w:t>intention-to-treat</w:t>
      </w:r>
      <w:r w:rsidR="00CE5C44" w:rsidRPr="002D2F36">
        <w:t xml:space="preserve"> sample (n=474)</w:t>
      </w:r>
      <w:r w:rsidR="00CE5C44">
        <w:t xml:space="preserve">, serum phosphate was measured in </w:t>
      </w:r>
      <w:r w:rsidR="000804EF">
        <w:t>421 patients at baseline and 392 patients preoperatively (</w:t>
      </w:r>
      <w:r w:rsidR="000804EF" w:rsidRPr="002D2F36">
        <w:t>354 patients had phosphate measured at both time points and 15 had it measured at neither)</w:t>
      </w:r>
      <w:r w:rsidR="000804EF">
        <w:t xml:space="preserve">. There was no difference in phosphate levels between iron and placebo groups at baseline. </w:t>
      </w:r>
      <w:r w:rsidR="000804EF" w:rsidRPr="002D2F36">
        <w:t xml:space="preserve">Preoperative phosphate levels were 0.21 mmol/L lower in the iron </w:t>
      </w:r>
      <w:r w:rsidR="000804EF">
        <w:t>arm</w:t>
      </w:r>
      <w:r w:rsidR="00F5711D">
        <w:t xml:space="preserve"> </w:t>
      </w:r>
      <w:r w:rsidR="000804EF" w:rsidRPr="002D2F36">
        <w:t xml:space="preserve">vs the placebo arm (-0.21 </w:t>
      </w:r>
      <w:r w:rsidR="000804EF">
        <w:t xml:space="preserve">95%CI </w:t>
      </w:r>
      <w:r w:rsidR="000804EF" w:rsidRPr="002D2F36">
        <w:t>-0.27 to -0.14)</w:t>
      </w:r>
      <w:r w:rsidR="000804EF">
        <w:t>, and t</w:t>
      </w:r>
      <w:r w:rsidR="000804EF" w:rsidRPr="002D2F36">
        <w:t xml:space="preserve">he odds of having a low serum phosphate (&lt; 0.8 mmol/L) was higher in the </w:t>
      </w:r>
      <w:r w:rsidR="00F5711D">
        <w:t>iron</w:t>
      </w:r>
      <w:r w:rsidR="000804EF" w:rsidRPr="002D2F36">
        <w:t xml:space="preserve"> arm (OR 9.211 </w:t>
      </w:r>
      <w:r w:rsidR="000804EF">
        <w:t xml:space="preserve">95%CI </w:t>
      </w:r>
      <w:r w:rsidR="000804EF" w:rsidRPr="002D2F36">
        <w:t>4.25 to 19.94</w:t>
      </w:r>
      <w:r w:rsidR="000804EF">
        <w:t xml:space="preserve">). There was no evidence of HTE in any of the outcomes, by </w:t>
      </w:r>
      <w:r w:rsidR="000B5085">
        <w:t xml:space="preserve">phosphate </w:t>
      </w:r>
      <w:r w:rsidR="000804EF">
        <w:t xml:space="preserve">subgroups, or by continuously measured </w:t>
      </w:r>
      <w:r w:rsidR="000B5085">
        <w:t xml:space="preserve">phosphate </w:t>
      </w:r>
      <w:r w:rsidR="000804EF">
        <w:t>levels.</w:t>
      </w:r>
    </w:p>
    <w:p w14:paraId="3A2E20C3" w14:textId="77777777" w:rsidR="00FB4D4A" w:rsidRDefault="00FB4D4A" w:rsidP="004F5DE5">
      <w:pPr>
        <w:spacing w:line="360" w:lineRule="auto"/>
        <w:jc w:val="both"/>
      </w:pPr>
    </w:p>
    <w:p w14:paraId="22ADE4EC" w14:textId="71C81D7C" w:rsidR="00F5711D" w:rsidRPr="002B32E2" w:rsidRDefault="00EF739A" w:rsidP="004F5DE5">
      <w:pPr>
        <w:spacing w:line="360" w:lineRule="auto"/>
        <w:jc w:val="both"/>
        <w:rPr>
          <w:b/>
          <w:bCs/>
        </w:rPr>
      </w:pPr>
      <w:r w:rsidRPr="00493E6C">
        <w:rPr>
          <w:b/>
          <w:bCs/>
        </w:rPr>
        <w:t>Conclusions</w:t>
      </w:r>
      <w:r w:rsidR="00493E6C">
        <w:rPr>
          <w:b/>
          <w:bCs/>
        </w:rPr>
        <w:t>:</w:t>
      </w:r>
      <w:r w:rsidR="002B32E2">
        <w:rPr>
          <w:b/>
          <w:bCs/>
        </w:rPr>
        <w:t xml:space="preserve"> </w:t>
      </w:r>
      <w:r w:rsidR="00FB4D4A">
        <w:rPr>
          <w:rFonts w:cstheme="minorHAnsi"/>
        </w:rPr>
        <w:t>Hypophosphatasemia occurred in patients who had an intravenous iron transfusion</w:t>
      </w:r>
      <w:r w:rsidR="000804EF">
        <w:rPr>
          <w:rFonts w:cstheme="minorHAnsi"/>
        </w:rPr>
        <w:t xml:space="preserve"> compared to the placebo group</w:t>
      </w:r>
      <w:r w:rsidR="00FB4D4A">
        <w:rPr>
          <w:rFonts w:cstheme="minorHAnsi"/>
        </w:rPr>
        <w:t>.</w:t>
      </w:r>
      <w:r w:rsidR="009148A6">
        <w:rPr>
          <w:rFonts w:cstheme="minorHAnsi"/>
        </w:rPr>
        <w:t xml:space="preserve"> </w:t>
      </w:r>
      <w:r w:rsidR="00F5711D">
        <w:rPr>
          <w:rFonts w:cstheme="minorHAnsi"/>
        </w:rPr>
        <w:t xml:space="preserve">However, there were no significant impacts in patient outcomes and any adverse </w:t>
      </w:r>
      <w:r w:rsidR="00F64130">
        <w:rPr>
          <w:rFonts w:cstheme="minorHAnsi"/>
        </w:rPr>
        <w:t xml:space="preserve">events </w:t>
      </w:r>
      <w:r w:rsidR="00F5711D">
        <w:rPr>
          <w:rFonts w:cstheme="minorHAnsi"/>
        </w:rPr>
        <w:t>between patients receiving either iron or placebo.</w:t>
      </w:r>
    </w:p>
    <w:p w14:paraId="228E44CD" w14:textId="77777777" w:rsidR="008D6D74" w:rsidRDefault="008D6D74" w:rsidP="004F5DE5">
      <w:pPr>
        <w:spacing w:line="360" w:lineRule="auto"/>
        <w:jc w:val="both"/>
      </w:pPr>
    </w:p>
    <w:p w14:paraId="1BF45848" w14:textId="77777777" w:rsidR="00A05004" w:rsidRDefault="009E2E0A" w:rsidP="002B32E2">
      <w:pPr>
        <w:spacing w:line="360" w:lineRule="auto"/>
        <w:jc w:val="both"/>
        <w:rPr>
          <w:b/>
          <w:bCs/>
        </w:rPr>
      </w:pPr>
      <w:r>
        <w:rPr>
          <w:b/>
          <w:bCs/>
        </w:rPr>
        <w:t>References:</w:t>
      </w:r>
      <w:r w:rsidR="002B32E2">
        <w:rPr>
          <w:b/>
          <w:bCs/>
        </w:rPr>
        <w:t xml:space="preserve"> </w:t>
      </w:r>
    </w:p>
    <w:p w14:paraId="14D27FC9" w14:textId="24B05688" w:rsidR="00F91C61" w:rsidRPr="002B32E2" w:rsidRDefault="008D6D74" w:rsidP="002B32E2">
      <w:pPr>
        <w:spacing w:line="360" w:lineRule="auto"/>
        <w:jc w:val="both"/>
        <w:rPr>
          <w:b/>
          <w:bCs/>
        </w:rPr>
      </w:pPr>
      <w:r>
        <w:rPr>
          <w:rFonts w:ascii="Calibri" w:hAnsi="Calibri" w:cs="Calibri"/>
        </w:rPr>
        <w:fldChar w:fldCharType="begin"/>
      </w:r>
      <w:r>
        <w:instrText xml:space="preserve"> ADDIN EN.REFLIST </w:instrText>
      </w:r>
      <w:r>
        <w:rPr>
          <w:rFonts w:ascii="Calibri" w:hAnsi="Calibri" w:cs="Calibri"/>
        </w:rPr>
        <w:fldChar w:fldCharType="separate"/>
      </w:r>
      <w:r w:rsidR="00F91C61" w:rsidRPr="00F91C61">
        <w:rPr>
          <w:noProof/>
        </w:rPr>
        <w:t xml:space="preserve">[1] Richards, T., Baikady, R.R., Clevenger, B., </w:t>
      </w:r>
      <w:r w:rsidR="00F91C61" w:rsidRPr="00F91C61">
        <w:rPr>
          <w:i/>
          <w:iCs/>
          <w:noProof/>
        </w:rPr>
        <w:t>et al.</w:t>
      </w:r>
      <w:r w:rsidR="00F91C61" w:rsidRPr="00F91C61">
        <w:rPr>
          <w:noProof/>
        </w:rPr>
        <w:t xml:space="preserve">, Lancet, 2020. </w:t>
      </w:r>
      <w:r w:rsidR="00F91C61" w:rsidRPr="00F91C61">
        <w:rPr>
          <w:b/>
          <w:noProof/>
        </w:rPr>
        <w:t>396</w:t>
      </w:r>
      <w:r w:rsidR="00F91C61" w:rsidRPr="00F91C61">
        <w:rPr>
          <w:noProof/>
        </w:rPr>
        <w:t xml:space="preserve">(10259):1353-61. </w:t>
      </w:r>
    </w:p>
    <w:p w14:paraId="0F80B791" w14:textId="0FA2521D" w:rsidR="00EF739A" w:rsidRDefault="008D6D74" w:rsidP="004F5DE5">
      <w:pPr>
        <w:spacing w:line="360" w:lineRule="auto"/>
        <w:jc w:val="both"/>
      </w:pPr>
      <w:r>
        <w:fldChar w:fldCharType="end"/>
      </w:r>
    </w:p>
    <w:sectPr w:rsidR="00EF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w0p9aa2wzfzzye09sspvwsc22vetx9r5e0p&quot;&gt;PhD-Saved-Converted&lt;record-ids&gt;&lt;item&gt;1799&lt;/item&gt;&lt;/record-ids&gt;&lt;/item&gt;&lt;/Libraries&gt;"/>
  </w:docVars>
  <w:rsids>
    <w:rsidRoot w:val="00041428"/>
    <w:rsid w:val="00001482"/>
    <w:rsid w:val="00006F2C"/>
    <w:rsid w:val="00041428"/>
    <w:rsid w:val="00077D1D"/>
    <w:rsid w:val="000804EF"/>
    <w:rsid w:val="000B5085"/>
    <w:rsid w:val="000C4163"/>
    <w:rsid w:val="001024FC"/>
    <w:rsid w:val="00121AD2"/>
    <w:rsid w:val="00152BC4"/>
    <w:rsid w:val="00236E5B"/>
    <w:rsid w:val="00277820"/>
    <w:rsid w:val="002A1662"/>
    <w:rsid w:val="002B32E2"/>
    <w:rsid w:val="002D4C24"/>
    <w:rsid w:val="003008E3"/>
    <w:rsid w:val="00321B72"/>
    <w:rsid w:val="0033458E"/>
    <w:rsid w:val="003825EE"/>
    <w:rsid w:val="003A100B"/>
    <w:rsid w:val="003A41AD"/>
    <w:rsid w:val="003F3E29"/>
    <w:rsid w:val="003F6C59"/>
    <w:rsid w:val="004046E3"/>
    <w:rsid w:val="00406D3B"/>
    <w:rsid w:val="00464C91"/>
    <w:rsid w:val="0048522D"/>
    <w:rsid w:val="00493E6C"/>
    <w:rsid w:val="004A0527"/>
    <w:rsid w:val="004A6806"/>
    <w:rsid w:val="004F5DE5"/>
    <w:rsid w:val="005014DB"/>
    <w:rsid w:val="00592F3C"/>
    <w:rsid w:val="006037BC"/>
    <w:rsid w:val="00631E5C"/>
    <w:rsid w:val="006E1149"/>
    <w:rsid w:val="006F1AA1"/>
    <w:rsid w:val="006F3E5C"/>
    <w:rsid w:val="006F7003"/>
    <w:rsid w:val="007354E2"/>
    <w:rsid w:val="00791C35"/>
    <w:rsid w:val="007A3976"/>
    <w:rsid w:val="008223FF"/>
    <w:rsid w:val="00850D6A"/>
    <w:rsid w:val="0085351F"/>
    <w:rsid w:val="008D6D74"/>
    <w:rsid w:val="008F38C6"/>
    <w:rsid w:val="009148A6"/>
    <w:rsid w:val="00921264"/>
    <w:rsid w:val="0092726B"/>
    <w:rsid w:val="0094574F"/>
    <w:rsid w:val="00945DB0"/>
    <w:rsid w:val="009E2E0A"/>
    <w:rsid w:val="00A05004"/>
    <w:rsid w:val="00A22673"/>
    <w:rsid w:val="00A522E2"/>
    <w:rsid w:val="00A66109"/>
    <w:rsid w:val="00A70FC5"/>
    <w:rsid w:val="00A77608"/>
    <w:rsid w:val="00AB100E"/>
    <w:rsid w:val="00B44EF8"/>
    <w:rsid w:val="00B713D8"/>
    <w:rsid w:val="00B95D6C"/>
    <w:rsid w:val="00BB6D66"/>
    <w:rsid w:val="00C03CB5"/>
    <w:rsid w:val="00C315A7"/>
    <w:rsid w:val="00C37622"/>
    <w:rsid w:val="00C55928"/>
    <w:rsid w:val="00C824DA"/>
    <w:rsid w:val="00CE5C44"/>
    <w:rsid w:val="00D0234A"/>
    <w:rsid w:val="00D51170"/>
    <w:rsid w:val="00D63774"/>
    <w:rsid w:val="00D9116C"/>
    <w:rsid w:val="00DA5071"/>
    <w:rsid w:val="00DD6C58"/>
    <w:rsid w:val="00E0160D"/>
    <w:rsid w:val="00E05089"/>
    <w:rsid w:val="00E111D2"/>
    <w:rsid w:val="00EB1F78"/>
    <w:rsid w:val="00EB77BF"/>
    <w:rsid w:val="00ED7DFD"/>
    <w:rsid w:val="00EF739A"/>
    <w:rsid w:val="00F03FAF"/>
    <w:rsid w:val="00F51C28"/>
    <w:rsid w:val="00F5711D"/>
    <w:rsid w:val="00F64130"/>
    <w:rsid w:val="00F7056F"/>
    <w:rsid w:val="00F91C61"/>
    <w:rsid w:val="00F94C50"/>
    <w:rsid w:val="00FB4D4A"/>
    <w:rsid w:val="00FC539B"/>
    <w:rsid w:val="00F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C058"/>
  <w15:chartTrackingRefBased/>
  <w15:docId w15:val="{D54E7162-65F4-4532-A94D-D272BCEB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D6D74"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6D74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8D6D74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8D6D74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AB1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00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00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00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149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149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8A133-CC2A-4048-A28A-E91D405F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Wijaya</dc:creator>
  <cp:keywords/>
  <dc:description/>
  <cp:lastModifiedBy>Dahly, Darren</cp:lastModifiedBy>
  <cp:revision>2</cp:revision>
  <dcterms:created xsi:type="dcterms:W3CDTF">2021-05-04T08:24:00Z</dcterms:created>
  <dcterms:modified xsi:type="dcterms:W3CDTF">2021-05-04T08:24:00Z</dcterms:modified>
</cp:coreProperties>
</file>