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120" w:after="20"/>
        <w:rPr/>
      </w:pPr>
      <w:r>
        <w:rPr>
          <w:b/>
          <w:color w:val="2E74B5"/>
          <w:sz w:val="20"/>
        </w:rPr>
        <w:t>PLAN DE TRABAJO</w:t>
      </w:r>
    </w:p>
    <w:p>
      <w:pPr>
        <w:pStyle w:val="Normal"/>
        <w:spacing w:lineRule="auto" w:line="240" w:before="0" w:after="100"/>
        <w:rPr/>
      </w:pPr>
      <w:r>
        <w:rPr>
          <w:b/>
          <w:color w:val="0B2545"/>
          <w:sz w:val="58"/>
        </w:rPr>
        <w:t>Plan de acción</w:t>
      </w:r>
    </w:p>
    <w:p>
      <w:pPr>
        <w:pStyle w:val="Normal"/>
        <w:spacing w:lineRule="auto" w:line="264" w:before="0" w:after="300"/>
        <w:rPr/>
      </w:pPr>
      <w:r>
        <w:rPr>
          <w:color w:val="5F6B7A"/>
          <w:sz w:val="26"/>
        </w:rPr>
        <w:t>Programa en Julia y reporte en LaTeX para un sistema masa–resorte–amortiguador</w:t>
      </w:r>
    </w:p>
    <w:tbl>
      <w:tblPr>
        <w:tblStyle w:val="TableGrid"/>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2160"/>
        <w:gridCol w:w="2159"/>
        <w:gridCol w:w="2521"/>
        <w:gridCol w:w="2520"/>
      </w:tblGrid>
      <w:tr>
        <w:trPr>
          <w:tblHeader w:val="true"/>
          <w:cantSplit/>
        </w:trPr>
        <w:tc>
          <w:tcPr>
            <w:tcW w:w="2160" w:type="dxa"/>
            <w:tcBorders/>
            <w:shd w:fill="FFF8E8"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7A5A00"/>
                <w:kern w:val="0"/>
                <w:sz w:val="16"/>
                <w:szCs w:val="22"/>
                <w:lang w:val="en-US" w:eastAsia="en-US" w:bidi="ar-SA"/>
              </w:rPr>
              <w:t>ASIGNATURA</w:t>
              <w:br/>
            </w:r>
            <w:r>
              <w:rPr>
                <w:rFonts w:eastAsia="ＭＳ 明朝" w:cs=""/>
                <w:b/>
                <w:color w:val="0B2545"/>
                <w:kern w:val="0"/>
                <w:sz w:val="18"/>
                <w:szCs w:val="22"/>
                <w:lang w:val="en-US" w:eastAsia="en-US" w:bidi="ar-SA"/>
              </w:rPr>
              <w:t>Matemáticas Especiales</w:t>
            </w:r>
          </w:p>
        </w:tc>
        <w:tc>
          <w:tcPr>
            <w:tcW w:w="2159" w:type="dxa"/>
            <w:tcBorders/>
            <w:shd w:fill="FFF8E8"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7A5A00"/>
                <w:kern w:val="0"/>
                <w:sz w:val="16"/>
                <w:szCs w:val="22"/>
                <w:lang w:val="en-US" w:eastAsia="en-US" w:bidi="ar-SA"/>
              </w:rPr>
              <w:t>ENTREGA</w:t>
              <w:br/>
            </w:r>
            <w:r>
              <w:rPr>
                <w:rFonts w:eastAsia="ＭＳ 明朝" w:cs=""/>
                <w:b/>
                <w:color w:val="0B2545"/>
                <w:kern w:val="0"/>
                <w:sz w:val="18"/>
                <w:szCs w:val="22"/>
                <w:lang w:val="en-US" w:eastAsia="en-US" w:bidi="ar-SA"/>
              </w:rPr>
              <w:t>Miércoles 26 de agosto de 2026</w:t>
            </w:r>
          </w:p>
        </w:tc>
        <w:tc>
          <w:tcPr>
            <w:tcW w:w="2521" w:type="dxa"/>
            <w:tcBorders/>
            <w:shd w:fill="FFF8E8"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7A5A00"/>
                <w:kern w:val="0"/>
                <w:sz w:val="16"/>
                <w:szCs w:val="22"/>
                <w:lang w:val="en-US" w:eastAsia="en-US" w:bidi="ar-SA"/>
              </w:rPr>
              <w:t>FORMATO FINAL</w:t>
              <w:br/>
            </w:r>
            <w:r>
              <w:rPr>
                <w:rFonts w:eastAsia="ＭＳ 明朝" w:cs=""/>
                <w:b/>
                <w:color w:val="0B2545"/>
                <w:kern w:val="0"/>
                <w:sz w:val="18"/>
                <w:szCs w:val="22"/>
                <w:lang w:val="en-US" w:eastAsia="en-US" w:bidi="ar-SA"/>
              </w:rPr>
              <w:t>PDF en LaTeX + código Julia incluido</w:t>
            </w:r>
          </w:p>
        </w:tc>
        <w:tc>
          <w:tcPr>
            <w:tcW w:w="2520" w:type="dxa"/>
            <w:tcBorders/>
            <w:shd w:fill="FFF8E8"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7A5A00"/>
                <w:kern w:val="0"/>
                <w:sz w:val="16"/>
                <w:szCs w:val="22"/>
                <w:lang w:val="en-US" w:eastAsia="en-US" w:bidi="ar-SA"/>
              </w:rPr>
              <w:t>EQUIPO</w:t>
              <w:br/>
            </w:r>
            <w:r>
              <w:rPr>
                <w:rFonts w:eastAsia="ＭＳ 明朝" w:cs=""/>
                <w:b/>
                <w:color w:val="0B2545"/>
                <w:kern w:val="0"/>
                <w:sz w:val="18"/>
                <w:szCs w:val="22"/>
                <w:lang w:val="en-US" w:eastAsia="en-US" w:bidi="ar-SA"/>
              </w:rPr>
              <w:t>Integrante 1 + Integrante 2</w:t>
            </w:r>
          </w:p>
        </w:tc>
      </w:tr>
    </w:tbl>
    <w:p>
      <w:pPr>
        <w:pStyle w:val="Normal"/>
        <w:spacing w:before="0" w:after="20"/>
        <w:rPr/>
      </w:pPr>
      <w:r>
        <w:rPr/>
      </w:r>
    </w:p>
    <w:p>
      <w:pPr>
        <w:pStyle w:val="Normal"/>
        <w:pBdr>
          <w:left w:val="single" w:sz="18" w:space="7" w:color="2E74B5"/>
        </w:pBdr>
        <w:shd w:fill="F4F6F9" w:val="clear"/>
        <w:spacing w:lineRule="auto" w:line="288" w:before="80" w:after="180"/>
        <w:ind w:start="173" w:end="173"/>
        <w:rPr/>
      </w:pPr>
      <w:r>
        <w:rPr>
          <w:b/>
          <w:color w:val="2E74B5"/>
        </w:rPr>
        <w:t xml:space="preserve">Propósito del documento. </w:t>
      </w:r>
      <w:r>
        <w:rPr/>
        <w:t>Alinear a las dos integrantes antes de programar o redactar: qué se debe entregar, qué decisiones técnicas ya están acordadas, qué falta decidir, en qué orden trabajar y cómo verificar que el resultado cumple la consigna.</w:t>
      </w:r>
    </w:p>
    <w:p>
      <w:pPr>
        <w:pStyle w:val="Normal"/>
        <w:keepLines w:val="false"/>
        <w:spacing w:lineRule="auto" w:line="300" w:before="0" w:after="120"/>
        <w:rPr/>
      </w:pPr>
      <w:r>
        <w:rPr/>
        <w:t>Integrantes: ____________________________________  y  ____________________________________</w:t>
      </w:r>
    </w:p>
    <w:p>
      <w:pPr>
        <w:pStyle w:val="Normal"/>
        <w:keepLines w:val="false"/>
        <w:spacing w:lineRule="auto" w:line="300" w:before="0" w:after="120"/>
        <w:rPr/>
      </w:pPr>
      <w:r>
        <w:rPr/>
        <w:t>Fecha de inicio del plan: domingo 23 de agosto de 2026</w:t>
      </w:r>
    </w:p>
    <w:p>
      <w:pPr>
        <w:pStyle w:val="Heading1"/>
        <w:rPr>
          <w:lang w:val="es-CO"/>
        </w:rPr>
      </w:pPr>
      <w:r>
        <w:rPr/>
        <w:t>1. Resultado esperado</w:t>
      </w:r>
    </w:p>
    <w:p>
      <w:pPr>
        <w:pStyle w:val="Normal"/>
        <w:keepLines w:val="false"/>
        <w:spacing w:lineRule="auto" w:line="300" w:before="0" w:after="120"/>
        <w:rPr/>
      </w:pPr>
      <w:r>
        <w:rPr/>
        <w:t>Al finalizar el miércoles 26 de agosto, el equipo deberá disponer de un único PDF compilado desde LaTeX que presente la derivación matemática paso a paso, documente las pruebas natural y forzada, compare sus resultados mediante figuras, incluya una conclusión de menos de 100 palabras y contenga el código completo de Julia. El programa deberá ejecutarse de forma reproducible y generar las evidencias usadas en el informe.</w:t>
      </w:r>
    </w:p>
    <w:p>
      <w:pPr>
        <w:pStyle w:val="Normal"/>
        <w:pBdr>
          <w:left w:val="single" w:sz="18" w:space="7" w:color="7A5A00"/>
        </w:pBdr>
        <w:shd w:fill="FFF8E8" w:val="clear"/>
        <w:spacing w:lineRule="auto" w:line="288" w:before="80" w:after="180"/>
        <w:ind w:start="173" w:end="173"/>
        <w:rPr/>
      </w:pPr>
      <w:r>
        <w:rPr>
          <w:b/>
          <w:color w:val="7A5A00"/>
        </w:rPr>
        <w:t xml:space="preserve">Límite del plan. </w:t>
      </w:r>
      <w:r>
        <w:rPr/>
        <w:t>Este documento organiza el trabajo; no reemplaza la derivación, la selección razonada de parámetros, la programación ni el análisis que deben realizar las integrantes.</w:t>
      </w:r>
    </w:p>
    <w:p>
      <w:pPr>
        <w:pStyle w:val="Heading1"/>
        <w:rPr/>
      </w:pPr>
      <w:r>
        <w:rPr/>
        <w:t>2. Matriz de requisitos de la consigna</w:t>
      </w:r>
    </w:p>
    <w:p>
      <w:pPr>
        <w:pStyle w:val="Normal"/>
        <w:keepLines w:val="false"/>
        <w:spacing w:lineRule="auto" w:line="300" w:before="0" w:after="120"/>
        <w:rPr/>
      </w:pPr>
      <w:r>
        <w:rPr/>
        <w:t>Cada requisito deberá asociarse con una evidencia concreta dentro del entregable final.</w:t>
      </w:r>
    </w:p>
    <w:tbl>
      <w:tblPr>
        <w:tblStyle w:val="TableGrid"/>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649"/>
        <w:gridCol w:w="4361"/>
        <w:gridCol w:w="4350"/>
      </w:tblGrid>
      <w:tr>
        <w:trPr>
          <w:tblHeader w:val="true"/>
          <w:cantSplit/>
        </w:trPr>
        <w:tc>
          <w:tcPr>
            <w:tcW w:w="649"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7"/>
                <w:szCs w:val="22"/>
                <w:lang w:val="en-US" w:eastAsia="en-US" w:bidi="ar-SA"/>
              </w:rPr>
              <w:t>ID</w:t>
            </w:r>
          </w:p>
        </w:tc>
        <w:tc>
          <w:tcPr>
            <w:tcW w:w="4361"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7"/>
                <w:szCs w:val="22"/>
                <w:lang w:val="en-US" w:eastAsia="en-US" w:bidi="ar-SA"/>
              </w:rPr>
              <w:t>Requisito</w:t>
            </w:r>
          </w:p>
        </w:tc>
        <w:tc>
          <w:tcPr>
            <w:tcW w:w="4350"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7"/>
                <w:szCs w:val="22"/>
                <w:lang w:val="en-US" w:eastAsia="en-US" w:bidi="ar-SA"/>
              </w:rPr>
              <w:t>Evidencia mínima</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R1</w:t>
            </w:r>
          </w:p>
        </w:tc>
        <w:tc>
          <w:tcPr>
            <w:tcW w:w="43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Programa en Julia que demuestre la respuesta dinámica del sistema.</w:t>
            </w:r>
          </w:p>
        </w:tc>
        <w:tc>
          <w:tcPr>
            <w:tcW w:w="43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Archivo ejecutable y resultados reproducibles.</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R2</w:t>
            </w:r>
          </w:p>
        </w:tc>
        <w:tc>
          <w:tcPr>
            <w:tcW w:w="43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PDF escrito en LaTeX con la derivación paso a paso del modelo matemático.</w:t>
            </w:r>
          </w:p>
        </w:tc>
        <w:tc>
          <w:tcPr>
            <w:tcW w:w="43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Sección de modelado con convenciones, energías, disipación y ecuación de movimiento.</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R3</w:t>
            </w:r>
          </w:p>
        </w:tc>
        <w:tc>
          <w:tcPr>
            <w:tcW w:w="43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Evaluación del sistema con y sin excitación externa.</w:t>
            </w:r>
          </w:p>
        </w:tc>
        <w:tc>
          <w:tcPr>
            <w:tcW w:w="43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Dos casos de prueba claramente separados.</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R4</w:t>
            </w:r>
          </w:p>
        </w:tc>
        <w:tc>
          <w:tcPr>
            <w:tcW w:w="43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Respuesta natural desde una condición inicial no nula, ilustrada con figuras.</w:t>
            </w:r>
          </w:p>
        </w:tc>
        <w:tc>
          <w:tcPr>
            <w:tcW w:w="43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Caso f(t)=0, estado inicial declarado y gráfica interpretada.</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R5</w:t>
            </w:r>
          </w:p>
        </w:tc>
        <w:tc>
          <w:tcPr>
            <w:tcW w:w="43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Respuesta forzada usando una entrada externa conocida y apropiada.</w:t>
            </w:r>
          </w:p>
        </w:tc>
        <w:tc>
          <w:tcPr>
            <w:tcW w:w="43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Definición matemática de f(t), justificación y gráfica de respuesta.</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R6</w:t>
            </w:r>
          </w:p>
        </w:tc>
        <w:tc>
          <w:tcPr>
            <w:tcW w:w="43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Comparación entre la respuesta natural y la forzada.</w:t>
            </w:r>
          </w:p>
        </w:tc>
        <w:tc>
          <w:tcPr>
            <w:tcW w:w="43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Figura o análisis comparativo con observaciones físicas.</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R7</w:t>
            </w:r>
          </w:p>
        </w:tc>
        <w:tc>
          <w:tcPr>
            <w:tcW w:w="43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Una conclusión de menos de 100 palabras.</w:t>
            </w:r>
          </w:p>
        </w:tc>
        <w:tc>
          <w:tcPr>
            <w:tcW w:w="43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Conteo verificado antes de compilar la versión final.</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R8</w:t>
            </w:r>
          </w:p>
        </w:tc>
        <w:tc>
          <w:tcPr>
            <w:tcW w:w="43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Elección de los parámetros del sistema.</w:t>
            </w:r>
          </w:p>
        </w:tc>
        <w:tc>
          <w:tcPr>
            <w:tcW w:w="43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Valores, unidades, fuente o criterio físico y comprobación de coherencia.</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R9</w:t>
            </w:r>
          </w:p>
        </w:tc>
        <w:tc>
          <w:tcPr>
            <w:tcW w:w="43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Código completo de Julia incluido en el PDF.</w:t>
            </w:r>
          </w:p>
        </w:tc>
        <w:tc>
          <w:tcPr>
            <w:tcW w:w="43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Anexo de código legible y coincidente con la versión ejecutada.</w:t>
            </w:r>
          </w:p>
        </w:tc>
      </w:tr>
    </w:tbl>
    <w:p>
      <w:pPr>
        <w:pStyle w:val="Normal"/>
        <w:spacing w:lineRule="auto" w:line="300" w:before="0" w:after="40"/>
        <w:rPr/>
      </w:pPr>
      <w:r>
        <w:rPr/>
      </w:r>
    </w:p>
    <w:p>
      <w:pPr>
        <w:pStyle w:val="Heading1"/>
        <w:rPr/>
      </w:pPr>
      <w:r>
        <w:rPr/>
        <w:t>3. Decisiones técnicas acordadas</w:t>
      </w:r>
    </w:p>
    <w:p>
      <w:pPr>
        <w:pStyle w:val="Heading2"/>
        <w:rPr/>
      </w:pPr>
      <w:r>
        <w:rPr/>
        <w:t>3.1 Interpretación física</w:t>
      </w:r>
    </w:p>
    <w:p>
      <w:pPr>
        <w:pStyle w:val="Normal"/>
        <w:numPr>
          <w:ilvl w:val="0"/>
          <w:numId w:val="7"/>
        </w:numPr>
        <w:spacing w:lineRule="auto" w:line="300" w:before="0" w:after="80"/>
        <w:rPr/>
      </w:pPr>
      <w:r>
        <w:rPr>
          <w:b/>
        </w:rPr>
        <w:t>La masa m</w:t>
      </w:r>
      <w:r>
        <w:rPr/>
        <w:t xml:space="preserve"> representa el conjunto móvil asociado a la rueda: rueda, neumático y componentes que se decida incluir como masa equivalente.</w:t>
      </w:r>
    </w:p>
    <w:p>
      <w:pPr>
        <w:pStyle w:val="Normal"/>
        <w:numPr>
          <w:ilvl w:val="0"/>
          <w:numId w:val="7"/>
        </w:numPr>
        <w:spacing w:lineRule="auto" w:line="300" w:before="0" w:after="80"/>
        <w:rPr/>
      </w:pPr>
      <w:r>
        <w:rPr>
          <w:b/>
        </w:rPr>
        <w:t>El chasís</w:t>
      </w:r>
      <w:r>
        <w:rPr/>
        <w:t xml:space="preserve"> se considera fijo y queda fuera del modelo dinámico asignado.</w:t>
      </w:r>
    </w:p>
    <w:p>
      <w:pPr>
        <w:pStyle w:val="Normal"/>
        <w:numPr>
          <w:ilvl w:val="0"/>
          <w:numId w:val="7"/>
        </w:numPr>
        <w:spacing w:lineRule="auto" w:line="300" w:before="0" w:after="80"/>
        <w:rPr/>
      </w:pPr>
      <w:r>
        <w:rPr>
          <w:b/>
        </w:rPr>
        <w:t>El resorte</w:t>
      </w:r>
      <w:r>
        <w:rPr/>
        <w:t xml:space="preserve"> de constante k y el amortiguador de coeficiente β conectan la masa con el chasís fijo.</w:t>
      </w:r>
    </w:p>
    <w:p>
      <w:pPr>
        <w:pStyle w:val="Normal"/>
        <w:numPr>
          <w:ilvl w:val="0"/>
          <w:numId w:val="7"/>
        </w:numPr>
        <w:spacing w:lineRule="auto" w:line="300" w:before="0" w:after="80"/>
        <w:rPr/>
      </w:pPr>
      <w:r>
        <w:rPr>
          <w:b/>
        </w:rPr>
        <w:t>La fuerza externa f(t)</w:t>
      </w:r>
      <w:r>
        <w:rPr/>
        <w:t xml:space="preserve"> representa una perturbación vertical transmitida desde el contacto rueda–terreno.</w:t>
      </w:r>
    </w:p>
    <w:p>
      <w:pPr>
        <w:pStyle w:val="Normal"/>
        <w:numPr>
          <w:ilvl w:val="0"/>
          <w:numId w:val="7"/>
        </w:numPr>
        <w:spacing w:lineRule="auto" w:line="300" w:before="0" w:after="80"/>
        <w:rPr/>
      </w:pPr>
      <w:r>
        <w:rPr>
          <w:b/>
        </w:rPr>
        <w:t>Se trabajará</w:t>
      </w:r>
      <w:r>
        <w:rPr/>
        <w:t xml:space="preserve"> con desplazamientos medidos respecto al equilibrio estático; por ello, el peso y la reacción estática no aparecerán como términos independientes en la ecuación perturbada.</w:t>
      </w:r>
    </w:p>
    <w:p>
      <w:pPr>
        <w:pStyle w:val="Heading2"/>
        <w:rPr/>
      </w:pPr>
      <w:r>
        <w:rPr/>
        <w:t>3.2 Convención de signos</w:t>
      </w:r>
    </w:p>
    <w:p>
      <w:pPr>
        <w:pStyle w:val="Normal"/>
        <w:pBdr>
          <w:left w:val="single" w:sz="18" w:space="7" w:color="2E74B5"/>
        </w:pBdr>
        <w:shd w:fill="F4F6F9" w:val="clear"/>
        <w:spacing w:lineRule="auto" w:line="288" w:before="80" w:after="180"/>
        <w:ind w:start="173" w:end="173"/>
        <w:rPr/>
      </w:pPr>
      <w:r>
        <w:rPr>
          <w:b/>
          <w:color w:val="2E74B5"/>
        </w:rPr>
        <w:t xml:space="preserve">Convención recomendada. </w:t>
      </w:r>
      <w:r>
        <w:rPr/>
        <w:t>Tomar x(t) positivo hacia arriba y dibujar f(t) positiva hacia arriba. Con esta elección, la fuerza del resorte y la del amortiguador se oponen a un desplazamiento o velocidad positivos.</w:t>
      </w:r>
    </w:p>
    <w:p>
      <w:pPr>
        <w:pStyle w:val="Normal"/>
        <w:keepLines w:val="false"/>
        <w:spacing w:lineRule="auto" w:line="300" w:before="0" w:after="120"/>
        <w:rPr/>
      </w:pPr>
      <w:r>
        <w:rPr/>
        <w:t>El modelo que la derivación deberá confirmar, bajo esa convención, es:</w:t>
      </w:r>
    </w:p>
    <w:p>
      <w:pPr>
        <w:pStyle w:val="Normal"/>
        <w:spacing w:lineRule="auto" w:line="240" w:before="100" w:after="160"/>
        <w:jc w:val="center"/>
        <w:rPr/>
      </w:pPr>
      <w:r>
        <w:rPr>
          <w:rFonts w:ascii="Cambria Math" w:hAnsi="Cambria Math"/>
          <w:b/>
          <w:color w:val="0B2545"/>
          <w:sz w:val="28"/>
        </w:rPr>
        <w:t>m ẍ(t) + β ẋ(t) + k x(t) = f(t)</w:t>
      </w:r>
    </w:p>
    <w:p>
      <w:pPr>
        <w:pStyle w:val="Normal"/>
        <w:keepLines w:val="false"/>
        <w:spacing w:lineRule="auto" w:line="300" w:before="0" w:after="120"/>
        <w:rPr/>
      </w:pPr>
      <w:r>
        <w:rPr/>
        <w:t>Si se conserva el dibujo original con x positivo hacia abajo y se interpreta la fuerza de la carretera como ascendente, el término de entrada aparecerá con signo negativo. El equipo deberá escoger una sola convención y mantenerla sin cambios en el diagrama, la derivación, Julia, las figuras y el informe.</w:t>
      </w:r>
    </w:p>
    <w:p>
      <w:pPr>
        <w:pStyle w:val="Heading2"/>
        <w:rPr/>
      </w:pPr>
      <w:r>
        <w:rPr/>
        <w:t>3.3 Alcance y limitación</w:t>
      </w:r>
    </w:p>
    <w:p>
      <w:pPr>
        <w:pStyle w:val="Normal"/>
        <w:keepLines w:val="false"/>
        <w:spacing w:lineRule="auto" w:line="300" w:before="0" w:after="120"/>
        <w:rPr/>
      </w:pPr>
      <w:r>
        <w:rPr/>
        <w:t>El sistema se presentará como una analogía simplificada de la rueda y su suspensión, no como un modelo completo de cuarto de vehículo. No se modelarán el movimiento del chasís, la elasticidad independiente del neumático, la geometría de la suspensión ni las no linealidades del amortiguador. Esta precisión evita afirmar que el modelo representa toda la dinámica de un automóvil.</w:t>
      </w:r>
    </w:p>
    <w:p>
      <w:pPr>
        <w:pStyle w:val="Heading1"/>
        <w:rPr/>
      </w:pPr>
      <w:r>
        <w:rPr/>
        <w:t>4. Decisiones pendientes antes de programar</w:t>
      </w:r>
    </w:p>
    <w:p>
      <w:pPr>
        <w:pStyle w:val="Normal"/>
        <w:keepLines w:val="false"/>
        <w:spacing w:lineRule="auto" w:line="300" w:before="0" w:after="120"/>
        <w:rPr/>
      </w:pPr>
      <w:r>
        <w:rPr/>
        <w:t>Estas decisiones deben cerrarse en la primera sesión conjunta y registrarse en el informe.</w:t>
      </w:r>
    </w:p>
    <w:tbl>
      <w:tblPr>
        <w:tblStyle w:val="TableGrid"/>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649"/>
        <w:gridCol w:w="2581"/>
        <w:gridCol w:w="6130"/>
      </w:tblGrid>
      <w:tr>
        <w:trPr>
          <w:tblHeader w:val="true"/>
          <w:cantSplit/>
        </w:trPr>
        <w:tc>
          <w:tcPr>
            <w:tcW w:w="649"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8"/>
                <w:szCs w:val="22"/>
                <w:lang w:val="en-US" w:eastAsia="en-US" w:bidi="ar-SA"/>
              </w:rPr>
              <w:t>ID</w:t>
            </w:r>
          </w:p>
        </w:tc>
        <w:tc>
          <w:tcPr>
            <w:tcW w:w="2581"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8"/>
                <w:szCs w:val="22"/>
                <w:lang w:val="en-US" w:eastAsia="en-US" w:bidi="ar-SA"/>
              </w:rPr>
              <w:t>Decisión</w:t>
            </w:r>
          </w:p>
        </w:tc>
        <w:tc>
          <w:tcPr>
            <w:tcW w:w="6130"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8"/>
                <w:szCs w:val="22"/>
                <w:lang w:val="en-US" w:eastAsia="en-US" w:bidi="ar-SA"/>
              </w:rPr>
              <w:t>Criterio de cierre</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D1</w:t>
            </w:r>
          </w:p>
        </w:tc>
        <w:tc>
          <w:tcPr>
            <w:tcW w:w="258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Definición exacta de m</w:t>
            </w:r>
          </w:p>
        </w:tc>
        <w:tc>
          <w:tcPr>
            <w:tcW w:w="613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Precisar qué piezas representa y escoger un valor realista con unidad y fuente o criterio.</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D2</w:t>
            </w:r>
          </w:p>
        </w:tc>
        <w:tc>
          <w:tcPr>
            <w:tcW w:w="258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Selección de k y β</w:t>
            </w:r>
          </w:p>
        </w:tc>
        <w:tc>
          <w:tcPr>
            <w:tcW w:w="613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Elegir valores compatibles con la masa y comprobar frecuencia natural, razón de amortiguamiento y tipo de respuesta.</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D3</w:t>
            </w:r>
          </w:p>
        </w:tc>
        <w:tc>
          <w:tcPr>
            <w:tcW w:w="258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Condición inicial natural</w:t>
            </w:r>
          </w:p>
        </w:tc>
        <w:tc>
          <w:tcPr>
            <w:tcW w:w="613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Fijar x(0)≠0 y ẋ(0); justificar magnitud y unidades.</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D4</w:t>
            </w:r>
          </w:p>
        </w:tc>
        <w:tc>
          <w:tcPr>
            <w:tcW w:w="258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Entrada forzada</w:t>
            </w:r>
          </w:p>
        </w:tc>
        <w:tc>
          <w:tcPr>
            <w:tcW w:w="613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Escoger una señal conocida. Candidata principal: pulso suave ascendente que idealiza el paso por una irregularidad.</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D5</w:t>
            </w:r>
          </w:p>
        </w:tc>
        <w:tc>
          <w:tcPr>
            <w:tcW w:w="258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Intervalo de simulación</w:t>
            </w:r>
          </w:p>
        </w:tc>
        <w:tc>
          <w:tcPr>
            <w:tcW w:w="613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Elegir una duración suficiente para observar el transitorio y el retorno al equilibrio.</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D6</w:t>
            </w:r>
          </w:p>
        </w:tc>
        <w:tc>
          <w:tcPr>
            <w:tcW w:w="258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Método numérico y paquetes</w:t>
            </w:r>
          </w:p>
        </w:tc>
        <w:tc>
          <w:tcPr>
            <w:tcW w:w="613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Definir qué librerías de Julia se usarán y registrar las versiones o el entorno.</w:t>
            </w:r>
          </w:p>
        </w:tc>
      </w:tr>
      <w:tr>
        <w:trPr>
          <w:cantSplit/>
        </w:trPr>
        <w:tc>
          <w:tcPr>
            <w:tcW w:w="6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D7</w:t>
            </w:r>
          </w:p>
        </w:tc>
        <w:tc>
          <w:tcPr>
            <w:tcW w:w="258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Reparto nominal</w:t>
            </w:r>
          </w:p>
        </w:tc>
        <w:tc>
          <w:tcPr>
            <w:tcW w:w="613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Sustituir “Integrante 1” e “Integrante 2” por los nombres y aceptar responsables y fechas internas.</w:t>
            </w:r>
          </w:p>
        </w:tc>
      </w:tr>
    </w:tbl>
    <w:p>
      <w:pPr>
        <w:pStyle w:val="Normal"/>
        <w:spacing w:lineRule="auto" w:line="300" w:before="0" w:after="40"/>
        <w:rPr/>
      </w:pPr>
      <w:r>
        <w:rPr/>
      </w:r>
    </w:p>
    <w:p>
      <w:pPr>
        <w:pStyle w:val="Heading1"/>
        <w:rPr/>
      </w:pPr>
      <w:r>
        <w:rPr/>
        <w:t>5. Procedimiento de trabajo</w:t>
      </w:r>
    </w:p>
    <w:p>
      <w:pPr>
        <w:pStyle w:val="Normal"/>
        <w:keepLines w:val="false"/>
        <w:spacing w:lineRule="auto" w:line="300" w:before="0" w:after="120"/>
        <w:rPr/>
      </w:pPr>
      <w:r>
        <w:rPr/>
        <w:t>Las fases son secuenciales, pero algunas tareas de escritura y programación pueden avanzar en paralelo una vez se congelen las convenciones y los parámetros.</w:t>
      </w:r>
    </w:p>
    <w:p>
      <w:pPr>
        <w:pStyle w:val="Heading2"/>
        <w:pageBreakBefore w:val="false"/>
        <w:rPr/>
      </w:pPr>
      <w:r>
        <w:rPr>
          <w:b/>
          <w:color w:val="2E74B5"/>
          <w:sz w:val="26"/>
        </w:rPr>
        <w:t>Fase 1. Cerrar el modelo y las convenciones</w:t>
      </w:r>
    </w:p>
    <w:p>
      <w:pPr>
        <w:pStyle w:val="Steplabel"/>
        <w:rPr/>
      </w:pPr>
      <w:r>
        <w:rPr>
          <w:b/>
          <w:color w:val="1F4D78"/>
        </w:rPr>
        <w:t>Objetivo</w:t>
      </w:r>
    </w:p>
    <w:p>
      <w:pPr>
        <w:pStyle w:val="Normal"/>
        <w:spacing w:lineRule="auto" w:line="300" w:before="0" w:after="100"/>
        <w:ind w:start="259"/>
        <w:rPr/>
      </w:pPr>
      <w:r>
        <w:rPr/>
        <w:t>Eliminar ambigüedades físicas y de signos antes de derivar o programar.</w:t>
      </w:r>
    </w:p>
    <w:p>
      <w:pPr>
        <w:pStyle w:val="Normal"/>
        <w:numPr>
          <w:ilvl w:val="0"/>
          <w:numId w:val="8"/>
        </w:numPr>
        <w:spacing w:lineRule="auto" w:line="300" w:before="0" w:after="80"/>
        <w:rPr/>
      </w:pPr>
      <w:r>
        <w:rPr/>
        <w:t>Redibujar el sistema con el chasís fijo, la masa de la rueda, x hacia arriba y f(t) hacia arriba.</w:t>
      </w:r>
    </w:p>
    <w:p>
      <w:pPr>
        <w:pStyle w:val="Normal"/>
        <w:numPr>
          <w:ilvl w:val="0"/>
          <w:numId w:val="8"/>
        </w:numPr>
        <w:spacing w:lineRule="auto" w:line="300" w:before="0" w:after="80"/>
        <w:rPr/>
      </w:pPr>
      <w:r>
        <w:rPr/>
        <w:t>Definir en una frase qué representa cada símbolo: m, β, k, x(t) y f(t).</w:t>
      </w:r>
    </w:p>
    <w:p>
      <w:pPr>
        <w:pStyle w:val="Normal"/>
        <w:numPr>
          <w:ilvl w:val="0"/>
          <w:numId w:val="8"/>
        </w:numPr>
        <w:spacing w:lineRule="auto" w:line="300" w:before="0" w:after="80"/>
        <w:rPr/>
      </w:pPr>
      <w:r>
        <w:rPr/>
        <w:t>Indicar que x(t) se mide desde el equilibrio estático.</w:t>
      </w:r>
    </w:p>
    <w:p>
      <w:pPr>
        <w:pStyle w:val="Normal"/>
        <w:numPr>
          <w:ilvl w:val="0"/>
          <w:numId w:val="8"/>
        </w:numPr>
        <w:spacing w:lineRule="auto" w:line="300" w:before="0" w:after="80"/>
        <w:rPr/>
      </w:pPr>
      <w:r>
        <w:rPr/>
        <w:t>Registrar las simplificaciones y verificar que ambas integrantes las entienden igual.</w:t>
      </w:r>
    </w:p>
    <w:p>
      <w:pPr>
        <w:pStyle w:val="Steplabel"/>
        <w:rPr/>
      </w:pPr>
      <w:r>
        <w:rPr>
          <w:b/>
          <w:color w:val="1F4D78"/>
        </w:rPr>
        <w:t>Producto</w:t>
      </w:r>
    </w:p>
    <w:p>
      <w:pPr>
        <w:pStyle w:val="Normal"/>
        <w:spacing w:lineRule="auto" w:line="300" w:before="0" w:after="100"/>
        <w:ind w:start="259"/>
        <w:rPr/>
      </w:pPr>
      <w:r>
        <w:rPr/>
        <w:t>Diagrama definitivo y bloque de definiciones listo para insertarse en LaTeX.</w:t>
      </w:r>
    </w:p>
    <w:p>
      <w:pPr>
        <w:pStyle w:val="Steplabel"/>
        <w:rPr/>
      </w:pPr>
      <w:r>
        <w:rPr>
          <w:b/>
          <w:color w:val="1F4D78"/>
        </w:rPr>
        <w:t>Criterio de terminado</w:t>
      </w:r>
    </w:p>
    <w:p>
      <w:pPr>
        <w:pStyle w:val="Normal"/>
        <w:spacing w:lineRule="auto" w:line="300" w:before="0" w:after="100"/>
        <w:ind w:start="259"/>
        <w:rPr/>
      </w:pPr>
      <w:r>
        <w:rPr/>
        <w:t>Ninguna ecuación posterior requiere cambiar flechas, signos o significado de variables.</w:t>
      </w:r>
    </w:p>
    <w:p>
      <w:pPr>
        <w:pStyle w:val="Heading2"/>
        <w:pageBreakBefore w:val="false"/>
        <w:rPr/>
      </w:pPr>
      <w:r>
        <w:rPr>
          <w:b/>
          <w:color w:val="2E74B5"/>
          <w:sz w:val="26"/>
        </w:rPr>
        <w:t>Fase 2. Derivar el modelo matemático</w:t>
      </w:r>
    </w:p>
    <w:p>
      <w:pPr>
        <w:pStyle w:val="Steplabel"/>
        <w:rPr/>
      </w:pPr>
      <w:r>
        <w:rPr>
          <w:b/>
          <w:color w:val="1F4D78"/>
        </w:rPr>
        <w:t>Objetivo</w:t>
      </w:r>
    </w:p>
    <w:p>
      <w:pPr>
        <w:pStyle w:val="Normal"/>
        <w:spacing w:lineRule="auto" w:line="300" w:before="0" w:after="100"/>
        <w:ind w:start="259"/>
        <w:rPr/>
      </w:pPr>
      <w:r>
        <w:rPr/>
        <w:t>Construir una deducción completa y verificable mediante el formalismo de Lagrange.</w:t>
      </w:r>
    </w:p>
    <w:p>
      <w:pPr>
        <w:pStyle w:val="Normal"/>
        <w:numPr>
          <w:ilvl w:val="0"/>
          <w:numId w:val="8"/>
        </w:numPr>
        <w:spacing w:lineRule="auto" w:line="300" w:before="0" w:after="80"/>
        <w:rPr/>
      </w:pPr>
      <w:r>
        <w:rPr/>
        <w:t>Definir la coordenada generalizada y su velocidad.</w:t>
      </w:r>
    </w:p>
    <w:p>
      <w:pPr>
        <w:pStyle w:val="Normal"/>
        <w:numPr>
          <w:ilvl w:val="0"/>
          <w:numId w:val="8"/>
        </w:numPr>
        <w:spacing w:lineRule="auto" w:line="300" w:before="0" w:after="80"/>
        <w:rPr/>
      </w:pPr>
      <w:r>
        <w:rPr/>
        <w:t>Escribir la energía cinética de la masa y la energía potencial del resorte.</w:t>
      </w:r>
    </w:p>
    <w:p>
      <w:pPr>
        <w:pStyle w:val="Normal"/>
        <w:numPr>
          <w:ilvl w:val="0"/>
          <w:numId w:val="8"/>
        </w:numPr>
        <w:spacing w:lineRule="auto" w:line="300" w:before="0" w:after="80"/>
        <w:rPr/>
      </w:pPr>
      <w:r>
        <w:rPr/>
        <w:t>Representar el amortiguamiento viscoso mediante la función de disipación de Rayleigh.</w:t>
      </w:r>
    </w:p>
    <w:p>
      <w:pPr>
        <w:pStyle w:val="Normal"/>
        <w:numPr>
          <w:ilvl w:val="0"/>
          <w:numId w:val="8"/>
        </w:numPr>
        <w:spacing w:lineRule="auto" w:line="300" w:before="0" w:after="80"/>
        <w:rPr/>
      </w:pPr>
      <w:r>
        <w:rPr/>
        <w:t>Identificar la fuerza generalizada asociada a f(t).</w:t>
      </w:r>
    </w:p>
    <w:p>
      <w:pPr>
        <w:pStyle w:val="Normal"/>
        <w:numPr>
          <w:ilvl w:val="0"/>
          <w:numId w:val="8"/>
        </w:numPr>
        <w:spacing w:lineRule="auto" w:line="300" w:before="0" w:after="80"/>
        <w:rPr/>
      </w:pPr>
      <w:r>
        <w:rPr/>
        <w:t>Aplicar la ecuación de Lagrange con disipación y simplificar hasta la ecuación diferencial.</w:t>
      </w:r>
    </w:p>
    <w:p>
      <w:pPr>
        <w:pStyle w:val="Normal"/>
        <w:numPr>
          <w:ilvl w:val="0"/>
          <w:numId w:val="8"/>
        </w:numPr>
        <w:spacing w:lineRule="auto" w:line="300" w:before="0" w:after="80"/>
        <w:rPr/>
      </w:pPr>
      <w:r>
        <w:rPr/>
        <w:t>Aplicar la transformada de Laplace con condiciones iniciales nulas para obtener la función de transferencia.</w:t>
      </w:r>
    </w:p>
    <w:p>
      <w:pPr>
        <w:pStyle w:val="Normal"/>
        <w:numPr>
          <w:ilvl w:val="0"/>
          <w:numId w:val="8"/>
        </w:numPr>
        <w:spacing w:lineRule="auto" w:line="300" w:before="0" w:after="80"/>
        <w:rPr/>
      </w:pPr>
      <w:r>
        <w:rPr/>
        <w:t>Comprobar dimensiones físicas y signos en cada término.</w:t>
      </w:r>
    </w:p>
    <w:p>
      <w:pPr>
        <w:pStyle w:val="Steplabel"/>
        <w:rPr/>
      </w:pPr>
      <w:r>
        <w:rPr>
          <w:b/>
          <w:color w:val="1F4D78"/>
        </w:rPr>
        <w:t>Producto</w:t>
      </w:r>
    </w:p>
    <w:p>
      <w:pPr>
        <w:pStyle w:val="Normal"/>
        <w:spacing w:lineRule="auto" w:line="300" w:before="0" w:after="100"/>
        <w:ind w:start="259"/>
        <w:rPr/>
      </w:pPr>
      <w:r>
        <w:rPr/>
        <w:t>Borrador matemático manuscrito validado y versión LaTeX de la derivación.</w:t>
      </w:r>
    </w:p>
    <w:p>
      <w:pPr>
        <w:pStyle w:val="Steplabel"/>
        <w:rPr/>
      </w:pPr>
      <w:r>
        <w:rPr>
          <w:b/>
          <w:color w:val="1F4D78"/>
        </w:rPr>
        <w:t>Criterio de terminado</w:t>
      </w:r>
    </w:p>
    <w:p>
      <w:pPr>
        <w:pStyle w:val="Normal"/>
        <w:spacing w:lineRule="auto" w:line="300" w:before="0" w:after="100"/>
        <w:ind w:start="259"/>
        <w:rPr/>
      </w:pPr>
      <w:r>
        <w:rPr/>
        <w:t>Las dos integrantes pueden reconstruir el paso entre energías, ecuación diferencial y función de transferencia.</w:t>
      </w:r>
    </w:p>
    <w:p>
      <w:pPr>
        <w:pStyle w:val="Heading2"/>
        <w:pageBreakBefore w:val="false"/>
        <w:rPr/>
      </w:pPr>
      <w:r>
        <w:rPr>
          <w:b/>
          <w:color w:val="2E74B5"/>
          <w:sz w:val="26"/>
        </w:rPr>
        <w:t>Fase 3. Seleccionar y justificar los parámetros</w:t>
      </w:r>
    </w:p>
    <w:p>
      <w:pPr>
        <w:pStyle w:val="Steplabel"/>
        <w:rPr/>
      </w:pPr>
      <w:r>
        <w:rPr>
          <w:b/>
          <w:color w:val="1F4D78"/>
        </w:rPr>
        <w:t>Objetivo</w:t>
      </w:r>
    </w:p>
    <w:p>
      <w:pPr>
        <w:pStyle w:val="Normal"/>
        <w:spacing w:lineRule="auto" w:line="300" w:before="0" w:after="100"/>
        <w:ind w:start="259"/>
        <w:rPr/>
      </w:pPr>
      <w:r>
        <w:rPr/>
        <w:t>Conseguir que la analogía de rueda–suspensión tenga valores físicamente razonables y produzca una respuesta legible.</w:t>
      </w:r>
    </w:p>
    <w:p>
      <w:pPr>
        <w:pStyle w:val="Normal"/>
        <w:numPr>
          <w:ilvl w:val="0"/>
          <w:numId w:val="8"/>
        </w:numPr>
        <w:spacing w:lineRule="auto" w:line="300" w:before="0" w:after="80"/>
        <w:rPr/>
      </w:pPr>
      <w:r>
        <w:rPr/>
        <w:t>Escoger un vehículo o rango de referencia y determinar una masa no suspendida equivalente.</w:t>
      </w:r>
    </w:p>
    <w:p>
      <w:pPr>
        <w:pStyle w:val="Normal"/>
        <w:numPr>
          <w:ilvl w:val="0"/>
          <w:numId w:val="8"/>
        </w:numPr>
        <w:spacing w:lineRule="auto" w:line="300" w:before="0" w:after="80"/>
        <w:rPr/>
      </w:pPr>
      <w:r>
        <w:rPr/>
        <w:t>Proponer valores de k y β con unidades consistentes y guardar la fuente o el criterio de selección.</w:t>
      </w:r>
    </w:p>
    <w:p>
      <w:pPr>
        <w:pStyle w:val="Normal"/>
        <w:numPr>
          <w:ilvl w:val="0"/>
          <w:numId w:val="8"/>
        </w:numPr>
        <w:spacing w:lineRule="auto" w:line="300" w:before="0" w:after="80"/>
        <w:rPr/>
      </w:pPr>
      <w:r>
        <w:rPr/>
        <w:t>Calcular la frecuencia natural, la razón de amortiguamiento y los polos esperados.</w:t>
      </w:r>
    </w:p>
    <w:p>
      <w:pPr>
        <w:pStyle w:val="Normal"/>
        <w:numPr>
          <w:ilvl w:val="0"/>
          <w:numId w:val="8"/>
        </w:numPr>
        <w:spacing w:lineRule="auto" w:line="300" w:before="0" w:after="80"/>
        <w:rPr/>
      </w:pPr>
      <w:r>
        <w:rPr/>
        <w:t>Clasificar el sistema como subamortiguado, críticamente amortiguado o sobreamortiguado.</w:t>
      </w:r>
    </w:p>
    <w:p>
      <w:pPr>
        <w:pStyle w:val="Normal"/>
        <w:numPr>
          <w:ilvl w:val="0"/>
          <w:numId w:val="8"/>
        </w:numPr>
        <w:spacing w:lineRule="auto" w:line="300" w:before="0" w:after="80"/>
        <w:rPr/>
      </w:pPr>
      <w:r>
        <w:rPr/>
        <w:t>Hacer una prueba rápida para evitar parámetros que generen movimientos imperceptibles, exagerados o un tiempo de simulación impráctico.</w:t>
      </w:r>
    </w:p>
    <w:p>
      <w:pPr>
        <w:pStyle w:val="Normal"/>
        <w:numPr>
          <w:ilvl w:val="0"/>
          <w:numId w:val="8"/>
        </w:numPr>
        <w:spacing w:lineRule="auto" w:line="300" w:before="0" w:after="80"/>
        <w:rPr/>
      </w:pPr>
      <w:r>
        <w:rPr/>
        <w:t>Congelar los valores elegidos en una sola sección de configuración del programa.</w:t>
      </w:r>
    </w:p>
    <w:p>
      <w:pPr>
        <w:pStyle w:val="Steplabel"/>
        <w:rPr/>
      </w:pPr>
      <w:r>
        <w:rPr>
          <w:b/>
          <w:color w:val="1F4D78"/>
        </w:rPr>
        <w:t>Producto</w:t>
      </w:r>
    </w:p>
    <w:p>
      <w:pPr>
        <w:pStyle w:val="Normal"/>
        <w:spacing w:lineRule="auto" w:line="300" w:before="0" w:after="100"/>
        <w:ind w:start="259"/>
        <w:rPr/>
      </w:pPr>
      <w:r>
        <w:rPr/>
        <w:t>Tabla de parámetros con símbolo, valor, unidad, significado y justificación.</w:t>
      </w:r>
    </w:p>
    <w:p>
      <w:pPr>
        <w:pStyle w:val="Steplabel"/>
        <w:rPr/>
      </w:pPr>
      <w:r>
        <w:rPr>
          <w:b/>
          <w:color w:val="1F4D78"/>
        </w:rPr>
        <w:t>Criterio de terminado</w:t>
      </w:r>
    </w:p>
    <w:p>
      <w:pPr>
        <w:pStyle w:val="Normal"/>
        <w:spacing w:lineRule="auto" w:line="300" w:before="0" w:after="100"/>
        <w:ind w:start="259"/>
        <w:rPr/>
      </w:pPr>
      <w:r>
        <w:rPr/>
        <w:t>Los parámetros aparecen idénticos en Julia, las figuras y el informe, y su comportamiento esperado está calculado antes de simular.</w:t>
      </w:r>
    </w:p>
    <w:p>
      <w:pPr>
        <w:pStyle w:val="Heading2"/>
        <w:pageBreakBefore w:val="false"/>
        <w:rPr/>
      </w:pPr>
      <w:r>
        <w:rPr>
          <w:b/>
          <w:color w:val="2E74B5"/>
          <w:sz w:val="26"/>
        </w:rPr>
        <w:t>Fase 4. Diseñar e implementar el programa en Julia</w:t>
      </w:r>
    </w:p>
    <w:p>
      <w:pPr>
        <w:pStyle w:val="Steplabel"/>
        <w:rPr/>
      </w:pPr>
      <w:r>
        <w:rPr>
          <w:b/>
          <w:color w:val="1F4D78"/>
        </w:rPr>
        <w:t>Objetivo</w:t>
      </w:r>
    </w:p>
    <w:p>
      <w:pPr>
        <w:pStyle w:val="Normal"/>
        <w:spacing w:lineRule="auto" w:line="300" w:before="0" w:after="100"/>
        <w:ind w:start="259"/>
        <w:rPr/>
      </w:pPr>
      <w:r>
        <w:rPr/>
        <w:t>Crear un programa legible, reproducible y separado por responsabilidades.</w:t>
      </w:r>
    </w:p>
    <w:p>
      <w:pPr>
        <w:pStyle w:val="Normal"/>
        <w:numPr>
          <w:ilvl w:val="0"/>
          <w:numId w:val="8"/>
        </w:numPr>
        <w:spacing w:lineRule="auto" w:line="300" w:before="0" w:after="80"/>
        <w:rPr/>
      </w:pPr>
      <w:r>
        <w:rPr/>
        <w:t>Preparar el entorno de Julia e instalar únicamente los paquetes necesarios.</w:t>
      </w:r>
    </w:p>
    <w:p>
      <w:pPr>
        <w:pStyle w:val="Normal"/>
        <w:numPr>
          <w:ilvl w:val="0"/>
          <w:numId w:val="8"/>
        </w:numPr>
        <w:spacing w:lineRule="auto" w:line="300" w:before="0" w:after="80"/>
        <w:rPr/>
      </w:pPr>
      <w:r>
        <w:rPr/>
        <w:t>Declarar parámetros, condiciones iniciales, tiempo de simulación y señal de entrada en un bloque visible.</w:t>
      </w:r>
    </w:p>
    <w:p>
      <w:pPr>
        <w:pStyle w:val="Normal"/>
        <w:numPr>
          <w:ilvl w:val="0"/>
          <w:numId w:val="8"/>
        </w:numPr>
        <w:spacing w:lineRule="auto" w:line="300" w:before="0" w:after="80"/>
        <w:rPr/>
      </w:pPr>
      <w:r>
        <w:rPr/>
        <w:t>Convertir la ecuación de segundo orden en un sistema de primer orden o emplear una formulación equivalente bien documentada.</w:t>
      </w:r>
    </w:p>
    <w:p>
      <w:pPr>
        <w:pStyle w:val="Normal"/>
        <w:numPr>
          <w:ilvl w:val="0"/>
          <w:numId w:val="8"/>
        </w:numPr>
        <w:spacing w:lineRule="auto" w:line="300" w:before="0" w:after="80"/>
        <w:rPr/>
      </w:pPr>
      <w:r>
        <w:rPr/>
        <w:t>Implementar la respuesta natural y comprobar que f(t)=0 durante toda la simulación.</w:t>
      </w:r>
    </w:p>
    <w:p>
      <w:pPr>
        <w:pStyle w:val="Normal"/>
        <w:numPr>
          <w:ilvl w:val="0"/>
          <w:numId w:val="8"/>
        </w:numPr>
        <w:spacing w:lineRule="auto" w:line="300" w:before="0" w:after="80"/>
        <w:rPr/>
      </w:pPr>
      <w:r>
        <w:rPr/>
        <w:t>Implementar la respuesta forzada usando exactamente la entrada definida en el informe.</w:t>
      </w:r>
    </w:p>
    <w:p>
      <w:pPr>
        <w:pStyle w:val="Normal"/>
        <w:numPr>
          <w:ilvl w:val="0"/>
          <w:numId w:val="8"/>
        </w:numPr>
        <w:spacing w:lineRule="auto" w:line="300" w:before="0" w:after="80"/>
        <w:rPr/>
      </w:pPr>
      <w:r>
        <w:rPr/>
        <w:t>Generar y guardar las figuras con títulos, ejes, unidades y leyendas coherentes.</w:t>
      </w:r>
    </w:p>
    <w:p>
      <w:pPr>
        <w:pStyle w:val="Normal"/>
        <w:numPr>
          <w:ilvl w:val="0"/>
          <w:numId w:val="8"/>
        </w:numPr>
        <w:spacing w:lineRule="auto" w:line="300" w:before="0" w:after="80"/>
        <w:rPr/>
      </w:pPr>
      <w:r>
        <w:rPr/>
        <w:t>Evitar valores escritos en múltiples lugares; toda modificación deberá hacerse desde la configuración.</w:t>
      </w:r>
    </w:p>
    <w:p>
      <w:pPr>
        <w:pStyle w:val="Steplabel"/>
        <w:rPr/>
      </w:pPr>
      <w:r>
        <w:rPr>
          <w:b/>
          <w:color w:val="1F4D78"/>
        </w:rPr>
        <w:t>Producto</w:t>
      </w:r>
    </w:p>
    <w:p>
      <w:pPr>
        <w:pStyle w:val="Normal"/>
        <w:spacing w:lineRule="auto" w:line="300" w:before="0" w:after="100"/>
        <w:ind w:start="259"/>
        <w:rPr/>
      </w:pPr>
      <w:r>
        <w:rPr/>
        <w:t>Archivo Julia ejecutable que genera resultados y figuras sin edición manual.</w:t>
      </w:r>
    </w:p>
    <w:p>
      <w:pPr>
        <w:pStyle w:val="Steplabel"/>
        <w:rPr/>
      </w:pPr>
      <w:r>
        <w:rPr>
          <w:b/>
          <w:color w:val="1F4D78"/>
        </w:rPr>
        <w:t>Criterio de terminado</w:t>
      </w:r>
    </w:p>
    <w:p>
      <w:pPr>
        <w:pStyle w:val="Normal"/>
        <w:spacing w:lineRule="auto" w:line="300" w:before="0" w:after="100"/>
        <w:ind w:start="259"/>
        <w:rPr/>
      </w:pPr>
      <w:r>
        <w:rPr/>
        <w:t>Una integrante distinta de quien programó puede ejecutar el archivo desde el inicio y obtiene las mismas salidas.</w:t>
      </w:r>
    </w:p>
    <w:p>
      <w:pPr>
        <w:pStyle w:val="Heading2"/>
        <w:pageBreakBefore w:val="false"/>
        <w:rPr/>
      </w:pPr>
      <w:r>
        <w:rPr>
          <w:b/>
          <w:color w:val="2E74B5"/>
          <w:sz w:val="26"/>
        </w:rPr>
        <w:t>Fase 5. Ejecutar las pruebas y validar los resultados</w:t>
      </w:r>
    </w:p>
    <w:p>
      <w:pPr>
        <w:pStyle w:val="Steplabel"/>
        <w:rPr/>
      </w:pPr>
      <w:r>
        <w:rPr>
          <w:b/>
          <w:color w:val="1F4D78"/>
        </w:rPr>
        <w:t>Objetivo</w:t>
      </w:r>
    </w:p>
    <w:p>
      <w:pPr>
        <w:pStyle w:val="Normal"/>
        <w:spacing w:lineRule="auto" w:line="300" w:before="0" w:after="100"/>
        <w:ind w:start="259"/>
        <w:rPr/>
      </w:pPr>
      <w:r>
        <w:rPr/>
        <w:t>Demostrar que las gráficas no solo se generan, sino que concuerdan con el modelo matemático y la interpretación física.</w:t>
      </w:r>
    </w:p>
    <w:p>
      <w:pPr>
        <w:pStyle w:val="Normal"/>
        <w:numPr>
          <w:ilvl w:val="0"/>
          <w:numId w:val="8"/>
        </w:numPr>
        <w:spacing w:lineRule="auto" w:line="300" w:before="0" w:after="80"/>
        <w:rPr/>
      </w:pPr>
      <w:r>
        <w:rPr/>
        <w:t>Ejecutar el caso natural desde una condición inicial no nula.</w:t>
      </w:r>
    </w:p>
    <w:p>
      <w:pPr>
        <w:pStyle w:val="Normal"/>
        <w:numPr>
          <w:ilvl w:val="0"/>
          <w:numId w:val="8"/>
        </w:numPr>
        <w:spacing w:lineRule="auto" w:line="300" w:before="0" w:after="80"/>
        <w:rPr/>
      </w:pPr>
      <w:r>
        <w:rPr/>
        <w:t>Ejecutar el caso forzado con la señal conocida y registrar sus parámetros.</w:t>
      </w:r>
    </w:p>
    <w:p>
      <w:pPr>
        <w:pStyle w:val="Normal"/>
        <w:numPr>
          <w:ilvl w:val="0"/>
          <w:numId w:val="8"/>
        </w:numPr>
        <w:spacing w:lineRule="auto" w:line="300" w:before="0" w:after="80"/>
        <w:rPr/>
      </w:pPr>
      <w:r>
        <w:rPr/>
        <w:t>Comparar la tendencia temporal, los máximos, el tiempo de decaimiento y el comportamiento final.</w:t>
      </w:r>
    </w:p>
    <w:p>
      <w:pPr>
        <w:pStyle w:val="Normal"/>
        <w:numPr>
          <w:ilvl w:val="0"/>
          <w:numId w:val="8"/>
        </w:numPr>
        <w:spacing w:lineRule="auto" w:line="300" w:before="0" w:after="80"/>
        <w:rPr/>
      </w:pPr>
      <w:r>
        <w:rPr/>
        <w:t>Verificar que un sistema estable regrese al equilibrio cuando la fuerza transitoria desaparece.</w:t>
      </w:r>
    </w:p>
    <w:p>
      <w:pPr>
        <w:pStyle w:val="Normal"/>
        <w:numPr>
          <w:ilvl w:val="0"/>
          <w:numId w:val="8"/>
        </w:numPr>
        <w:spacing w:lineRule="auto" w:line="300" w:before="0" w:after="80"/>
        <w:rPr/>
      </w:pPr>
      <w:r>
        <w:rPr/>
        <w:t>Revisar numéricamente la condición inicial, el signo de la respuesta y al menos una predicción teórica.</w:t>
      </w:r>
    </w:p>
    <w:p>
      <w:pPr>
        <w:pStyle w:val="Normal"/>
        <w:numPr>
          <w:ilvl w:val="0"/>
          <w:numId w:val="8"/>
        </w:numPr>
        <w:spacing w:lineRule="auto" w:line="300" w:before="0" w:after="80"/>
        <w:rPr/>
      </w:pPr>
      <w:r>
        <w:rPr/>
        <w:t>Guardar una versión definitiva de cada figura; no insertar capturas temporales en LaTeX.</w:t>
      </w:r>
    </w:p>
    <w:p>
      <w:pPr>
        <w:pStyle w:val="Steplabel"/>
        <w:rPr/>
      </w:pPr>
      <w:r>
        <w:rPr>
          <w:b/>
          <w:color w:val="1F4D78"/>
        </w:rPr>
        <w:t>Producto</w:t>
      </w:r>
    </w:p>
    <w:p>
      <w:pPr>
        <w:pStyle w:val="Normal"/>
        <w:spacing w:lineRule="auto" w:line="300" w:before="0" w:after="100"/>
        <w:ind w:start="259"/>
        <w:rPr/>
      </w:pPr>
      <w:r>
        <w:rPr/>
        <w:t>Figuras finales y registro breve de comprobaciones teóricas y numéricas.</w:t>
      </w:r>
    </w:p>
    <w:p>
      <w:pPr>
        <w:pStyle w:val="Steplabel"/>
        <w:rPr/>
      </w:pPr>
      <w:r>
        <w:rPr>
          <w:b/>
          <w:color w:val="1F4D78"/>
        </w:rPr>
        <w:t>Criterio de terminado</w:t>
      </w:r>
    </w:p>
    <w:p>
      <w:pPr>
        <w:pStyle w:val="Normal"/>
        <w:spacing w:lineRule="auto" w:line="300" w:before="0" w:after="100"/>
        <w:ind w:start="259"/>
        <w:rPr/>
      </w:pPr>
      <w:r>
        <w:rPr/>
        <w:t>Cada figura puede explicarse en palabras y tiene una predicción matemática que respalda su comportamiento.</w:t>
      </w:r>
    </w:p>
    <w:p>
      <w:pPr>
        <w:pStyle w:val="Heading2"/>
        <w:pageBreakBefore w:val="false"/>
        <w:rPr/>
      </w:pPr>
      <w:r>
        <w:rPr>
          <w:b/>
          <w:color w:val="2E74B5"/>
          <w:sz w:val="26"/>
        </w:rPr>
        <w:t>Fase 6. Redactar e integrar el informe en LaTeX</w:t>
      </w:r>
    </w:p>
    <w:p>
      <w:pPr>
        <w:pStyle w:val="Steplabel"/>
        <w:rPr/>
      </w:pPr>
      <w:r>
        <w:rPr>
          <w:b/>
          <w:color w:val="1F4D78"/>
        </w:rPr>
        <w:t>Objetivo</w:t>
      </w:r>
    </w:p>
    <w:p>
      <w:pPr>
        <w:pStyle w:val="Normal"/>
        <w:spacing w:lineRule="auto" w:line="300" w:before="0" w:after="100"/>
        <w:ind w:start="259"/>
        <w:rPr/>
      </w:pPr>
      <w:r>
        <w:rPr/>
        <w:t>Construir un relato único entre problema físico, matemáticas, programa y resultados.</w:t>
      </w:r>
    </w:p>
    <w:p>
      <w:pPr>
        <w:pStyle w:val="Normal"/>
        <w:numPr>
          <w:ilvl w:val="0"/>
          <w:numId w:val="8"/>
        </w:numPr>
        <w:spacing w:lineRule="auto" w:line="300" w:before="0" w:after="80"/>
        <w:rPr/>
      </w:pPr>
      <w:r>
        <w:rPr/>
        <w:t>Crear la estructura del informe antes de llenar todas las secciones.</w:t>
      </w:r>
    </w:p>
    <w:p>
      <w:pPr>
        <w:pStyle w:val="Normal"/>
        <w:numPr>
          <w:ilvl w:val="0"/>
          <w:numId w:val="8"/>
        </w:numPr>
        <w:spacing w:lineRule="auto" w:line="300" w:before="0" w:after="80"/>
        <w:rPr/>
      </w:pPr>
      <w:r>
        <w:rPr/>
        <w:t>Insertar el diagrama definitivo y declarar la convención de signos antes de la derivación.</w:t>
      </w:r>
    </w:p>
    <w:p>
      <w:pPr>
        <w:pStyle w:val="Normal"/>
        <w:numPr>
          <w:ilvl w:val="0"/>
          <w:numId w:val="8"/>
        </w:numPr>
        <w:spacing w:lineRule="auto" w:line="300" w:before="0" w:after="80"/>
        <w:rPr/>
      </w:pPr>
      <w:r>
        <w:rPr/>
        <w:t>Presentar la derivación sin saltos esenciales y definir todos los símbolos.</w:t>
      </w:r>
    </w:p>
    <w:p>
      <w:pPr>
        <w:pStyle w:val="Normal"/>
        <w:numPr>
          <w:ilvl w:val="0"/>
          <w:numId w:val="8"/>
        </w:numPr>
        <w:spacing w:lineRule="auto" w:line="300" w:before="0" w:after="80"/>
        <w:rPr/>
      </w:pPr>
      <w:r>
        <w:rPr/>
        <w:t>Explicar el método de simulación sin limitarse a describir nombres de funciones.</w:t>
      </w:r>
    </w:p>
    <w:p>
      <w:pPr>
        <w:pStyle w:val="Normal"/>
        <w:numPr>
          <w:ilvl w:val="0"/>
          <w:numId w:val="8"/>
        </w:numPr>
        <w:spacing w:lineRule="auto" w:line="300" w:before="0" w:after="80"/>
        <w:rPr/>
      </w:pPr>
      <w:r>
        <w:rPr/>
        <w:t>Insertar figuras desde archivos exportados y analizarlas en el texto.</w:t>
      </w:r>
    </w:p>
    <w:p>
      <w:pPr>
        <w:pStyle w:val="Normal"/>
        <w:numPr>
          <w:ilvl w:val="0"/>
          <w:numId w:val="8"/>
        </w:numPr>
        <w:spacing w:lineRule="auto" w:line="300" w:before="0" w:after="80"/>
        <w:rPr/>
      </w:pPr>
      <w:r>
        <w:rPr/>
        <w:t>Comparar explícitamente las respuestas natural y forzada.</w:t>
      </w:r>
    </w:p>
    <w:p>
      <w:pPr>
        <w:pStyle w:val="Normal"/>
        <w:numPr>
          <w:ilvl w:val="0"/>
          <w:numId w:val="8"/>
        </w:numPr>
        <w:spacing w:lineRule="auto" w:line="300" w:before="0" w:after="80"/>
        <w:rPr/>
      </w:pPr>
      <w:r>
        <w:rPr/>
        <w:t>Escribir una conclusión de menos de 100 palabras y verificar el conteo.</w:t>
      </w:r>
    </w:p>
    <w:p>
      <w:pPr>
        <w:pStyle w:val="Normal"/>
        <w:numPr>
          <w:ilvl w:val="0"/>
          <w:numId w:val="8"/>
        </w:numPr>
        <w:spacing w:lineRule="auto" w:line="300" w:before="0" w:after="80"/>
        <w:rPr/>
      </w:pPr>
      <w:r>
        <w:rPr/>
        <w:t>Añadir como anexo el código completo que produjo las figuras finales.</w:t>
      </w:r>
    </w:p>
    <w:p>
      <w:pPr>
        <w:pStyle w:val="Steplabel"/>
        <w:rPr/>
      </w:pPr>
      <w:r>
        <w:rPr>
          <w:b/>
          <w:color w:val="1F4D78"/>
        </w:rPr>
        <w:t>Producto</w:t>
      </w:r>
    </w:p>
    <w:p>
      <w:pPr>
        <w:pStyle w:val="Normal"/>
        <w:spacing w:lineRule="auto" w:line="300" w:before="0" w:after="100"/>
        <w:ind w:start="259"/>
        <w:rPr/>
      </w:pPr>
      <w:r>
        <w:rPr/>
        <w:t>PDF completo en versión candidata a entrega.</w:t>
      </w:r>
    </w:p>
    <w:p>
      <w:pPr>
        <w:pStyle w:val="Steplabel"/>
        <w:rPr/>
      </w:pPr>
      <w:r>
        <w:rPr>
          <w:b/>
          <w:color w:val="1F4D78"/>
        </w:rPr>
        <w:t>Criterio de terminado</w:t>
      </w:r>
    </w:p>
    <w:p>
      <w:pPr>
        <w:pStyle w:val="Normal"/>
        <w:spacing w:lineRule="auto" w:line="300" w:before="0" w:after="100"/>
        <w:ind w:start="259"/>
        <w:rPr/>
      </w:pPr>
      <w:r>
        <w:rPr/>
        <w:t>El PDF puede leerse sin consultar archivos externos para entender el modelo, las pruebas o el código.</w:t>
      </w:r>
    </w:p>
    <w:p>
      <w:pPr>
        <w:pStyle w:val="Heading2"/>
        <w:pageBreakBefore w:val="false"/>
        <w:rPr/>
      </w:pPr>
      <w:r>
        <w:rPr>
          <w:b/>
          <w:color w:val="2E74B5"/>
          <w:sz w:val="26"/>
        </w:rPr>
        <w:t>Fase 7. Realizar control de calidad y entregar</w:t>
      </w:r>
    </w:p>
    <w:p>
      <w:pPr>
        <w:pStyle w:val="Steplabel"/>
        <w:rPr/>
      </w:pPr>
      <w:r>
        <w:rPr>
          <w:b/>
          <w:color w:val="1F4D78"/>
        </w:rPr>
        <w:t>Objetivo</w:t>
      </w:r>
    </w:p>
    <w:p>
      <w:pPr>
        <w:pStyle w:val="Normal"/>
        <w:spacing w:lineRule="auto" w:line="300" w:before="0" w:after="100"/>
        <w:ind w:start="259"/>
        <w:rPr/>
      </w:pPr>
      <w:r>
        <w:rPr/>
        <w:t>Detectar inconsistencias técnicas, errores de compilación y faltantes de la consigna antes del plazo.</w:t>
      </w:r>
    </w:p>
    <w:p>
      <w:pPr>
        <w:pStyle w:val="Normal"/>
        <w:numPr>
          <w:ilvl w:val="0"/>
          <w:numId w:val="8"/>
        </w:numPr>
        <w:spacing w:lineRule="auto" w:line="300" w:before="0" w:after="80"/>
        <w:rPr/>
      </w:pPr>
      <w:r>
        <w:rPr/>
        <w:t>Compilar el informe desde una copia limpia del proyecto.</w:t>
      </w:r>
    </w:p>
    <w:p>
      <w:pPr>
        <w:pStyle w:val="Normal"/>
        <w:numPr>
          <w:ilvl w:val="0"/>
          <w:numId w:val="8"/>
        </w:numPr>
        <w:spacing w:lineRule="auto" w:line="300" w:before="0" w:after="80"/>
        <w:rPr/>
      </w:pPr>
      <w:r>
        <w:rPr/>
        <w:t>Comparar uno a uno los símbolos, parámetros y unidades entre código, ecuaciones, tablas y figuras.</w:t>
      </w:r>
    </w:p>
    <w:p>
      <w:pPr>
        <w:pStyle w:val="Normal"/>
        <w:numPr>
          <w:ilvl w:val="0"/>
          <w:numId w:val="8"/>
        </w:numPr>
        <w:spacing w:lineRule="auto" w:line="300" w:before="0" w:after="80"/>
        <w:rPr/>
      </w:pPr>
      <w:r>
        <w:rPr/>
        <w:t>Ejecutar el código completo por última vez y confirmar que reproduce las figuras insertadas.</w:t>
      </w:r>
    </w:p>
    <w:p>
      <w:pPr>
        <w:pStyle w:val="Normal"/>
        <w:numPr>
          <w:ilvl w:val="0"/>
          <w:numId w:val="8"/>
        </w:numPr>
        <w:spacing w:lineRule="auto" w:line="300" w:before="0" w:after="80"/>
        <w:rPr/>
      </w:pPr>
      <w:r>
        <w:rPr/>
        <w:t>Revisar ortografía, referencias a figuras, numeración de ecuaciones y legibilidad del código.</w:t>
      </w:r>
    </w:p>
    <w:p>
      <w:pPr>
        <w:pStyle w:val="Normal"/>
        <w:numPr>
          <w:ilvl w:val="0"/>
          <w:numId w:val="8"/>
        </w:numPr>
        <w:spacing w:lineRule="auto" w:line="300" w:before="0" w:after="80"/>
        <w:rPr/>
      </w:pPr>
      <w:r>
        <w:rPr/>
        <w:t>Aplicar la lista final de verificación incluida en este plan.</w:t>
      </w:r>
    </w:p>
    <w:p>
      <w:pPr>
        <w:pStyle w:val="Normal"/>
        <w:numPr>
          <w:ilvl w:val="0"/>
          <w:numId w:val="8"/>
        </w:numPr>
        <w:spacing w:lineRule="auto" w:line="300" w:before="0" w:after="80"/>
        <w:rPr/>
      </w:pPr>
      <w:r>
        <w:rPr/>
        <w:t>Guardar una copia de respaldo y realizar la entrega con margen antes de la hora límite.</w:t>
      </w:r>
    </w:p>
    <w:p>
      <w:pPr>
        <w:pStyle w:val="Steplabel"/>
        <w:rPr/>
      </w:pPr>
      <w:r>
        <w:rPr>
          <w:b/>
          <w:color w:val="1F4D78"/>
        </w:rPr>
        <w:t>Producto</w:t>
      </w:r>
    </w:p>
    <w:p>
      <w:pPr>
        <w:pStyle w:val="Normal"/>
        <w:spacing w:lineRule="auto" w:line="300" w:before="0" w:after="100"/>
        <w:ind w:start="259"/>
        <w:rPr/>
      </w:pPr>
      <w:r>
        <w:rPr/>
        <w:t>PDF final y carpeta reproducible de trabajo respaldada.</w:t>
      </w:r>
    </w:p>
    <w:p>
      <w:pPr>
        <w:pStyle w:val="Steplabel"/>
        <w:rPr/>
      </w:pPr>
      <w:r>
        <w:rPr>
          <w:b/>
          <w:color w:val="1F4D78"/>
        </w:rPr>
        <w:t>Criterio de terminado</w:t>
      </w:r>
    </w:p>
    <w:p>
      <w:pPr>
        <w:pStyle w:val="Normal"/>
        <w:spacing w:lineRule="auto" w:line="300" w:before="0" w:after="100"/>
        <w:ind w:start="259"/>
        <w:rPr/>
      </w:pPr>
      <w:r>
        <w:rPr/>
        <w:t>Todos los requisitos R1–R9 tienen evidencia y ambas integrantes aprueban la versión enviada.</w:t>
      </w:r>
    </w:p>
    <w:p>
      <w:pPr>
        <w:pStyle w:val="Heading1"/>
        <w:rPr/>
      </w:pPr>
      <w:r>
        <w:rPr/>
        <w:t>6. Protocolo mínimo de pruebas</w:t>
      </w:r>
    </w:p>
    <w:p>
      <w:pPr>
        <w:pStyle w:val="Heading2"/>
        <w:rPr/>
      </w:pPr>
      <w:r>
        <w:rPr/>
        <w:t>6.1 Caso A — Respuesta natural</w:t>
      </w:r>
    </w:p>
    <w:p>
      <w:pPr>
        <w:pStyle w:val="Normal"/>
        <w:numPr>
          <w:ilvl w:val="0"/>
          <w:numId w:val="7"/>
        </w:numPr>
        <w:spacing w:lineRule="auto" w:line="300" w:before="0" w:after="80"/>
        <w:rPr/>
      </w:pPr>
      <w:r>
        <w:rPr>
          <w:b/>
        </w:rPr>
        <w:t>Entrada externa:</w:t>
      </w:r>
      <w:r>
        <w:rPr/>
        <w:t xml:space="preserve"> f(t)=0 durante toda la simulación.</w:t>
      </w:r>
    </w:p>
    <w:p>
      <w:pPr>
        <w:pStyle w:val="Normal"/>
        <w:numPr>
          <w:ilvl w:val="0"/>
          <w:numId w:val="7"/>
        </w:numPr>
        <w:spacing w:lineRule="auto" w:line="300" w:before="0" w:after="80"/>
        <w:rPr/>
      </w:pPr>
      <w:r>
        <w:rPr>
          <w:b/>
        </w:rPr>
        <w:t>Condición inicial:</w:t>
      </w:r>
      <w:r>
        <w:rPr/>
        <w:t xml:space="preserve"> x(0) no nulo y ẋ(0) declarado explícitamente.</w:t>
      </w:r>
    </w:p>
    <w:p>
      <w:pPr>
        <w:pStyle w:val="Normal"/>
        <w:numPr>
          <w:ilvl w:val="0"/>
          <w:numId w:val="7"/>
        </w:numPr>
        <w:spacing w:lineRule="auto" w:line="300" w:before="0" w:after="80"/>
        <w:rPr/>
      </w:pPr>
      <w:r>
        <w:rPr>
          <w:b/>
        </w:rPr>
        <w:t>Evidencia:</w:t>
      </w:r>
      <w:r>
        <w:rPr/>
        <w:t xml:space="preserve"> figura de x(t); opcionalmente, velocidad o aceleración si mejora la interpretación.</w:t>
      </w:r>
    </w:p>
    <w:p>
      <w:pPr>
        <w:pStyle w:val="Normal"/>
        <w:numPr>
          <w:ilvl w:val="0"/>
          <w:numId w:val="7"/>
        </w:numPr>
        <w:spacing w:lineRule="auto" w:line="300" w:before="0" w:after="80"/>
        <w:rPr/>
      </w:pPr>
      <w:r>
        <w:rPr>
          <w:b/>
        </w:rPr>
        <w:t>Pregunta de análisis:</w:t>
      </w:r>
      <w:r>
        <w:rPr/>
        <w:t xml:space="preserve"> ¿cómo decae el movimiento y qué papel cumple β?</w:t>
      </w:r>
    </w:p>
    <w:p>
      <w:pPr>
        <w:pStyle w:val="Heading2"/>
        <w:rPr/>
      </w:pPr>
      <w:r>
        <w:rPr/>
        <w:t>6.2 Caso B — Respuesta forzada</w:t>
      </w:r>
    </w:p>
    <w:p>
      <w:pPr>
        <w:pStyle w:val="Normal"/>
        <w:numPr>
          <w:ilvl w:val="0"/>
          <w:numId w:val="7"/>
        </w:numPr>
        <w:spacing w:lineRule="auto" w:line="300" w:before="0" w:after="80"/>
        <w:rPr/>
      </w:pPr>
      <w:r>
        <w:rPr>
          <w:b/>
        </w:rPr>
        <w:t>Entrada externa:</w:t>
      </w:r>
      <w:r>
        <w:rPr/>
        <w:t xml:space="preserve"> señal conocida, definida por fórmula, amplitud, duración y dirección.</w:t>
      </w:r>
    </w:p>
    <w:p>
      <w:pPr>
        <w:pStyle w:val="Normal"/>
        <w:numPr>
          <w:ilvl w:val="0"/>
          <w:numId w:val="7"/>
        </w:numPr>
        <w:spacing w:lineRule="auto" w:line="300" w:before="0" w:after="80"/>
        <w:rPr/>
      </w:pPr>
      <w:r>
        <w:rPr>
          <w:b/>
        </w:rPr>
        <w:t>Candidata principal:</w:t>
      </w:r>
      <w:r>
        <w:rPr/>
        <w:t xml:space="preserve"> pulso suave ascendente que represente la perturbación ocasionada por una irregularidad del terreno.</w:t>
      </w:r>
    </w:p>
    <w:p>
      <w:pPr>
        <w:pStyle w:val="Normal"/>
        <w:numPr>
          <w:ilvl w:val="0"/>
          <w:numId w:val="7"/>
        </w:numPr>
        <w:spacing w:lineRule="auto" w:line="300" w:before="0" w:after="80"/>
        <w:rPr/>
      </w:pPr>
      <w:r>
        <w:rPr>
          <w:b/>
        </w:rPr>
        <w:t>Condiciones iniciales:</w:t>
      </w:r>
      <w:r>
        <w:rPr/>
        <w:t xml:space="preserve"> declararlas y mantenerlas claras para no mezclar el efecto inicial con el de la fuerza.</w:t>
      </w:r>
    </w:p>
    <w:p>
      <w:pPr>
        <w:pStyle w:val="Normal"/>
        <w:numPr>
          <w:ilvl w:val="0"/>
          <w:numId w:val="7"/>
        </w:numPr>
        <w:spacing w:lineRule="auto" w:line="300" w:before="0" w:after="80"/>
        <w:rPr/>
      </w:pPr>
      <w:r>
        <w:rPr>
          <w:b/>
        </w:rPr>
        <w:t>Evidencia:</w:t>
      </w:r>
      <w:r>
        <w:rPr/>
        <w:t xml:space="preserve"> figura conjunta de f(t) y x(t), o figuras coordinadas con el mismo intervalo temporal.</w:t>
      </w:r>
    </w:p>
    <w:p>
      <w:pPr>
        <w:pStyle w:val="Normal"/>
        <w:numPr>
          <w:ilvl w:val="0"/>
          <w:numId w:val="7"/>
        </w:numPr>
        <w:spacing w:lineRule="auto" w:line="300" w:before="0" w:after="80"/>
        <w:rPr/>
      </w:pPr>
      <w:r>
        <w:rPr>
          <w:b/>
        </w:rPr>
        <w:t>Pregunta de análisis:</w:t>
      </w:r>
      <w:r>
        <w:rPr/>
        <w:t xml:space="preserve"> ¿qué ocurre mientras actúa la fuerza y cómo regresa la rueda después de que desaparece?</w:t>
      </w:r>
    </w:p>
    <w:p>
      <w:pPr>
        <w:pStyle w:val="Heading2"/>
        <w:rPr/>
      </w:pPr>
      <w:r>
        <w:rPr/>
        <w:t>6.3 Comparación obligatoria</w:t>
      </w:r>
    </w:p>
    <w:p>
      <w:pPr>
        <w:pStyle w:val="Normal"/>
        <w:numPr>
          <w:ilvl w:val="0"/>
          <w:numId w:val="7"/>
        </w:numPr>
        <w:spacing w:lineRule="auto" w:line="300" w:before="0" w:after="80"/>
        <w:rPr/>
      </w:pPr>
      <w:r>
        <w:rPr/>
        <w:t>Comparar amplitud máxima, oscilaciones, tiempo de decaimiento y estado final.</w:t>
      </w:r>
    </w:p>
    <w:p>
      <w:pPr>
        <w:pStyle w:val="Normal"/>
        <w:numPr>
          <w:ilvl w:val="0"/>
          <w:numId w:val="7"/>
        </w:numPr>
        <w:spacing w:lineRule="auto" w:line="300" w:before="0" w:after="80"/>
        <w:rPr/>
      </w:pPr>
      <w:r>
        <w:rPr/>
        <w:t>Distinguir qué parte de la respuesta nace de la condición inicial y cuál de la excitación externa.</w:t>
      </w:r>
    </w:p>
    <w:p>
      <w:pPr>
        <w:pStyle w:val="Normal"/>
        <w:numPr>
          <w:ilvl w:val="0"/>
          <w:numId w:val="7"/>
        </w:numPr>
        <w:spacing w:lineRule="auto" w:line="300" w:before="0" w:after="80"/>
        <w:rPr/>
      </w:pPr>
      <w:r>
        <w:rPr/>
        <w:t>Relacionar las diferencias observadas con m, k y β; evitar limitarse a decir que las curvas “son diferentes”.</w:t>
      </w:r>
    </w:p>
    <w:p>
      <w:pPr>
        <w:pStyle w:val="Normal"/>
        <w:numPr>
          <w:ilvl w:val="0"/>
          <w:numId w:val="7"/>
        </w:numPr>
        <w:spacing w:lineRule="auto" w:line="300" w:before="0" w:after="80"/>
        <w:rPr/>
      </w:pPr>
      <w:r>
        <w:rPr/>
        <w:t>No presentar la analogía como un modelo completo del vehículo; recordar su carácter simplificado.</w:t>
      </w:r>
    </w:p>
    <w:p>
      <w:pPr>
        <w:pStyle w:val="Heading1"/>
        <w:rPr/>
      </w:pPr>
      <w:r>
        <w:rPr/>
        <w:t>7. Arquitectura sugerida del trabajo digital</w:t>
      </w:r>
    </w:p>
    <w:p>
      <w:pPr>
        <w:pStyle w:val="Normal"/>
        <w:keepLines w:val="false"/>
        <w:spacing w:lineRule="auto" w:line="300" w:before="0" w:after="120"/>
        <w:rPr/>
      </w:pPr>
      <w:r>
        <w:rPr/>
        <w:t>La organización deberá facilitar que ambas integrantes trabajen sin sobrescribir archivos ni perder la versión que produjo las figuras finales.</w:t>
      </w:r>
    </w:p>
    <w:tbl>
      <w:tblPr>
        <w:tblStyle w:val="TableGrid"/>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1799"/>
        <w:gridCol w:w="7561"/>
      </w:tblGrid>
      <w:tr>
        <w:trPr>
          <w:tblHeader w:val="true"/>
          <w:cantSplit/>
        </w:trPr>
        <w:tc>
          <w:tcPr>
            <w:tcW w:w="1799"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9"/>
                <w:szCs w:val="22"/>
                <w:lang w:val="en-US" w:eastAsia="en-US" w:bidi="ar-SA"/>
              </w:rPr>
              <w:t>Elemento</w:t>
            </w:r>
          </w:p>
        </w:tc>
        <w:tc>
          <w:tcPr>
            <w:tcW w:w="7561"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9"/>
                <w:szCs w:val="22"/>
                <w:lang w:val="en-US" w:eastAsia="en-US" w:bidi="ar-SA"/>
              </w:rPr>
              <w:t>Uso</w:t>
            </w:r>
          </w:p>
        </w:tc>
      </w:tr>
      <w:tr>
        <w:trPr>
          <w:cantSplit/>
        </w:trPr>
        <w:tc>
          <w:tcPr>
            <w:tcW w:w="17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9"/>
                <w:szCs w:val="22"/>
                <w:lang w:val="en-US" w:eastAsia="en-US" w:bidi="ar-SA"/>
              </w:rPr>
              <w:t>/src</w:t>
            </w:r>
          </w:p>
        </w:tc>
        <w:tc>
          <w:tcPr>
            <w:tcW w:w="75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9"/>
                <w:szCs w:val="22"/>
                <w:lang w:val="en-US" w:eastAsia="en-US" w:bidi="ar-SA"/>
              </w:rPr>
              <w:t>Código Julia principal y funciones auxiliares.</w:t>
            </w:r>
          </w:p>
        </w:tc>
      </w:tr>
      <w:tr>
        <w:trPr>
          <w:cantSplit/>
        </w:trPr>
        <w:tc>
          <w:tcPr>
            <w:tcW w:w="17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9"/>
                <w:szCs w:val="22"/>
                <w:lang w:val="en-US" w:eastAsia="en-US" w:bidi="ar-SA"/>
              </w:rPr>
              <w:t>/figures</w:t>
            </w:r>
          </w:p>
        </w:tc>
        <w:tc>
          <w:tcPr>
            <w:tcW w:w="75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9"/>
                <w:szCs w:val="22"/>
                <w:lang w:val="en-US" w:eastAsia="en-US" w:bidi="ar-SA"/>
              </w:rPr>
              <w:t>Gráficas exportadas por el programa; conservar solo versiones identificables.</w:t>
            </w:r>
          </w:p>
        </w:tc>
      </w:tr>
      <w:tr>
        <w:trPr>
          <w:cantSplit/>
        </w:trPr>
        <w:tc>
          <w:tcPr>
            <w:tcW w:w="17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9"/>
                <w:szCs w:val="22"/>
                <w:lang w:val="en-US" w:eastAsia="en-US" w:bidi="ar-SA"/>
              </w:rPr>
              <w:t>/report</w:t>
            </w:r>
          </w:p>
        </w:tc>
        <w:tc>
          <w:tcPr>
            <w:tcW w:w="75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9"/>
                <w:szCs w:val="22"/>
                <w:lang w:val="en-US" w:eastAsia="en-US" w:bidi="ar-SA"/>
              </w:rPr>
              <w:t>Fuente LaTeX, bibliografía y archivos necesarios para compilar.</w:t>
            </w:r>
          </w:p>
        </w:tc>
      </w:tr>
      <w:tr>
        <w:trPr>
          <w:cantSplit/>
        </w:trPr>
        <w:tc>
          <w:tcPr>
            <w:tcW w:w="17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9"/>
                <w:szCs w:val="22"/>
                <w:lang w:val="en-US" w:eastAsia="en-US" w:bidi="ar-SA"/>
              </w:rPr>
              <w:t>/notes</w:t>
            </w:r>
          </w:p>
        </w:tc>
        <w:tc>
          <w:tcPr>
            <w:tcW w:w="75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9"/>
                <w:szCs w:val="22"/>
                <w:lang w:val="en-US" w:eastAsia="en-US" w:bidi="ar-SA"/>
              </w:rPr>
              <w:t>Cálculos preliminares, fuentes de parámetros y decisiones del equipo.</w:t>
            </w:r>
          </w:p>
        </w:tc>
      </w:tr>
      <w:tr>
        <w:trPr>
          <w:cantSplit/>
        </w:trPr>
        <w:tc>
          <w:tcPr>
            <w:tcW w:w="17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9"/>
                <w:szCs w:val="22"/>
                <w:lang w:val="en-US" w:eastAsia="en-US" w:bidi="ar-SA"/>
              </w:rPr>
              <w:t>README</w:t>
            </w:r>
          </w:p>
        </w:tc>
        <w:tc>
          <w:tcPr>
            <w:tcW w:w="75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9"/>
                <w:szCs w:val="22"/>
                <w:lang w:val="en-US" w:eastAsia="en-US" w:bidi="ar-SA"/>
              </w:rPr>
              <w:t>Instrucciones breves para ejecutar Julia y compilar el PDF.</w:t>
            </w:r>
          </w:p>
        </w:tc>
      </w:tr>
    </w:tbl>
    <w:p>
      <w:pPr>
        <w:pStyle w:val="Normal"/>
        <w:spacing w:lineRule="auto" w:line="300" w:before="0" w:after="40"/>
        <w:rPr/>
      </w:pPr>
      <w:r>
        <w:rPr/>
      </w:r>
    </w:p>
    <w:p>
      <w:pPr>
        <w:pStyle w:val="Normal"/>
        <w:pBdr>
          <w:left w:val="single" w:sz="18" w:space="7" w:color="2E74B5"/>
        </w:pBdr>
        <w:shd w:fill="F4F6F9" w:val="clear"/>
        <w:spacing w:lineRule="auto" w:line="288" w:before="80" w:after="180"/>
        <w:ind w:start="173" w:end="173"/>
        <w:rPr/>
      </w:pPr>
      <w:r>
        <w:rPr>
          <w:b/>
          <w:color w:val="2E74B5"/>
        </w:rPr>
        <w:t xml:space="preserve">Regla de reproducibilidad. </w:t>
      </w:r>
      <w:r>
        <w:rPr/>
        <w:t>La versión de código incluida en el PDF debe ser exactamente la que generó las figuras finales. Si se modifica el código después de exportarlas, las pruebas deberán ejecutarse nuevamente.</w:t>
      </w:r>
    </w:p>
    <w:p>
      <w:pPr>
        <w:pStyle w:val="Heading1"/>
        <w:rPr/>
      </w:pPr>
      <w:r>
        <w:rPr/>
        <w:t>8. Estructura propuesta del informe final</w:t>
      </w:r>
    </w:p>
    <w:tbl>
      <w:tblPr>
        <w:tblStyle w:val="TableGrid"/>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550"/>
        <w:gridCol w:w="2349"/>
        <w:gridCol w:w="6461"/>
      </w:tblGrid>
      <w:tr>
        <w:trPr>
          <w:tblHeader w:val="true"/>
          <w:cantSplit/>
        </w:trPr>
        <w:tc>
          <w:tcPr>
            <w:tcW w:w="550"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8"/>
                <w:szCs w:val="22"/>
                <w:lang w:val="en-US" w:eastAsia="en-US" w:bidi="ar-SA"/>
              </w:rPr>
              <w:t>N.º</w:t>
            </w:r>
          </w:p>
        </w:tc>
        <w:tc>
          <w:tcPr>
            <w:tcW w:w="2349"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8"/>
                <w:szCs w:val="22"/>
                <w:lang w:val="en-US" w:eastAsia="en-US" w:bidi="ar-SA"/>
              </w:rPr>
              <w:t>Sección</w:t>
            </w:r>
          </w:p>
        </w:tc>
        <w:tc>
          <w:tcPr>
            <w:tcW w:w="6461"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8"/>
                <w:szCs w:val="22"/>
                <w:lang w:val="en-US" w:eastAsia="en-US" w:bidi="ar-SA"/>
              </w:rPr>
              <w:t>Contenido mínimo</w:t>
            </w:r>
          </w:p>
        </w:tc>
      </w:tr>
      <w:tr>
        <w:trPr>
          <w:cantSplit/>
        </w:trPr>
        <w:tc>
          <w:tcPr>
            <w:tcW w:w="5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23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Introducción y objetivo</w:t>
            </w:r>
          </w:p>
        </w:tc>
        <w:tc>
          <w:tcPr>
            <w:tcW w:w="64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Presentar el problema, el propósito de la simulación y la analogía con la rueda.</w:t>
            </w:r>
          </w:p>
        </w:tc>
      </w:tr>
      <w:tr>
        <w:trPr>
          <w:cantSplit/>
        </w:trPr>
        <w:tc>
          <w:tcPr>
            <w:tcW w:w="5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2</w:t>
            </w:r>
          </w:p>
        </w:tc>
        <w:tc>
          <w:tcPr>
            <w:tcW w:w="23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Descripción del sistema</w:t>
            </w:r>
          </w:p>
        </w:tc>
        <w:tc>
          <w:tcPr>
            <w:tcW w:w="64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Diagrama, equilibrio estático, variables, parámetros, unidades y convención de signos.</w:t>
            </w:r>
          </w:p>
        </w:tc>
      </w:tr>
      <w:tr>
        <w:trPr>
          <w:cantSplit/>
        </w:trPr>
        <w:tc>
          <w:tcPr>
            <w:tcW w:w="5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3</w:t>
            </w:r>
          </w:p>
        </w:tc>
        <w:tc>
          <w:tcPr>
            <w:tcW w:w="23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Derivación matemática</w:t>
            </w:r>
          </w:p>
        </w:tc>
        <w:tc>
          <w:tcPr>
            <w:tcW w:w="64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Lagrangiano, disipación de Rayleigh, fuerza generalizada y ecuación diferencial.</w:t>
            </w:r>
          </w:p>
        </w:tc>
      </w:tr>
      <w:tr>
        <w:trPr>
          <w:cantSplit/>
        </w:trPr>
        <w:tc>
          <w:tcPr>
            <w:tcW w:w="5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4</w:t>
            </w:r>
          </w:p>
        </w:tc>
        <w:tc>
          <w:tcPr>
            <w:tcW w:w="23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Función de transferencia</w:t>
            </w:r>
          </w:p>
        </w:tc>
        <w:tc>
          <w:tcPr>
            <w:tcW w:w="64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Transformada de Laplace bajo condiciones iniciales nulas y definición entrada–salida.</w:t>
            </w:r>
          </w:p>
        </w:tc>
      </w:tr>
      <w:tr>
        <w:trPr>
          <w:cantSplit/>
        </w:trPr>
        <w:tc>
          <w:tcPr>
            <w:tcW w:w="5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5</w:t>
            </w:r>
          </w:p>
        </w:tc>
        <w:tc>
          <w:tcPr>
            <w:tcW w:w="23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Parámetros</w:t>
            </w:r>
          </w:p>
        </w:tc>
        <w:tc>
          <w:tcPr>
            <w:tcW w:w="64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Valores seleccionados, justificación física y clasificación dinámica.</w:t>
            </w:r>
          </w:p>
        </w:tc>
      </w:tr>
      <w:tr>
        <w:trPr>
          <w:cantSplit/>
        </w:trPr>
        <w:tc>
          <w:tcPr>
            <w:tcW w:w="5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6</w:t>
            </w:r>
          </w:p>
        </w:tc>
        <w:tc>
          <w:tcPr>
            <w:tcW w:w="23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Implementación en Julia</w:t>
            </w:r>
          </w:p>
        </w:tc>
        <w:tc>
          <w:tcPr>
            <w:tcW w:w="64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Método numérico, organización del programa y configuración de pruebas.</w:t>
            </w:r>
          </w:p>
        </w:tc>
      </w:tr>
      <w:tr>
        <w:trPr>
          <w:cantSplit/>
        </w:trPr>
        <w:tc>
          <w:tcPr>
            <w:tcW w:w="5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7</w:t>
            </w:r>
          </w:p>
        </w:tc>
        <w:tc>
          <w:tcPr>
            <w:tcW w:w="23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Evaluación</w:t>
            </w:r>
          </w:p>
        </w:tc>
        <w:tc>
          <w:tcPr>
            <w:tcW w:w="64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Respuesta natural, respuesta forzada, figuras y comprobaciones.</w:t>
            </w:r>
          </w:p>
        </w:tc>
      </w:tr>
      <w:tr>
        <w:trPr>
          <w:cantSplit/>
        </w:trPr>
        <w:tc>
          <w:tcPr>
            <w:tcW w:w="5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8</w:t>
            </w:r>
          </w:p>
        </w:tc>
        <w:tc>
          <w:tcPr>
            <w:tcW w:w="23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Comparación</w:t>
            </w:r>
          </w:p>
        </w:tc>
        <w:tc>
          <w:tcPr>
            <w:tcW w:w="64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Interpretación de semejanzas y diferencias entre los dos casos.</w:t>
            </w:r>
          </w:p>
        </w:tc>
      </w:tr>
      <w:tr>
        <w:trPr>
          <w:cantSplit/>
        </w:trPr>
        <w:tc>
          <w:tcPr>
            <w:tcW w:w="5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9</w:t>
            </w:r>
          </w:p>
        </w:tc>
        <w:tc>
          <w:tcPr>
            <w:tcW w:w="23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Conclusión</w:t>
            </w:r>
          </w:p>
        </w:tc>
        <w:tc>
          <w:tcPr>
            <w:tcW w:w="64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Una sola conclusión de menos de 100 palabras.</w:t>
            </w:r>
          </w:p>
        </w:tc>
      </w:tr>
      <w:tr>
        <w:trPr>
          <w:cantSplit/>
        </w:trPr>
        <w:tc>
          <w:tcPr>
            <w:tcW w:w="5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A</w:t>
            </w:r>
          </w:p>
        </w:tc>
        <w:tc>
          <w:tcPr>
            <w:tcW w:w="234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Anexo: código Julia</w:t>
            </w:r>
          </w:p>
        </w:tc>
        <w:tc>
          <w:tcPr>
            <w:tcW w:w="64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Código completo, legible y coincidente con la versión ejecutada.</w:t>
            </w:r>
          </w:p>
        </w:tc>
      </w:tr>
    </w:tbl>
    <w:p>
      <w:pPr>
        <w:pStyle w:val="Normal"/>
        <w:spacing w:lineRule="auto" w:line="300" w:before="0" w:after="40"/>
        <w:rPr/>
      </w:pPr>
      <w:r>
        <w:rPr/>
      </w:r>
    </w:p>
    <w:p>
      <w:pPr>
        <w:pStyle w:val="Heading1"/>
        <w:rPr/>
      </w:pPr>
      <w:r>
        <w:rPr/>
        <w:t>9. Reparto de responsabilidades</w:t>
      </w:r>
    </w:p>
    <w:p>
      <w:pPr>
        <w:pStyle w:val="Normal"/>
        <w:keepLines w:val="false"/>
        <w:spacing w:lineRule="auto" w:line="300" w:before="0" w:after="120"/>
        <w:rPr/>
      </w:pPr>
      <w:r>
        <w:rPr/>
        <w:t>Los roles indican liderazgo, no propiedad exclusiva. Cada producto deberá ser revisado por la otra integrante.</w:t>
      </w:r>
    </w:p>
    <w:tbl>
      <w:tblPr>
        <w:tblStyle w:val="TableGrid"/>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2700"/>
        <w:gridCol w:w="6660"/>
      </w:tblGrid>
      <w:tr>
        <w:trPr>
          <w:tblHeader w:val="true"/>
          <w:cantSplit/>
        </w:trPr>
        <w:tc>
          <w:tcPr>
            <w:tcW w:w="2700"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8"/>
                <w:szCs w:val="22"/>
                <w:lang w:val="en-US" w:eastAsia="en-US" w:bidi="ar-SA"/>
              </w:rPr>
              <w:t>Rol</w:t>
            </w:r>
          </w:p>
        </w:tc>
        <w:tc>
          <w:tcPr>
            <w:tcW w:w="6660"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8"/>
                <w:szCs w:val="22"/>
                <w:lang w:val="en-US" w:eastAsia="en-US" w:bidi="ar-SA"/>
              </w:rPr>
              <w:t>Responsabilidades</w:t>
            </w:r>
          </w:p>
        </w:tc>
      </w:tr>
      <w:tr>
        <w:trPr>
          <w:cantSplit/>
        </w:trPr>
        <w:tc>
          <w:tcPr>
            <w:tcW w:w="270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Integrante 1 — liderazgo matemático</w:t>
            </w:r>
          </w:p>
        </w:tc>
        <w:tc>
          <w:tcPr>
            <w:tcW w:w="666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Diagrama y convenciones; derivación con Lagrange; función de transferencia; redacción matemática en LaTeX.</w:t>
            </w:r>
          </w:p>
        </w:tc>
      </w:tr>
      <w:tr>
        <w:trPr>
          <w:cantSplit/>
        </w:trPr>
        <w:tc>
          <w:tcPr>
            <w:tcW w:w="270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Integrante 2 — liderazgo computacional</w:t>
            </w:r>
          </w:p>
        </w:tc>
        <w:tc>
          <w:tcPr>
            <w:tcW w:w="666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Estructura de Julia; implementación de entradas; simulaciones; exportación de figuras; guía de ejecución.</w:t>
            </w:r>
          </w:p>
        </w:tc>
      </w:tr>
      <w:tr>
        <w:trPr>
          <w:cantSplit/>
        </w:trPr>
        <w:tc>
          <w:tcPr>
            <w:tcW w:w="270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Ambas — responsabilidad conjunta</w:t>
            </w:r>
          </w:p>
        </w:tc>
        <w:tc>
          <w:tcPr>
            <w:tcW w:w="666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Parámetros físicos; diseño de pruebas; interpretación; comparación; conclusión; control de calidad y entrega.</w:t>
            </w:r>
          </w:p>
        </w:tc>
      </w:tr>
      <w:tr>
        <w:trPr>
          <w:cantSplit/>
        </w:trPr>
        <w:tc>
          <w:tcPr>
            <w:tcW w:w="270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Revisión cruzada</w:t>
            </w:r>
          </w:p>
        </w:tc>
        <w:tc>
          <w:tcPr>
            <w:tcW w:w="666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Integrante 2 reconstruye la derivación; Integrante 1 ejecuta el programa desde cero. Las dudas se resuelven antes de integrar.</w:t>
            </w:r>
          </w:p>
        </w:tc>
      </w:tr>
    </w:tbl>
    <w:p>
      <w:pPr>
        <w:pStyle w:val="Normal"/>
        <w:spacing w:lineRule="auto" w:line="300" w:before="0" w:after="40"/>
        <w:rPr/>
      </w:pPr>
      <w:r>
        <w:rPr/>
      </w:r>
    </w:p>
    <w:p>
      <w:pPr>
        <w:pStyle w:val="Heading1"/>
        <w:rPr/>
      </w:pPr>
      <w:r>
        <w:rPr/>
        <w:t>10. Cronograma hasta la entrega</w:t>
      </w:r>
    </w:p>
    <w:tbl>
      <w:tblPr>
        <w:tblStyle w:val="TableGrid"/>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1050"/>
        <w:gridCol w:w="1450"/>
        <w:gridCol w:w="4479"/>
        <w:gridCol w:w="2381"/>
      </w:tblGrid>
      <w:tr>
        <w:trPr>
          <w:tblHeader w:val="true"/>
          <w:cantSplit/>
        </w:trPr>
        <w:tc>
          <w:tcPr>
            <w:tcW w:w="1050"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7"/>
                <w:szCs w:val="22"/>
                <w:lang w:val="en-US" w:eastAsia="en-US" w:bidi="ar-SA"/>
              </w:rPr>
              <w:t>Fecha</w:t>
            </w:r>
          </w:p>
        </w:tc>
        <w:tc>
          <w:tcPr>
            <w:tcW w:w="1450"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7"/>
                <w:szCs w:val="22"/>
                <w:lang w:val="en-US" w:eastAsia="en-US" w:bidi="ar-SA"/>
              </w:rPr>
              <w:t>Enfoque</w:t>
            </w:r>
          </w:p>
        </w:tc>
        <w:tc>
          <w:tcPr>
            <w:tcW w:w="4479"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7"/>
                <w:szCs w:val="22"/>
                <w:lang w:val="en-US" w:eastAsia="en-US" w:bidi="ar-SA"/>
              </w:rPr>
              <w:t>Trabajo principal</w:t>
            </w:r>
          </w:p>
        </w:tc>
        <w:tc>
          <w:tcPr>
            <w:tcW w:w="2381"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7"/>
                <w:szCs w:val="22"/>
                <w:lang w:val="en-US" w:eastAsia="en-US" w:bidi="ar-SA"/>
              </w:rPr>
              <w:t>Punto de control</w:t>
            </w:r>
          </w:p>
        </w:tc>
      </w:tr>
      <w:tr>
        <w:trPr>
          <w:cantSplit/>
        </w:trPr>
        <w:tc>
          <w:tcPr>
            <w:tcW w:w="10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Dom. 23</w:t>
            </w:r>
          </w:p>
        </w:tc>
        <w:tc>
          <w:tcPr>
            <w:tcW w:w="14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Alineación</w:t>
            </w:r>
          </w:p>
        </w:tc>
        <w:tc>
          <w:tcPr>
            <w:tcW w:w="447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Cerrar modelo, signos, alcance, responsables y estructura de carpetas. Iniciar derivación y búsqueda de parámetros.</w:t>
            </w:r>
          </w:p>
        </w:tc>
        <w:tc>
          <w:tcPr>
            <w:tcW w:w="238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Diagrama y decisiones D1–D7 registradas.</w:t>
            </w:r>
          </w:p>
        </w:tc>
      </w:tr>
      <w:tr>
        <w:trPr>
          <w:cantSplit/>
        </w:trPr>
        <w:tc>
          <w:tcPr>
            <w:tcW w:w="10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Lun. 24</w:t>
            </w:r>
          </w:p>
        </w:tc>
        <w:tc>
          <w:tcPr>
            <w:tcW w:w="14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Construcción</w:t>
            </w:r>
          </w:p>
        </w:tc>
        <w:tc>
          <w:tcPr>
            <w:tcW w:w="447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Finalizar derivación y función de transferencia. Congelar parámetros. Implementar una primera versión de los dos casos en Julia.</w:t>
            </w:r>
          </w:p>
        </w:tc>
        <w:tc>
          <w:tcPr>
            <w:tcW w:w="238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Ecuaciones revisadas y programa mínimo ejecutable.</w:t>
            </w:r>
          </w:p>
        </w:tc>
      </w:tr>
      <w:tr>
        <w:trPr>
          <w:cantSplit/>
        </w:trPr>
        <w:tc>
          <w:tcPr>
            <w:tcW w:w="10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Mar. 25</w:t>
            </w:r>
          </w:p>
        </w:tc>
        <w:tc>
          <w:tcPr>
            <w:tcW w:w="14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Integración</w:t>
            </w:r>
          </w:p>
        </w:tc>
        <w:tc>
          <w:tcPr>
            <w:tcW w:w="447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Validar resultados, generar figuras definitivas, redactar análisis y completar el informe con el código.</w:t>
            </w:r>
          </w:p>
        </w:tc>
        <w:tc>
          <w:tcPr>
            <w:tcW w:w="238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PDF candidato compilado antes de terminar el día.</w:t>
            </w:r>
          </w:p>
        </w:tc>
      </w:tr>
      <w:tr>
        <w:trPr>
          <w:cantSplit/>
        </w:trPr>
        <w:tc>
          <w:tcPr>
            <w:tcW w:w="10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Mié. 26</w:t>
            </w:r>
          </w:p>
        </w:tc>
        <w:tc>
          <w:tcPr>
            <w:tcW w:w="145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Control y entrega</w:t>
            </w:r>
          </w:p>
        </w:tc>
        <w:tc>
          <w:tcPr>
            <w:tcW w:w="447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Ejecutar revisión cruzada, corregir inconsistencias, contar palabras de la conclusión, compilar desde limpio, respaldar y enviar.</w:t>
            </w:r>
          </w:p>
        </w:tc>
        <w:tc>
          <w:tcPr>
            <w:tcW w:w="238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Entrega realizada con margen antes del plazo.</w:t>
            </w:r>
          </w:p>
        </w:tc>
      </w:tr>
    </w:tbl>
    <w:p>
      <w:pPr>
        <w:pStyle w:val="Normal"/>
        <w:spacing w:lineRule="auto" w:line="300" w:before="0" w:after="40"/>
        <w:rPr/>
      </w:pPr>
      <w:r>
        <w:rPr/>
      </w:r>
    </w:p>
    <w:p>
      <w:pPr>
        <w:pStyle w:val="Normal"/>
        <w:pBdr>
          <w:left w:val="single" w:sz="18" w:space="7" w:color="7A5A00"/>
        </w:pBdr>
        <w:shd w:fill="FFF8E8" w:val="clear"/>
        <w:spacing w:lineRule="auto" w:line="288" w:before="80" w:after="180"/>
        <w:ind w:start="173" w:end="173"/>
        <w:rPr/>
      </w:pPr>
      <w:r>
        <w:rPr>
          <w:b/>
          <w:color w:val="7A5A00"/>
        </w:rPr>
        <w:t xml:space="preserve">Fecha interna recomendada. </w:t>
      </w:r>
      <w:r>
        <w:rPr/>
        <w:t>Tratar el martes 25 como la fecha real de terminación. El miércoles 26 debe reservarse para comprobaciones, correcciones menores y entrega, no para construir secciones nuevas.</w:t>
      </w:r>
    </w:p>
    <w:p>
      <w:pPr>
        <w:pStyle w:val="Heading1"/>
        <w:rPr/>
      </w:pPr>
      <w:r>
        <w:rPr/>
        <w:t>11. Riesgos y respuesta prevista</w:t>
      </w:r>
    </w:p>
    <w:tbl>
      <w:tblPr>
        <w:tblStyle w:val="TableGrid"/>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2299"/>
        <w:gridCol w:w="3000"/>
        <w:gridCol w:w="4061"/>
      </w:tblGrid>
      <w:tr>
        <w:trPr>
          <w:tblHeader w:val="true"/>
          <w:cantSplit/>
        </w:trPr>
        <w:tc>
          <w:tcPr>
            <w:tcW w:w="2299"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7"/>
                <w:szCs w:val="22"/>
                <w:lang w:val="en-US" w:eastAsia="en-US" w:bidi="ar-SA"/>
              </w:rPr>
              <w:t>Riesgo</w:t>
            </w:r>
          </w:p>
        </w:tc>
        <w:tc>
          <w:tcPr>
            <w:tcW w:w="3000"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7"/>
                <w:szCs w:val="22"/>
                <w:lang w:val="en-US" w:eastAsia="en-US" w:bidi="ar-SA"/>
              </w:rPr>
              <w:t>Señal de alerta</w:t>
            </w:r>
          </w:p>
        </w:tc>
        <w:tc>
          <w:tcPr>
            <w:tcW w:w="4061"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7"/>
                <w:szCs w:val="22"/>
                <w:lang w:val="en-US" w:eastAsia="en-US" w:bidi="ar-SA"/>
              </w:rPr>
              <w:t>Respuesta</w:t>
            </w:r>
          </w:p>
        </w:tc>
      </w:tr>
      <w:tr>
        <w:trPr>
          <w:cantSplit/>
        </w:trPr>
        <w:tc>
          <w:tcPr>
            <w:tcW w:w="22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Convenciones inconsistentes</w:t>
            </w:r>
          </w:p>
        </w:tc>
        <w:tc>
          <w:tcPr>
            <w:tcW w:w="300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La fuerza o el desplazamiento cambian de signo entre ecuaciones y código.</w:t>
            </w:r>
          </w:p>
        </w:tc>
        <w:tc>
          <w:tcPr>
            <w:tcW w:w="40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Congelar el diagrama en la fase 1 y hacer una revisión explícita de signos.</w:t>
            </w:r>
          </w:p>
        </w:tc>
      </w:tr>
      <w:tr>
        <w:trPr>
          <w:cantSplit/>
        </w:trPr>
        <w:tc>
          <w:tcPr>
            <w:tcW w:w="22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Parámetros arbitrarios</w:t>
            </w:r>
          </w:p>
        </w:tc>
        <w:tc>
          <w:tcPr>
            <w:tcW w:w="300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El comportamiento no parece una rueda o no puede justificarse.</w:t>
            </w:r>
          </w:p>
        </w:tc>
        <w:tc>
          <w:tcPr>
            <w:tcW w:w="40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Registrar fuente o criterio, calcular indicadores dinámicos y probar antes de redactar.</w:t>
            </w:r>
          </w:p>
        </w:tc>
      </w:tr>
      <w:tr>
        <w:trPr>
          <w:cantSplit/>
        </w:trPr>
        <w:tc>
          <w:tcPr>
            <w:tcW w:w="22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Modelo presentado como vehículo completo</w:t>
            </w:r>
          </w:p>
        </w:tc>
        <w:tc>
          <w:tcPr>
            <w:tcW w:w="300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Se hacen afirmaciones físicas que el sistema de un grado de libertad no soporta.</w:t>
            </w:r>
          </w:p>
        </w:tc>
        <w:tc>
          <w:tcPr>
            <w:tcW w:w="40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Nombrarlo analogía simplificada y declarar las variables omitidas.</w:t>
            </w:r>
          </w:p>
        </w:tc>
      </w:tr>
      <w:tr>
        <w:trPr>
          <w:cantSplit/>
        </w:trPr>
        <w:tc>
          <w:tcPr>
            <w:tcW w:w="22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Figuras desconectadas del código</w:t>
            </w:r>
          </w:p>
        </w:tc>
        <w:tc>
          <w:tcPr>
            <w:tcW w:w="300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El informe usa resultados de una versión anterior.</w:t>
            </w:r>
          </w:p>
        </w:tc>
        <w:tc>
          <w:tcPr>
            <w:tcW w:w="40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Regenerar todas las figuras después del último cambio de parámetros o lógica.</w:t>
            </w:r>
          </w:p>
        </w:tc>
      </w:tr>
      <w:tr>
        <w:trPr>
          <w:cantSplit/>
        </w:trPr>
        <w:tc>
          <w:tcPr>
            <w:tcW w:w="22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Integración tardía</w:t>
            </w:r>
          </w:p>
        </w:tc>
        <w:tc>
          <w:tcPr>
            <w:tcW w:w="300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Julia funciona, pero LaTeX no compila o el anexo está incompleto.</w:t>
            </w:r>
          </w:p>
        </w:tc>
        <w:tc>
          <w:tcPr>
            <w:tcW w:w="40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Crear la estructura LaTeX desde el lunes e integrar diariamente.</w:t>
            </w:r>
          </w:p>
        </w:tc>
      </w:tr>
      <w:tr>
        <w:trPr>
          <w:cantSplit/>
        </w:trPr>
        <w:tc>
          <w:tcPr>
            <w:tcW w:w="22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Conclusión demasiado extensa</w:t>
            </w:r>
          </w:p>
        </w:tc>
        <w:tc>
          <w:tcPr>
            <w:tcW w:w="3000"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Se incumple el límite de 100 palabras.</w:t>
            </w:r>
          </w:p>
        </w:tc>
        <w:tc>
          <w:tcPr>
            <w:tcW w:w="40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7"/>
                <w:szCs w:val="22"/>
                <w:lang w:val="en-US" w:eastAsia="en-US" w:bidi="ar-SA"/>
              </w:rPr>
              <w:t>Contar palabras y dejar margen; objetivo interno: 70–90 palabras.</w:t>
            </w:r>
          </w:p>
        </w:tc>
      </w:tr>
    </w:tbl>
    <w:p>
      <w:pPr>
        <w:pStyle w:val="Normal"/>
        <w:spacing w:lineRule="auto" w:line="300" w:before="0" w:after="40"/>
        <w:rPr/>
      </w:pPr>
      <w:r>
        <w:rPr/>
      </w:r>
    </w:p>
    <w:p>
      <w:pPr>
        <w:pStyle w:val="Heading1"/>
        <w:rPr/>
      </w:pPr>
      <w:r>
        <w:rPr/>
        <w:t>12. Lista final de verificación</w:t>
      </w:r>
    </w:p>
    <w:p>
      <w:pPr>
        <w:pStyle w:val="Heading2"/>
        <w:rPr/>
      </w:pPr>
      <w:r>
        <w:rPr/>
        <w:t>Modelo y matemáticas</w:t>
      </w:r>
    </w:p>
    <w:p>
      <w:pPr>
        <w:pStyle w:val="Normal"/>
        <w:spacing w:lineRule="auto" w:line="300" w:before="0" w:after="80"/>
        <w:ind w:hanging="269" w:start="269"/>
        <w:rPr/>
      </w:pPr>
      <w:r>
        <w:rPr>
          <w:rFonts w:ascii="DejaVu Sans" w:hAnsi="DejaVu Sans"/>
          <w:color w:val="2E74B5"/>
          <w:sz w:val="21"/>
        </w:rPr>
        <w:t xml:space="preserve">☐ </w:t>
      </w:r>
      <w:r>
        <w:rPr/>
        <w:t>El diagrama muestra de forma inequívoca el sentido positivo de x y de f(t).</w:t>
      </w:r>
    </w:p>
    <w:p>
      <w:pPr>
        <w:pStyle w:val="Normal"/>
        <w:spacing w:lineRule="auto" w:line="300" w:before="0" w:after="80"/>
        <w:ind w:hanging="269" w:start="269"/>
        <w:rPr/>
      </w:pPr>
      <w:r>
        <w:rPr>
          <w:rFonts w:ascii="DejaVu Sans" w:hAnsi="DejaVu Sans"/>
          <w:color w:val="2E74B5"/>
          <w:sz w:val="21"/>
        </w:rPr>
        <w:t xml:space="preserve">☐ </w:t>
      </w:r>
      <w:r>
        <w:rPr/>
        <w:t>Todos los símbolos se definen antes de utilizarse y conservan las mismas unidades.</w:t>
      </w:r>
    </w:p>
    <w:p>
      <w:pPr>
        <w:pStyle w:val="Normal"/>
        <w:spacing w:lineRule="auto" w:line="300" w:before="0" w:after="80"/>
        <w:ind w:hanging="269" w:start="269"/>
        <w:rPr/>
      </w:pPr>
      <w:r>
        <w:rPr>
          <w:rFonts w:ascii="DejaVu Sans" w:hAnsi="DejaVu Sans"/>
          <w:color w:val="2E74B5"/>
          <w:sz w:val="21"/>
        </w:rPr>
        <w:t xml:space="preserve">☐ </w:t>
      </w:r>
      <w:r>
        <w:rPr/>
        <w:t>La deducción de Lagrange incluye energía cinética, potencial, disipación y fuerza generalizada.</w:t>
      </w:r>
    </w:p>
    <w:p>
      <w:pPr>
        <w:pStyle w:val="Normal"/>
        <w:spacing w:lineRule="auto" w:line="300" w:before="0" w:after="80"/>
        <w:ind w:hanging="269" w:start="269"/>
        <w:rPr/>
      </w:pPr>
      <w:r>
        <w:rPr>
          <w:rFonts w:ascii="DejaVu Sans" w:hAnsi="DejaVu Sans"/>
          <w:color w:val="2E74B5"/>
          <w:sz w:val="21"/>
        </w:rPr>
        <w:t xml:space="preserve">☐ </w:t>
      </w:r>
      <w:r>
        <w:rPr/>
        <w:t>La función de transferencia declara la hipótesis de condiciones iniciales nulas.</w:t>
      </w:r>
    </w:p>
    <w:p>
      <w:pPr>
        <w:pStyle w:val="Normal"/>
        <w:spacing w:lineRule="auto" w:line="300" w:before="0" w:after="80"/>
        <w:ind w:hanging="269" w:start="269"/>
        <w:rPr/>
      </w:pPr>
      <w:r>
        <w:rPr>
          <w:rFonts w:ascii="DejaVu Sans" w:hAnsi="DejaVu Sans"/>
          <w:color w:val="2E74B5"/>
          <w:sz w:val="21"/>
        </w:rPr>
        <w:t xml:space="preserve">☐ </w:t>
      </w:r>
      <w:r>
        <w:rPr/>
        <w:t>Los parámetros están justificados y coinciden en todo el proyecto.</w:t>
      </w:r>
    </w:p>
    <w:p>
      <w:pPr>
        <w:pStyle w:val="Heading2"/>
        <w:rPr/>
      </w:pPr>
      <w:r>
        <w:rPr/>
        <w:t>Programa y evaluación</w:t>
      </w:r>
    </w:p>
    <w:p>
      <w:pPr>
        <w:pStyle w:val="Normal"/>
        <w:spacing w:lineRule="auto" w:line="300" w:before="0" w:after="80"/>
        <w:ind w:hanging="269" w:start="269"/>
        <w:rPr/>
      </w:pPr>
      <w:r>
        <w:rPr>
          <w:rFonts w:ascii="DejaVu Sans" w:hAnsi="DejaVu Sans"/>
          <w:color w:val="2E74B5"/>
          <w:sz w:val="21"/>
        </w:rPr>
        <w:t xml:space="preserve">☐ </w:t>
      </w:r>
      <w:r>
        <w:rPr/>
        <w:t>El archivo Julia se ejecuta sin modificaciones manuales intermedias.</w:t>
      </w:r>
    </w:p>
    <w:p>
      <w:pPr>
        <w:pStyle w:val="Normal"/>
        <w:spacing w:lineRule="auto" w:line="300" w:before="0" w:after="80"/>
        <w:ind w:hanging="269" w:start="269"/>
        <w:rPr/>
      </w:pPr>
      <w:r>
        <w:rPr>
          <w:rFonts w:ascii="DejaVu Sans" w:hAnsi="DejaVu Sans"/>
          <w:color w:val="2E74B5"/>
          <w:sz w:val="21"/>
        </w:rPr>
        <w:t xml:space="preserve">☐ </w:t>
      </w:r>
      <w:r>
        <w:rPr/>
        <w:t>La respuesta natural usa una condición inicial no nula y f(t)=0.</w:t>
      </w:r>
    </w:p>
    <w:p>
      <w:pPr>
        <w:pStyle w:val="Normal"/>
        <w:spacing w:lineRule="auto" w:line="300" w:before="0" w:after="80"/>
        <w:ind w:hanging="269" w:start="269"/>
        <w:rPr/>
      </w:pPr>
      <w:r>
        <w:rPr>
          <w:rFonts w:ascii="DejaVu Sans" w:hAnsi="DejaVu Sans"/>
          <w:color w:val="2E74B5"/>
          <w:sz w:val="21"/>
        </w:rPr>
        <w:t xml:space="preserve">☐ </w:t>
      </w:r>
      <w:r>
        <w:rPr/>
        <w:t>La respuesta forzada define matemáticamente una entrada conocida.</w:t>
      </w:r>
    </w:p>
    <w:p>
      <w:pPr>
        <w:pStyle w:val="Normal"/>
        <w:spacing w:lineRule="auto" w:line="300" w:before="0" w:after="80"/>
        <w:ind w:hanging="269" w:start="269"/>
        <w:rPr/>
      </w:pPr>
      <w:r>
        <w:rPr>
          <w:rFonts w:ascii="DejaVu Sans" w:hAnsi="DejaVu Sans"/>
          <w:color w:val="2E74B5"/>
          <w:sz w:val="21"/>
        </w:rPr>
        <w:t xml:space="preserve">☐ </w:t>
      </w:r>
      <w:r>
        <w:rPr/>
        <w:t>Las figuras tienen títulos, ejes, unidades y leyendas legibles.</w:t>
      </w:r>
    </w:p>
    <w:p>
      <w:pPr>
        <w:pStyle w:val="Normal"/>
        <w:spacing w:lineRule="auto" w:line="300" w:before="0" w:after="80"/>
        <w:ind w:hanging="269" w:start="269"/>
        <w:rPr/>
      </w:pPr>
      <w:r>
        <w:rPr>
          <w:rFonts w:ascii="DejaVu Sans" w:hAnsi="DejaVu Sans"/>
          <w:color w:val="2E74B5"/>
          <w:sz w:val="21"/>
        </w:rPr>
        <w:t xml:space="preserve">☐ </w:t>
      </w:r>
      <w:r>
        <w:rPr/>
        <w:t>Al menos una predicción teórica se contrasta con el resultado numérico.</w:t>
      </w:r>
    </w:p>
    <w:p>
      <w:pPr>
        <w:pStyle w:val="Normal"/>
        <w:spacing w:lineRule="auto" w:line="300" w:before="0" w:after="80"/>
        <w:ind w:hanging="269" w:start="269"/>
        <w:rPr/>
      </w:pPr>
      <w:r>
        <w:rPr>
          <w:rFonts w:ascii="DejaVu Sans" w:hAnsi="DejaVu Sans"/>
          <w:color w:val="2E74B5"/>
          <w:sz w:val="21"/>
        </w:rPr>
        <w:t xml:space="preserve">☐ </w:t>
      </w:r>
      <w:r>
        <w:rPr/>
        <w:t>La comparación interpreta las curvas y no se limita a describir su apariencia.</w:t>
      </w:r>
    </w:p>
    <w:p>
      <w:pPr>
        <w:pStyle w:val="Heading2"/>
        <w:rPr/>
      </w:pPr>
      <w:r>
        <w:rPr/>
        <w:t>Informe y entrega</w:t>
      </w:r>
    </w:p>
    <w:p>
      <w:pPr>
        <w:pStyle w:val="Normal"/>
        <w:spacing w:lineRule="auto" w:line="300" w:before="0" w:after="80"/>
        <w:ind w:hanging="269" w:start="269"/>
        <w:rPr/>
      </w:pPr>
      <w:r>
        <w:rPr>
          <w:rFonts w:ascii="DejaVu Sans" w:hAnsi="DejaVu Sans"/>
          <w:color w:val="2E74B5"/>
          <w:sz w:val="21"/>
        </w:rPr>
        <w:t xml:space="preserve">☐ </w:t>
      </w:r>
      <w:r>
        <w:rPr/>
        <w:t>El PDF fue compilado desde LaTeX y no contiene referencias, ecuaciones o figuras rotas.</w:t>
      </w:r>
    </w:p>
    <w:p>
      <w:pPr>
        <w:pStyle w:val="Normal"/>
        <w:spacing w:lineRule="auto" w:line="300" w:before="0" w:after="80"/>
        <w:ind w:hanging="269" w:start="269"/>
        <w:rPr/>
      </w:pPr>
      <w:r>
        <w:rPr>
          <w:rFonts w:ascii="DejaVu Sans" w:hAnsi="DejaVu Sans"/>
          <w:color w:val="2E74B5"/>
          <w:sz w:val="21"/>
        </w:rPr>
        <w:t xml:space="preserve">☐ </w:t>
      </w:r>
      <w:r>
        <w:rPr/>
        <w:t>La sección de evaluación contiene pruebas con y sin excitación externa.</w:t>
      </w:r>
    </w:p>
    <w:p>
      <w:pPr>
        <w:pStyle w:val="Normal"/>
        <w:spacing w:lineRule="auto" w:line="300" w:before="0" w:after="80"/>
        <w:ind w:hanging="269" w:start="269"/>
        <w:rPr/>
      </w:pPr>
      <w:r>
        <w:rPr>
          <w:rFonts w:ascii="DejaVu Sans" w:hAnsi="DejaVu Sans"/>
          <w:color w:val="2E74B5"/>
          <w:sz w:val="21"/>
        </w:rPr>
        <w:t xml:space="preserve">☐ </w:t>
      </w:r>
      <w:r>
        <w:rPr/>
        <w:t>La conclusión tiene menos de 100 palabras.</w:t>
      </w:r>
    </w:p>
    <w:p>
      <w:pPr>
        <w:pStyle w:val="Normal"/>
        <w:spacing w:lineRule="auto" w:line="300" w:before="0" w:after="80"/>
        <w:ind w:hanging="269" w:start="269"/>
        <w:rPr/>
      </w:pPr>
      <w:r>
        <w:rPr>
          <w:rFonts w:ascii="DejaVu Sans" w:hAnsi="DejaVu Sans"/>
          <w:color w:val="2E74B5"/>
          <w:sz w:val="21"/>
        </w:rPr>
        <w:t xml:space="preserve">☐ </w:t>
      </w:r>
      <w:r>
        <w:rPr/>
        <w:t>El código completo incluido en el PDF coincide con el ejecutado.</w:t>
      </w:r>
    </w:p>
    <w:p>
      <w:pPr>
        <w:pStyle w:val="Normal"/>
        <w:spacing w:lineRule="auto" w:line="300" w:before="0" w:after="80"/>
        <w:ind w:hanging="269" w:start="269"/>
        <w:rPr/>
      </w:pPr>
      <w:r>
        <w:rPr>
          <w:rFonts w:ascii="DejaVu Sans" w:hAnsi="DejaVu Sans"/>
          <w:color w:val="2E74B5"/>
          <w:sz w:val="21"/>
        </w:rPr>
        <w:t xml:space="preserve">☐ </w:t>
      </w:r>
      <w:r>
        <w:rPr/>
        <w:t>Los requisitos R1–R9 están cubiertos y fueron revisados por ambas integrantes.</w:t>
      </w:r>
    </w:p>
    <w:p>
      <w:pPr>
        <w:pStyle w:val="Normal"/>
        <w:spacing w:lineRule="auto" w:line="300" w:before="0" w:after="80"/>
        <w:ind w:hanging="269" w:start="269"/>
        <w:rPr/>
      </w:pPr>
      <w:r>
        <w:rPr>
          <w:rFonts w:ascii="DejaVu Sans" w:hAnsi="DejaVu Sans"/>
          <w:color w:val="2E74B5"/>
          <w:sz w:val="21"/>
        </w:rPr>
        <w:t xml:space="preserve">☐ </w:t>
      </w:r>
      <w:r>
        <w:rPr/>
        <w:t>Existe una copia de respaldo del PDF y de la carpeta reproducible.</w:t>
      </w:r>
    </w:p>
    <w:p>
      <w:pPr>
        <w:pStyle w:val="Heading1"/>
        <w:rPr/>
      </w:pPr>
      <w:r>
        <w:rPr/>
        <w:t>13. Agenda de la primera sesión de trabajo</w:t>
      </w:r>
    </w:p>
    <w:p>
      <w:pPr>
        <w:pStyle w:val="Normal"/>
        <w:keepLines w:val="false"/>
        <w:spacing w:lineRule="auto" w:line="300" w:before="0" w:after="120"/>
        <w:rPr/>
      </w:pPr>
      <w:r>
        <w:rPr/>
        <w:t>Duración sugerida: 75–90 minutos. El objetivo es salir de la reunión con decisiones cerradas, no con una discusión abierta.</w:t>
      </w:r>
    </w:p>
    <w:tbl>
      <w:tblPr>
        <w:tblStyle w:val="TableGrid"/>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1699"/>
        <w:gridCol w:w="7661"/>
      </w:tblGrid>
      <w:tr>
        <w:trPr>
          <w:tblHeader w:val="true"/>
          <w:cantSplit/>
        </w:trPr>
        <w:tc>
          <w:tcPr>
            <w:tcW w:w="1699"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8"/>
                <w:szCs w:val="22"/>
                <w:lang w:val="en-US" w:eastAsia="en-US" w:bidi="ar-SA"/>
              </w:rPr>
              <w:t>Tiempo</w:t>
            </w:r>
          </w:p>
        </w:tc>
        <w:tc>
          <w:tcPr>
            <w:tcW w:w="7661" w:type="dxa"/>
            <w:tcBorders/>
            <w:shd w:fill="E8EEF5" w:val="clear"/>
            <w:vAlign w:val="center"/>
          </w:tcPr>
          <w:p>
            <w:pPr>
              <w:pStyle w:val="Normal"/>
              <w:widowControl/>
              <w:spacing w:lineRule="auto" w:line="252" w:before="0" w:after="0"/>
              <w:jc w:val="start"/>
              <w:rPr>
                <w:rFonts w:eastAsia="ＭＳ 明朝" w:cs=""/>
                <w:kern w:val="0"/>
                <w:szCs w:val="22"/>
                <w:lang w:val="en-US" w:eastAsia="en-US" w:bidi="ar-SA"/>
              </w:rPr>
            </w:pPr>
            <w:r>
              <w:rPr>
                <w:rFonts w:eastAsia="ＭＳ 明朝" w:cs=""/>
                <w:b/>
                <w:color w:val="0B2545"/>
                <w:kern w:val="0"/>
                <w:sz w:val="18"/>
                <w:szCs w:val="22"/>
                <w:lang w:val="en-US" w:eastAsia="en-US" w:bidi="ar-SA"/>
              </w:rPr>
              <w:t>Acción</w:t>
            </w:r>
          </w:p>
        </w:tc>
      </w:tr>
      <w:tr>
        <w:trPr>
          <w:cantSplit/>
        </w:trPr>
        <w:tc>
          <w:tcPr>
            <w:tcW w:w="16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0–10 min</w:t>
            </w:r>
          </w:p>
        </w:tc>
        <w:tc>
          <w:tcPr>
            <w:tcW w:w="76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Leer la matriz R1–R9 y confirmar el alcance.</w:t>
            </w:r>
          </w:p>
        </w:tc>
      </w:tr>
      <w:tr>
        <w:trPr>
          <w:cantSplit/>
        </w:trPr>
        <w:tc>
          <w:tcPr>
            <w:tcW w:w="16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10–25 min</w:t>
            </w:r>
          </w:p>
        </w:tc>
        <w:tc>
          <w:tcPr>
            <w:tcW w:w="76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Aprobar el diagrama, la interpretación física y la convención de signos.</w:t>
            </w:r>
          </w:p>
        </w:tc>
      </w:tr>
      <w:tr>
        <w:trPr>
          <w:cantSplit/>
        </w:trPr>
        <w:tc>
          <w:tcPr>
            <w:tcW w:w="16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25–45 min</w:t>
            </w:r>
          </w:p>
        </w:tc>
        <w:tc>
          <w:tcPr>
            <w:tcW w:w="76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Definir el procedimiento para escoger m, k y β y asignar la búsqueda.</w:t>
            </w:r>
          </w:p>
        </w:tc>
      </w:tr>
      <w:tr>
        <w:trPr>
          <w:cantSplit/>
        </w:trPr>
        <w:tc>
          <w:tcPr>
            <w:tcW w:w="16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45–60 min</w:t>
            </w:r>
          </w:p>
        </w:tc>
        <w:tc>
          <w:tcPr>
            <w:tcW w:w="76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Acordar condición inicial, señal forzada y variables que se graficarán.</w:t>
            </w:r>
          </w:p>
        </w:tc>
      </w:tr>
      <w:tr>
        <w:trPr>
          <w:cantSplit/>
        </w:trPr>
        <w:tc>
          <w:tcPr>
            <w:tcW w:w="16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60–75 min</w:t>
            </w:r>
          </w:p>
        </w:tc>
        <w:tc>
          <w:tcPr>
            <w:tcW w:w="76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Asignar roles, crear carpetas y fijar puntos de control del lunes y martes.</w:t>
            </w:r>
          </w:p>
        </w:tc>
      </w:tr>
      <w:tr>
        <w:trPr>
          <w:cantSplit/>
        </w:trPr>
        <w:tc>
          <w:tcPr>
            <w:tcW w:w="1699"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75–90 min</w:t>
            </w:r>
          </w:p>
        </w:tc>
        <w:tc>
          <w:tcPr>
            <w:tcW w:w="7661" w:type="dxa"/>
            <w:tcBorders/>
            <w:vAlign w:val="center"/>
          </w:tcPr>
          <w:p>
            <w:pPr>
              <w:pStyle w:val="Normal"/>
              <w:widowControl/>
              <w:spacing w:lineRule="auto" w:line="259" w:before="0" w:after="0"/>
              <w:jc w:val="start"/>
              <w:rPr>
                <w:rFonts w:eastAsia="ＭＳ 明朝" w:cs=""/>
                <w:kern w:val="0"/>
                <w:szCs w:val="22"/>
                <w:lang w:val="en-US" w:eastAsia="en-US" w:bidi="ar-SA"/>
              </w:rPr>
            </w:pPr>
            <w:r>
              <w:rPr>
                <w:rFonts w:eastAsia="ＭＳ 明朝" w:cs=""/>
                <w:kern w:val="0"/>
                <w:sz w:val="18"/>
                <w:szCs w:val="22"/>
                <w:lang w:val="en-US" w:eastAsia="en-US" w:bidi="ar-SA"/>
              </w:rPr>
              <w:t>Iniciar en paralelo el borrador de la derivación y el esqueleto del programa.</w:t>
            </w:r>
          </w:p>
        </w:tc>
      </w:tr>
    </w:tbl>
    <w:p>
      <w:pPr>
        <w:pStyle w:val="Normal"/>
        <w:spacing w:lineRule="auto" w:line="300" w:before="0" w:after="40"/>
        <w:rPr/>
      </w:pPr>
      <w:r>
        <w:rPr/>
      </w:r>
    </w:p>
    <w:p>
      <w:pPr>
        <w:pStyle w:val="Normal"/>
        <w:pBdr>
          <w:left w:val="single" w:sz="18" w:space="7" w:color="2D6A4F"/>
        </w:pBdr>
        <w:shd w:fill="EAF4EF" w:val="clear"/>
        <w:spacing w:lineRule="auto" w:line="288" w:before="80" w:after="180"/>
        <w:ind w:start="173" w:end="173"/>
        <w:rPr/>
      </w:pPr>
      <w:r>
        <w:rPr>
          <w:b/>
          <w:color w:val="2D6A4F"/>
        </w:rPr>
        <w:t xml:space="preserve">Salida obligatoria de la sesión. </w:t>
      </w:r>
      <w:r>
        <w:rPr/>
        <w:t>Diagrama definitivo, convención escrita, responsables nominales, parámetros por investigar, señal candidata, estructura de archivos y hora del siguiente punto de control.</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mbria Math">
    <w:charset w:val="01" w:characterSet="utf-8"/>
    <w:family w:val="roman"/>
    <w:pitch w:val="variable"/>
  </w:font>
  <w:font w:name="DejaVu Sans">
    <w:charset w:val="01" w:characterSet="utf-8"/>
    <w:family w:val="roman"/>
    <w:pitch w:val="variable"/>
  </w:font>
  <w:font w:name="Symbol">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F6B7A"/>
        <w:sz w:val="18"/>
      </w:rPr>
      <w:t xml:space="preserve">Página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F6B7A"/>
        <w:sz w:val="18"/>
      </w:rPr>
      <w:t xml:space="preserve">Página </w:t>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start"/>
      <w:rPr/>
    </w:pPr>
    <w:r>
      <w:rPr>
        <w:b/>
        <w:color w:val="5F6B7A"/>
        <w:sz w:val="17"/>
      </w:rPr>
      <w:t>MATEMÁTICAS ESPECIALES  |  ASSIGNMENT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start"/>
      <w:rPr/>
    </w:pPr>
    <w:r>
      <w:rPr>
        <w:b/>
        <w:color w:val="5F6B7A"/>
        <w:sz w:val="17"/>
      </w:rPr>
      <w:t>MATEMÁTICAS ESPECIALES  |  ASSIGNMENT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540"/>
        </w:tabs>
        <w:ind w:start="540" w:hanging="270"/>
      </w:pPr>
      <w:rPr>
        <w:rFonts w:ascii="Calibri" w:hAnsi="Calibri" w:cs="Calibri"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540"/>
        </w:tabs>
        <w:ind w:start="540" w:hanging="270"/>
      </w:pPr>
      <w:rPr>
        <w:rFonts w:ascii="Calibri" w:hAnsi="Calibri"/>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00" w:before="0" w:after="12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20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80" w:after="14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Steplabel" w:customStyle="1">
    <w:name w:val="Step label"/>
    <w:qFormat/>
    <w:pPr>
      <w:keepNext w:val="true"/>
      <w:widowControl/>
      <w:bidi w:val="0"/>
      <w:spacing w:lineRule="auto" w:line="276" w:before="100" w:after="40"/>
      <w:jc w:val="start"/>
    </w:pPr>
    <w:rPr>
      <w:rFonts w:ascii="Calibri" w:hAnsi="Calibri" w:eastAsia="ＭＳ 明朝" w:cs=""/>
      <w:b/>
      <w:color w:val="1F4D78"/>
      <w:kern w:val="0"/>
      <w:sz w:val="22"/>
      <w:szCs w:val="22"/>
      <w:lang w:val="en-US" w:eastAsia="en-US" w:bidi="ar-SA"/>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LibreOffice/26.2.5.2$Linux_X86_64 LibreOffice_project/620$Build-2</Application>
  <AppVersion>15.0000</AppVersion>
  <Pages>11</Pages>
  <Words>2997</Words>
  <Characters>16978</Characters>
  <CharactersWithSpaces>19563</CharactersWithSpaces>
  <Paragraphs>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de Matemáticas Especiales</dc:creator>
  <dc:description>Documento de planificación; no contiene la solución del entregable.</dc:description>
  <cp:keywords>Julia LaTeX Lagrange función de transferencia plan de acción</cp:keywords>
  <dc:language>es-CO</dc:language>
  <cp:lastModifiedBy/>
  <dcterms:modified xsi:type="dcterms:W3CDTF">2026-08-24T14:46:02Z</dcterms:modified>
  <cp:revision>2</cp:revision>
  <dc:subject>Plan operativo para el entregable de Matemáticas Especiales</dc:subject>
  <dc:title>Plan de acción — Assignment 1: programa en Julia y reporte en LaTeX</dc:title>
</cp:coreProperties>
</file>

<file path=docProps/custom.xml><?xml version="1.0" encoding="utf-8"?>
<Properties xmlns="http://schemas.openxmlformats.org/officeDocument/2006/custom-properties" xmlns:vt="http://schemas.openxmlformats.org/officeDocument/2006/docPropsVTypes"/>
</file>