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8B01" w14:textId="6FCAD2A0" w:rsidR="006A6C6B" w:rsidRPr="006A6C6B" w:rsidRDefault="006A6C6B" w:rsidP="006A6C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6C6B">
        <w:rPr>
          <w:rFonts w:ascii="Times New Roman" w:hAnsi="Times New Roman" w:cs="Times New Roman"/>
          <w:b/>
          <w:bCs/>
          <w:sz w:val="24"/>
          <w:szCs w:val="24"/>
        </w:rPr>
        <w:t>Using the same axes that were used in Figure 2, identify where the publications you discovered in Exercise 2 would appear on a similar graph</w:t>
      </w:r>
      <w:r w:rsidRPr="00E524B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A6C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DB38857" w14:textId="1BB700B0" w:rsidR="006A6C6B" w:rsidRPr="006A6C6B" w:rsidRDefault="00E524B3" w:rsidP="006A6C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6A6C6B" w:rsidRPr="006A6C6B">
        <w:rPr>
          <w:rFonts w:ascii="Times New Roman" w:hAnsi="Times New Roman" w:cs="Times New Roman"/>
          <w:sz w:val="24"/>
          <w:szCs w:val="24"/>
        </w:rPr>
        <w:t>wo axes:</w:t>
      </w:r>
    </w:p>
    <w:p w14:paraId="1B826FDD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Audience: Ranging from Practitioners to Researchers. </w:t>
      </w:r>
    </w:p>
    <w:p w14:paraId="760A274E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Content Type: Spanning from Informal to Formal. </w:t>
      </w:r>
    </w:p>
    <w:p w14:paraId="7E92DA1C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This results in four quadrants: </w:t>
      </w:r>
    </w:p>
    <w:p w14:paraId="62C67143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Practitioner + Informal </w:t>
      </w:r>
    </w:p>
    <w:p w14:paraId="71F3F260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Practitioner + Formal </w:t>
      </w:r>
    </w:p>
    <w:p w14:paraId="36A64151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Researcher + Informal </w:t>
      </w:r>
    </w:p>
    <w:p w14:paraId="23247E65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Researcher + Formal </w:t>
      </w:r>
    </w:p>
    <w:p w14:paraId="4A11A47C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Based on the nature and intended audience of each publication, here's their placement: </w:t>
      </w:r>
    </w:p>
    <w:p w14:paraId="21E000F1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1. Joel on Software (Blog) </w:t>
      </w:r>
    </w:p>
    <w:p w14:paraId="2990D380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Audience: Primarily Practitioners. </w:t>
      </w:r>
    </w:p>
    <w:p w14:paraId="340EA6F3" w14:textId="1E24407E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Content Type: </w:t>
      </w:r>
      <w:r w:rsidRPr="006A6C6B">
        <w:rPr>
          <w:rFonts w:ascii="Times New Roman" w:hAnsi="Times New Roman" w:cs="Times New Roman"/>
          <w:sz w:val="24"/>
          <w:szCs w:val="24"/>
        </w:rPr>
        <w:t>Informal (</w:t>
      </w:r>
      <w:r w:rsidRPr="006A6C6B">
        <w:rPr>
          <w:rFonts w:ascii="Times New Roman" w:hAnsi="Times New Roman" w:cs="Times New Roman"/>
          <w:sz w:val="24"/>
          <w:szCs w:val="24"/>
        </w:rPr>
        <w:t xml:space="preserve">empirical-software engineering) </w:t>
      </w:r>
    </w:p>
    <w:p w14:paraId="31277CC3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Joel Spolsky's blog offers personal insights and anecdotes on software development, management, and business. The content is conversational and aimed at software developers and managers seeking practical advice. </w:t>
      </w:r>
    </w:p>
    <w:p w14:paraId="52EA1F6D" w14:textId="77777777" w:rsid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Placement: Quadrant 1 – Practitioner + Informal. </w:t>
      </w:r>
    </w:p>
    <w:p w14:paraId="22A5C207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</w:p>
    <w:p w14:paraId="7AC48996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2. Software Lead Weekly (Newsletter) </w:t>
      </w:r>
    </w:p>
    <w:p w14:paraId="60DF3C65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Audience: Practitioners, especially tech leads and engineering managers. </w:t>
      </w:r>
    </w:p>
    <w:p w14:paraId="6F1CE719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Content Type: Informal. </w:t>
      </w:r>
    </w:p>
    <w:p w14:paraId="42DAA650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This curated newsletter compiles articles, tools, and resources relevant to software leadership and team management. The tone is approachable, targeting professionals in leadership roles. </w:t>
      </w:r>
    </w:p>
    <w:p w14:paraId="592B2B32" w14:textId="77777777" w:rsid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Placement: Quadrant 1 – Practitioner + Informal. </w:t>
      </w:r>
    </w:p>
    <w:p w14:paraId="4F021FEC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</w:p>
    <w:p w14:paraId="6824F8B9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3. IEEE Software (Magazine) </w:t>
      </w:r>
    </w:p>
    <w:p w14:paraId="6D66D00F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Audience: Both Practitioners and Researchers. </w:t>
      </w:r>
    </w:p>
    <w:p w14:paraId="1C48BD26" w14:textId="60F06D75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>Content Type: Semi-Formal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6C6B">
        <w:rPr>
          <w:rFonts w:ascii="Times New Roman" w:hAnsi="Times New Roman" w:cs="Times New Roman"/>
          <w:sz w:val="24"/>
          <w:szCs w:val="24"/>
        </w:rPr>
        <w:t xml:space="preserve">(IEEE Access) </w:t>
      </w:r>
    </w:p>
    <w:p w14:paraId="2D8D0B49" w14:textId="77777777" w:rsid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IEEE Software bridges the gap between theory and practice, presenting peer-reviewed articles that are accessible to practitioners while maintaining academic rigor. </w:t>
      </w:r>
    </w:p>
    <w:p w14:paraId="6A2A36E7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</w:p>
    <w:p w14:paraId="16F6B701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Placement: Straddling Quadrants 2 and 4 – Practitioner + Formal and Researcher + Formal. </w:t>
      </w:r>
    </w:p>
    <w:p w14:paraId="11D75FC8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4. Empirical Software Engineering (Journal) </w:t>
      </w:r>
    </w:p>
    <w:p w14:paraId="0E823AE6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Audience: Primarily Researchers. </w:t>
      </w:r>
    </w:p>
    <w:p w14:paraId="351A48B8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Content Type: Formal. </w:t>
      </w:r>
    </w:p>
    <w:p w14:paraId="4C649967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This peer-reviewed journal focuses on empirical studies in software engineering, catering to an academic audience interested in rigorous research methodologies and findings. </w:t>
      </w:r>
    </w:p>
    <w:p w14:paraId="4A5DE719" w14:textId="77777777" w:rsid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Placement: Quadrant 4 – Researcher + Formal. </w:t>
      </w:r>
    </w:p>
    <w:p w14:paraId="599853AC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</w:p>
    <w:p w14:paraId="0F778C64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lastRenderedPageBreak/>
        <w:t xml:space="preserve">5. International Conference on Software Engineering (ICSE) </w:t>
      </w:r>
    </w:p>
    <w:p w14:paraId="785197CA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Audience: Primarily Researchers. </w:t>
      </w:r>
    </w:p>
    <w:p w14:paraId="6D391AD0" w14:textId="6F85040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>Content Type: Formal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6C6B">
        <w:rPr>
          <w:rFonts w:ascii="Times New Roman" w:hAnsi="Times New Roman" w:cs="Times New Roman"/>
          <w:sz w:val="24"/>
          <w:szCs w:val="24"/>
        </w:rPr>
        <w:t xml:space="preserve">(ICSE Conferences) </w:t>
      </w:r>
    </w:p>
    <w:p w14:paraId="42C69646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 xml:space="preserve">ICSE is a leading academic conference where researchers present peer-reviewed papers on software engineering topics. The content is scholarly and intended for an academic audience. </w:t>
      </w:r>
    </w:p>
    <w:p w14:paraId="577FC6E2" w14:textId="77777777" w:rsidR="006A6C6B" w:rsidRPr="006A6C6B" w:rsidRDefault="006A6C6B" w:rsidP="006A6C6B">
      <w:pPr>
        <w:rPr>
          <w:rFonts w:ascii="Times New Roman" w:hAnsi="Times New Roman" w:cs="Times New Roman"/>
          <w:sz w:val="24"/>
          <w:szCs w:val="24"/>
        </w:rPr>
      </w:pPr>
      <w:r w:rsidRPr="006A6C6B">
        <w:rPr>
          <w:rFonts w:ascii="Times New Roman" w:hAnsi="Times New Roman" w:cs="Times New Roman"/>
          <w:sz w:val="24"/>
          <w:szCs w:val="24"/>
        </w:rPr>
        <w:t>Placement: Quadrant 4 – Researcher + Formal.</w:t>
      </w:r>
    </w:p>
    <w:p w14:paraId="0FD6B788" w14:textId="77777777" w:rsidR="00430A68" w:rsidRPr="006A6C6B" w:rsidRDefault="00430A68">
      <w:pPr>
        <w:rPr>
          <w:rFonts w:ascii="Times New Roman" w:hAnsi="Times New Roman" w:cs="Times New Roman"/>
        </w:rPr>
      </w:pPr>
    </w:p>
    <w:sectPr w:rsidR="00430A68" w:rsidRPr="006A6C6B" w:rsidSect="006A6C6B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C6B"/>
    <w:rsid w:val="00425D95"/>
    <w:rsid w:val="00430A68"/>
    <w:rsid w:val="004A4E74"/>
    <w:rsid w:val="006A6C6B"/>
    <w:rsid w:val="00E5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912E8"/>
  <w15:chartTrackingRefBased/>
  <w15:docId w15:val="{A141C850-FDAA-4166-BB64-27A731B0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C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C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C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C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C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9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C94B61-A514-4B0C-9EB0-C2B22B91F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Lawrence Parcon</dc:creator>
  <cp:keywords/>
  <dc:description/>
  <cp:lastModifiedBy>Cris Lawrence Parcon</cp:lastModifiedBy>
  <cp:revision>2</cp:revision>
  <dcterms:created xsi:type="dcterms:W3CDTF">2025-05-26T11:18:00Z</dcterms:created>
  <dcterms:modified xsi:type="dcterms:W3CDTF">2025-05-26T11:23:00Z</dcterms:modified>
</cp:coreProperties>
</file>