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OUTILS D’ANALYSE DES RISQUES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RISQUES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PROBABILITE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IMPACT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GRAVITE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Grèves des employés (R1)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Diminution des serveurs Internet pour des raisons écologique (R2)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9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Copie / Vol concept du projet par une entreprise concurrente (R3)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IA (possibilité de leur demander directement un site Internet souhaité en fonction de nos critères) (R4)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6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Démissions employés (R5)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NB. Faire une représentation graphique de l’analyse de la gravité des risques identifiés dans l’espace ci-dessous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500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10"/>
        <w:gridCol w:w="1510"/>
        <w:gridCol w:w="1510"/>
        <w:gridCol w:w="1509"/>
        <w:gridCol w:w="1513"/>
        <w:gridCol w:w="1509"/>
      </w:tblGrid>
      <w:tr>
        <w:trPr/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RISQUES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EFFETS SUR LE PROJET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MESURES PREVENTIVES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MESURES CURATIVES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COÛTS</w:t>
            </w:r>
          </w:p>
        </w:tc>
      </w:tr>
      <w:tr>
        <w:trPr/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Grèves des employés (R1)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Diminution développement projet et du C.A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Motiver les employés à l’aide d’une mise en place d’une activité améliorant leur bonheur au seins de l’entreprise en fonction de la raison de la grève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Presque nul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Faire appel à des négociateurs pouvant régler la situation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Très élevés</w:t>
            </w:r>
          </w:p>
        </w:tc>
      </w:tr>
      <w:tr>
        <w:trPr/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Diminution serveurs (R2)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Ralentissement du développement du projet et risque de lenteur sur le site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Participé à la réduction de Co2 à l’aide de mesures autres que la réduction de serveurs, avec des mesures n’impactant pas l’efficacité de l’entreprise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Presque nul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Payer des taxes permettant d’éviter la diminution de nos serveurs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Extrêmement élevés</w:t>
            </w:r>
          </w:p>
        </w:tc>
      </w:tr>
      <w:tr>
        <w:trPr/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Copie / Vol concept du projet (R3)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Baisse du chiffre d’affaire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Mettre en garde les concurrents sur de potentielles poursuites judiciaires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Nul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Porter plainte et déposer des brevets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Élevés</w:t>
            </w:r>
          </w:p>
        </w:tc>
      </w:tr>
      <w:tr>
        <w:trPr/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IA (R4)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Baisse de la clientèles et du C.A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 xml:space="preserve">Annoncer de meilleurs fonctionnalités 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Nul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Améliorer R&amp;D et coûts publicitaires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Plutôt élevés</w:t>
            </w:r>
          </w:p>
        </w:tc>
      </w:tr>
      <w:tr>
        <w:trPr/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Démissions employés (R5)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Baisse C.A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Annoncer meilleurs conditions de travail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Nul</w:t>
            </w:r>
          </w:p>
        </w:tc>
        <w:tc>
          <w:tcPr>
            <w:tcW w:w="1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Amélioration salaires et conditions de travail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Élevés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041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3</Pages>
  <Words>264</Words>
  <Characters>1419</Characters>
  <CharactersWithSpaces>1622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2024-03-03T20:10:00Z</dcterms:created>
  <dc:creator>TOUT</dc:creator>
  <dc:description/>
  <dc:language>fr-FR</dc:language>
  <cp:lastModifiedBy/>
  <dcterms:modified xsi:type="dcterms:W3CDTF">2024-03-12T21:17:17Z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