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Healthcare Knowledge Graph Population Intelligence</w:t>
      </w:r>
    </w:p>
    <w:p>
      <w:pPr>
        <w:pStyle w:val="Subtitle"/>
      </w:pPr>
      <w:r>
        <w:t>Project execution record | V1–V7.6.1 | 25 October 2026</w:t>
      </w:r>
    </w:p>
    <w:p>
      <w:r>
        <w:t>Status: CONTROLLED FUNCTIONAL DEMO — NOT CLINICALLY OR SCIENTIFICALLY CERTIFIED</w:t>
      </w:r>
    </w:p>
    <w:p>
      <w:pPr>
        <w:pStyle w:val="Heading1"/>
      </w:pPr>
      <w:r>
        <w:t>1. Project purpose and original research objective</w:t>
      </w:r>
    </w:p>
    <w:p>
      <w:r>
        <w:t>The project began as a clinical knowledge graph and an expanding evidence-based biomedical assistant, then incorporated NHANES population intelligence. The initial therapeutic context is chronic kidney disease (CKD), probable type 2 diabetes (T2D), and finerenone (Kerendia). The long-term objective is a reusable agentic healthcare research platform: clinical evidence, epidemiology, patient-segmentation questions, trial and literature retrieval, graph navigation, and defensible research reporting. It is not a system for diagnosing individuals or making prescribing decisions.</w:t>
      </w:r>
    </w:p>
    <w:p>
      <w:pPr>
        <w:pStyle w:val="Heading1"/>
      </w:pPr>
      <w:r>
        <w:t>2. Original clinical knowledge graph and isolation</w:t>
      </w:r>
    </w:p>
    <w:p>
      <w:r>
        <w:t>The source clinical KG has 293 nodes and 517 edges. The baseline file is immutable; expected SHA-256 is 4b43634ec370b1a7b1dfc28e6fbb9458172ba8234959d6c5f5713ad05d6212bf. Any mismatch is a release blocker. No GitHub access, clone, push, deployment, or production change is authorized. All V7 execution used local package files; the production GitHub repository was not accessed. Graph extensions, if later clinically approved, must be stored separately with provenance and versioning.</w:t>
      </w:r>
    </w:p>
    <w:p>
      <w:pPr>
        <w:pStyle w:val="Heading1"/>
      </w:pPr>
      <w:r>
        <w:t>3. Development chronology and decisions</w:t>
      </w:r>
    </w:p>
    <w:tbl>
      <w:tblPr>
        <w:tblStyle w:val="LightShading-Accent1"/>
        <w:tblW w:type="auto" w:w="0"/>
        <w:jc w:val="center"/>
        <w:tblLook w:firstColumn="1" w:firstRow="1" w:lastColumn="0" w:lastRow="0" w:noHBand="0" w:noVBand="1" w:val="04A0"/>
      </w:tblPr>
      <w:tblGrid>
        <w:gridCol w:w="3273"/>
        <w:gridCol w:w="3273"/>
        <w:gridCol w:w="3273"/>
      </w:tblGrid>
      <w:tr>
        <w:tc>
          <w:tcPr>
            <w:tcW w:type="dxa" w:w="3273"/>
            <w:vAlign w:val="center"/>
          </w:tcPr>
          <w:p>
            <w:r>
              <w:rPr>
                <w:sz w:val="15"/>
              </w:rPr>
              <w:t>Version</w:t>
            </w:r>
          </w:p>
        </w:tc>
        <w:tc>
          <w:tcPr>
            <w:tcW w:type="dxa" w:w="3273"/>
            <w:vAlign w:val="center"/>
          </w:tcPr>
          <w:p>
            <w:r>
              <w:rPr>
                <w:sz w:val="15"/>
              </w:rPr>
              <w:t>Major work</w:t>
            </w:r>
          </w:p>
        </w:tc>
        <w:tc>
          <w:tcPr>
            <w:tcW w:type="dxa" w:w="3273"/>
            <w:vAlign w:val="center"/>
          </w:tcPr>
          <w:p>
            <w:r>
              <w:rPr>
                <w:sz w:val="15"/>
              </w:rPr>
              <w:t>Scientific/technical qualification</w:t>
            </w:r>
          </w:p>
        </w:tc>
      </w:tr>
      <w:tr>
        <w:tc>
          <w:tcPr>
            <w:tcW w:type="dxa" w:w="3273"/>
            <w:vAlign w:val="center"/>
          </w:tcPr>
          <w:p>
            <w:r>
              <w:rPr>
                <w:sz w:val="15"/>
              </w:rPr>
              <w:t>V1</w:t>
            </w:r>
          </w:p>
        </w:tc>
        <w:tc>
          <w:tcPr>
            <w:tcW w:type="dxa" w:w="3273"/>
            <w:vAlign w:val="center"/>
          </w:tcPr>
          <w:p>
            <w:r>
              <w:rPr>
                <w:sz w:val="15"/>
              </w:rPr>
              <w:t>NHANES 2017–2018 CKD screening plus probable T2D population estimates</w:t>
            </w:r>
          </w:p>
        </w:tc>
        <w:tc>
          <w:tcPr>
            <w:tcW w:type="dxa" w:w="3273"/>
            <w:vAlign w:val="center"/>
          </w:tcPr>
          <w:p>
            <w:r>
              <w:rPr>
                <w:sz w:val="15"/>
              </w:rPr>
              <w:t>Screening proxy, not diagnoses</w:t>
            </w:r>
          </w:p>
        </w:tc>
      </w:tr>
      <w:tr>
        <w:tc>
          <w:tcPr>
            <w:tcW w:type="dxa" w:w="3273"/>
            <w:vAlign w:val="center"/>
          </w:tcPr>
          <w:p>
            <w:r>
              <w:rPr>
                <w:sz w:val="15"/>
              </w:rPr>
              <w:t>V2</w:t>
            </w:r>
          </w:p>
        </w:tc>
        <w:tc>
          <w:tcPr>
            <w:tcW w:type="dxa" w:w="3273"/>
            <w:vAlign w:val="center"/>
          </w:tcPr>
          <w:p>
            <w:r>
              <w:rPr>
                <w:sz w:val="15"/>
              </w:rPr>
              <w:t>eGFR, urine albumin/creatinine ratio, potassium, kidney segments</w:t>
            </w:r>
          </w:p>
        </w:tc>
        <w:tc>
          <w:tcPr>
            <w:tcW w:type="dxa" w:w="3273"/>
            <w:vAlign w:val="center"/>
          </w:tcPr>
          <w:p>
            <w:r>
              <w:rPr>
                <w:sz w:val="15"/>
              </w:rPr>
              <w:t>Single-visit interpretation</w:t>
            </w:r>
          </w:p>
        </w:tc>
      </w:tr>
      <w:tr>
        <w:tc>
          <w:tcPr>
            <w:tcW w:type="dxa" w:w="3273"/>
            <w:vAlign w:val="center"/>
          </w:tcPr>
          <w:p>
            <w:r>
              <w:rPr>
                <w:sz w:val="15"/>
              </w:rPr>
              <w:t>V3</w:t>
            </w:r>
          </w:p>
        </w:tc>
        <w:tc>
          <w:tcPr>
            <w:tcW w:type="dxa" w:w="3273"/>
            <w:vAlign w:val="center"/>
          </w:tcPr>
          <w:p>
            <w:r>
              <w:rPr>
                <w:sz w:val="15"/>
              </w:rPr>
              <w:t>Denominator reconciliation, provenance, screening methodology</w:t>
            </w:r>
          </w:p>
        </w:tc>
        <w:tc>
          <w:tcPr>
            <w:tcW w:type="dxa" w:w="3273"/>
            <w:vAlign w:val="center"/>
          </w:tcPr>
          <w:p>
            <w:r>
              <w:rPr>
                <w:sz w:val="15"/>
              </w:rPr>
              <w:t>Case definition and missingness matter</w:t>
            </w:r>
          </w:p>
        </w:tc>
      </w:tr>
      <w:tr>
        <w:tc>
          <w:tcPr>
            <w:tcW w:type="dxa" w:w="3273"/>
            <w:vAlign w:val="center"/>
          </w:tcPr>
          <w:p>
            <w:r>
              <w:rPr>
                <w:sz w:val="15"/>
              </w:rPr>
              <w:t>V3.1</w:t>
            </w:r>
          </w:p>
        </w:tc>
        <w:tc>
          <w:tcPr>
            <w:tcW w:type="dxa" w:w="3273"/>
            <w:vAlign w:val="center"/>
          </w:tcPr>
          <w:p>
            <w:r>
              <w:rPr>
                <w:sz w:val="15"/>
              </w:rPr>
              <w:t>Independent R survey checks, variance, missingness; Gemini-corrected notebook</w:t>
            </w:r>
          </w:p>
        </w:tc>
        <w:tc>
          <w:tcPr>
            <w:tcW w:type="dxa" w:w="3273"/>
            <w:vAlign w:val="center"/>
          </w:tcPr>
          <w:p>
            <w:r>
              <w:rPr>
                <w:sz w:val="15"/>
              </w:rPr>
              <w:t>Historical R cross-check reported; not rerun in V7</w:t>
            </w:r>
          </w:p>
        </w:tc>
      </w:tr>
      <w:tr>
        <w:tc>
          <w:tcPr>
            <w:tcW w:type="dxa" w:w="3273"/>
            <w:vAlign w:val="center"/>
          </w:tcPr>
          <w:p>
            <w:r>
              <w:rPr>
                <w:sz w:val="15"/>
              </w:rPr>
              <w:t>V4</w:t>
            </w:r>
          </w:p>
        </w:tc>
        <w:tc>
          <w:tcPr>
            <w:tcW w:type="dxa" w:w="3273"/>
            <w:vAlign w:val="center"/>
          </w:tcPr>
          <w:p>
            <w:r>
              <w:rPr>
                <w:sz w:val="15"/>
              </w:rPr>
              <w:t>Three survey periods (2015–2016, 2017–2018, 2021–2023)</w:t>
            </w:r>
          </w:p>
        </w:tc>
        <w:tc>
          <w:tcPr>
            <w:tcW w:type="dxa" w:w="3273"/>
            <w:vAlign w:val="center"/>
          </w:tcPr>
          <w:p>
            <w:r>
              <w:rPr>
                <w:sz w:val="15"/>
              </w:rPr>
              <w:t>No validated cross-period trend</w:t>
            </w:r>
          </w:p>
        </w:tc>
      </w:tr>
      <w:tr>
        <w:tc>
          <w:tcPr>
            <w:tcW w:type="dxa" w:w="3273"/>
            <w:vAlign w:val="center"/>
          </w:tcPr>
          <w:p>
            <w:r>
              <w:rPr>
                <w:sz w:val="15"/>
              </w:rPr>
              <w:t>V4.1</w:t>
            </w:r>
          </w:p>
        </w:tc>
        <w:tc>
          <w:tcPr>
            <w:tcW w:type="dxa" w:w="3273"/>
            <w:vAlign w:val="center"/>
          </w:tcPr>
          <w:p>
            <w:r>
              <w:rPr>
                <w:sz w:val="15"/>
              </w:rPr>
              <w:t>Independent multi-period R checks and missing-data jackknife</w:t>
            </w:r>
          </w:p>
        </w:tc>
        <w:tc>
          <w:tcPr>
            <w:tcW w:type="dxa" w:w="3273"/>
            <w:vAlign w:val="center"/>
          </w:tcPr>
          <w:p>
            <w:r>
              <w:rPr>
                <w:sz w:val="15"/>
              </w:rPr>
              <w:t>Epidemiological review remains open</w:t>
            </w:r>
          </w:p>
        </w:tc>
      </w:tr>
      <w:tr>
        <w:tc>
          <w:tcPr>
            <w:tcW w:type="dxa" w:w="3273"/>
            <w:vAlign w:val="center"/>
          </w:tcPr>
          <w:p>
            <w:r>
              <w:rPr>
                <w:sz w:val="15"/>
              </w:rPr>
              <w:t>V4.2</w:t>
            </w:r>
          </w:p>
        </w:tc>
        <w:tc>
          <w:tcPr>
            <w:tcW w:type="dxa" w:w="3273"/>
            <w:vAlign w:val="center"/>
          </w:tcPr>
          <w:p>
            <w:r>
              <w:rPr>
                <w:sz w:val="15"/>
              </w:rPr>
              <w:t>Correct 2021–2023 phlebotomy weight to WTPH2YR, albumin bridge, race harmonization</w:t>
            </w:r>
          </w:p>
        </w:tc>
        <w:tc>
          <w:tcPr>
            <w:tcW w:type="dxa" w:w="3273"/>
            <w:vAlign w:val="center"/>
          </w:tcPr>
          <w:p>
            <w:r>
              <w:rPr>
                <w:sz w:val="15"/>
              </w:rPr>
              <w:t>Creatinine comparability unresolved</w:t>
            </w:r>
          </w:p>
        </w:tc>
      </w:tr>
      <w:tr>
        <w:tc>
          <w:tcPr>
            <w:tcW w:type="dxa" w:w="3273"/>
            <w:vAlign w:val="center"/>
          </w:tcPr>
          <w:p>
            <w:r>
              <w:rPr>
                <w:sz w:val="15"/>
              </w:rPr>
              <w:t>V5</w:t>
            </w:r>
          </w:p>
        </w:tc>
        <w:tc>
          <w:tcPr>
            <w:tcW w:type="dxa" w:w="3273"/>
            <w:vAlign w:val="center"/>
          </w:tcPr>
          <w:p>
            <w:r>
              <w:rPr>
                <w:sz w:val="15"/>
              </w:rPr>
              <w:t>Four provenance-linked population observations and 88 lexical KG candidates</w:t>
            </w:r>
          </w:p>
        </w:tc>
        <w:tc>
          <w:tcPr>
            <w:tcW w:type="dxa" w:w="3273"/>
            <w:vAlign w:val="center"/>
          </w:tcPr>
          <w:p>
            <w:r>
              <w:rPr>
                <w:sz w:val="15"/>
              </w:rPr>
              <w:t>Lexical mappings require clinical review</w:t>
            </w:r>
          </w:p>
        </w:tc>
      </w:tr>
      <w:tr>
        <w:tc>
          <w:tcPr>
            <w:tcW w:type="dxa" w:w="3273"/>
            <w:vAlign w:val="center"/>
          </w:tcPr>
          <w:p>
            <w:r>
              <w:rPr>
                <w:sz w:val="15"/>
              </w:rPr>
              <w:t>V5.1</w:t>
            </w:r>
          </w:p>
        </w:tc>
        <w:tc>
          <w:tcPr>
            <w:tcW w:type="dxa" w:w="3273"/>
            <w:vAlign w:val="center"/>
          </w:tcPr>
          <w:p>
            <w:r>
              <w:rPr>
                <w:sz w:val="15"/>
              </w:rPr>
              <w:t>Conservative mapping adjudication and integration checks</w:t>
            </w:r>
          </w:p>
        </w:tc>
        <w:tc>
          <w:tcPr>
            <w:tcW w:type="dxa" w:w="3273"/>
            <w:vAlign w:val="center"/>
          </w:tcPr>
          <w:p>
            <w:r>
              <w:rPr>
                <w:sz w:val="15"/>
              </w:rPr>
              <w:t>16 candidates retained for expert review; none clinically approved</w:t>
            </w:r>
          </w:p>
        </w:tc>
      </w:tr>
      <w:tr>
        <w:tc>
          <w:tcPr>
            <w:tcW w:type="dxa" w:w="3273"/>
            <w:vAlign w:val="center"/>
          </w:tcPr>
          <w:p>
            <w:r>
              <w:rPr>
                <w:sz w:val="15"/>
              </w:rPr>
              <w:t>V6</w:t>
            </w:r>
          </w:p>
        </w:tc>
        <w:tc>
          <w:tcPr>
            <w:tcW w:type="dxa" w:w="3273"/>
            <w:vAlign w:val="center"/>
          </w:tcPr>
          <w:p>
            <w:r>
              <w:rPr>
                <w:sz w:val="15"/>
              </w:rPr>
              <w:t>Deterministic guarded evidence Q&amp;A prototype</w:t>
            </w:r>
          </w:p>
        </w:tc>
        <w:tc>
          <w:tcPr>
            <w:tcW w:type="dxa" w:w="3273"/>
            <w:vAlign w:val="center"/>
          </w:tcPr>
          <w:p>
            <w:r>
              <w:rPr>
                <w:sz w:val="15"/>
              </w:rPr>
              <w:t>Not autonomous agentic reasoning</w:t>
            </w:r>
          </w:p>
        </w:tc>
      </w:tr>
      <w:tr>
        <w:tc>
          <w:tcPr>
            <w:tcW w:type="dxa" w:w="3273"/>
            <w:vAlign w:val="center"/>
          </w:tcPr>
          <w:p>
            <w:r>
              <w:rPr>
                <w:sz w:val="15"/>
              </w:rPr>
              <w:t>Consolidation</w:t>
            </w:r>
          </w:p>
        </w:tc>
        <w:tc>
          <w:tcPr>
            <w:tcW w:type="dxa" w:w="3273"/>
            <w:vAlign w:val="center"/>
          </w:tcPr>
          <w:p>
            <w:r>
              <w:rPr>
                <w:sz w:val="15"/>
              </w:rPr>
              <w:t>Historical notebooks, original KG, evidence outputs, read-only engine and regression tests</w:t>
            </w:r>
          </w:p>
        </w:tc>
        <w:tc>
          <w:tcPr>
            <w:tcW w:type="dxa" w:w="3273"/>
            <w:vAlign w:val="center"/>
          </w:tcPr>
          <w:p>
            <w:r>
              <w:rPr>
                <w:sz w:val="15"/>
              </w:rPr>
              <w:t>Original NHANES/R calculations not independently rerun</w:t>
            </w:r>
          </w:p>
        </w:tc>
      </w:tr>
      <w:tr>
        <w:tc>
          <w:tcPr>
            <w:tcW w:type="dxa" w:w="3273"/>
            <w:vAlign w:val="center"/>
          </w:tcPr>
          <w:p>
            <w:r>
              <w:rPr>
                <w:sz w:val="15"/>
              </w:rPr>
              <w:t>V7.0–V7.5</w:t>
            </w:r>
          </w:p>
        </w:tc>
        <w:tc>
          <w:tcPr>
            <w:tcW w:type="dxa" w:w="3273"/>
            <w:vAlign w:val="center"/>
          </w:tcPr>
          <w:p>
            <w:r>
              <w:rPr>
                <w:sz w:val="15"/>
              </w:rPr>
              <w:t>Modular bounded investigation, live API connector code, population tools, Streamlit source, test ledger</w:t>
            </w:r>
          </w:p>
        </w:tc>
        <w:tc>
          <w:tcPr>
            <w:tcW w:type="dxa" w:w="3273"/>
            <w:vAlign w:val="center"/>
          </w:tcPr>
          <w:p>
            <w:r>
              <w:rPr>
                <w:sz w:val="15"/>
              </w:rPr>
              <w:t>Local tests pass; external and scientific release gates remain open</w:t>
            </w:r>
          </w:p>
        </w:tc>
      </w:tr>
    </w:tbl>
    <w:p/>
    <w:p>
      <w:pPr>
        <w:pStyle w:val="Heading1"/>
      </w:pPr>
      <w:r>
        <w:t>4. Actual population observations preserved</w:t>
      </w:r>
    </w:p>
    <w:p>
      <w:r>
        <w:t>The consolidated layer contains four historical NHANES observations. Primary 2015–2016 estimate: 7,180,438, using WTMEC2YR. Primary 2017–2018: 9,497,620, using WTMEC2YR. Primary 2021–2023: 9,233,798, using WTPH2YR, reported 95% CI approximately 7,843,384 to 10,624,212. The 2021–2023 albumin bridge sensitivity estimate is approximately 9,617,748. These figures were read from existing project artifacts, not independently recomputed in this V7 run. They reflect a single-visit laboratory CKD screen and probable T2D proxy. They are not confirmed diagnoses, treatment-eligible populations, validated trends, or commercial market size.</w:t>
      </w:r>
    </w:p>
    <w:p>
      <w:pPr>
        <w:pStyle w:val="Heading1"/>
      </w:pPr>
      <w:r>
        <w:t>5. Scientific integrity policy — mandatory</w:t>
      </w:r>
    </w:p>
    <w:p>
      <w:pPr>
        <w:pStyle w:val="ListNumber"/>
      </w:pPr>
      <w:r>
        <w:t>Real scientific evidence only. No simulated clinical evidence, fabricated trial records, invented PubMed references, fabricated patients, synthetic NHANES observations, or simulated statistical conclusions. Minimal artificial software-only unit-test inputs may be used solely to test input validation and cannot enter the evidence store or scientific outputs.</w:t>
      </w:r>
    </w:p>
    <w:p>
      <w:pPr>
        <w:pStyle w:val="ListNumber"/>
      </w:pPr>
      <w:r>
        <w:t>Source authenticity and provenance. Preserve PMIDs, NCT IDs, dataset version, retrieval time, survey weights, case definition, uncertainty and method. External API failure must be marked unavailable, not replaced with plausible content.</w:t>
      </w:r>
    </w:p>
    <w:p>
      <w:pPr>
        <w:pStyle w:val="ListNumber"/>
      </w:pPr>
      <w:r>
        <w:t>Original baseline immutable. Verify the exact clinical KG SHA-256 on every load and at release.</w:t>
      </w:r>
    </w:p>
    <w:p>
      <w:pPr>
        <w:pStyle w:val="ListNumber"/>
      </w:pPr>
      <w:r>
        <w:t>Clinical mapping gate. None of the 88 lexical links is human-approved. The 16 conservative V5.1 candidates still require expert review. Lexical overlap is not clinical equivalence.</w:t>
      </w:r>
    </w:p>
    <w:p>
      <w:pPr>
        <w:pStyle w:val="ListNumber"/>
      </w:pPr>
      <w:r>
        <w:t>Eligibility and market-size gate. NHANES screening proxies cannot establish finerenone eligibility, prescribing suitability, or total addressable market. Explicitly block such conclusions.</w:t>
      </w:r>
    </w:p>
    <w:p>
      <w:pPr>
        <w:pStyle w:val="ListNumber"/>
      </w:pPr>
      <w:r>
        <w:t>Cross-period trend gate. Do not assert NHANES trends until serum creatinine laboratory comparability, survey design and epidemiological methods are independently validated.</w:t>
      </w:r>
    </w:p>
    <w:p>
      <w:pPr>
        <w:pStyle w:val="ListNumber"/>
      </w:pPr>
      <w:r>
        <w:t>Survey methodology. Maintain correct weight variables (notably 2021–2023 WTPH2YR), design effects, confidence intervals, denominators, missing-data assumptions, and R cross-check provenance.</w:t>
      </w:r>
    </w:p>
    <w:p>
      <w:pPr>
        <w:pStyle w:val="ListNumber"/>
      </w:pPr>
      <w:r>
        <w:t>Evidence status. VERIFIED means source integrity and specified computational checks passed; REVIEW REQUIRED means interpretation or methodology awaits review; BLOCKED means evidence is insufficient or a required gate failed. A valid checksum alone never establishes scientific truth.</w:t>
      </w:r>
    </w:p>
    <w:p>
      <w:pPr>
        <w:pStyle w:val="ListNumber"/>
      </w:pPr>
      <w:r>
        <w:t>Safety and privacy. No patient-level data are required for the current research prototype; do not ingest personal health data into public services. No production repository access or deployment.</w:t>
      </w:r>
    </w:p>
    <w:p>
      <w:pPr>
        <w:pStyle w:val="ListNumber"/>
      </w:pPr>
      <w:r>
        <w:t>Stage gates. Develop → execute → inspect → validate → correct → rerun. Do not advance a dependent scientific claim when a prerequisite is blocked. Independent components may be implemented while clearly recording incomplete gates.</w:t>
      </w:r>
    </w:p>
    <w:p>
      <w:pPr>
        <w:pStyle w:val="ListNumber"/>
      </w:pPr>
      <w:r>
        <w:t>Honest reporting. Distinguish source-code implementation, actual execution, unit-test success, live integration testing, epidemiological validation, and clinical approval.</w:t>
      </w:r>
    </w:p>
    <w:p>
      <w:pPr>
        <w:pStyle w:val="ListNumber"/>
      </w:pPr>
      <w:r>
        <w:t>User partnership. Assistant handles local execution, debugging, tests, reports and packaging. User is asked only for genuine clinical decisions, external credentials or deployment approvals. No requirement to rerun completed local notebooks in Colab.</w:t>
      </w:r>
    </w:p>
    <w:p>
      <w:pPr>
        <w:pStyle w:val="Heading1"/>
      </w:pPr>
      <w:r>
        <w:t>6. V7 architecture and actual work completed</w:t>
      </w:r>
    </w:p>
    <w:p>
      <w:r>
        <w:t>V7.0 — Unified baseline: Reused V1–V6 consolidated package, checked baseline checksum, node/edge counts, observation and link counts, and weight invariants. The original notebooks are retained; a complete re-download and independent rerun of NHANES and R statistics was not possible from the available local evidence alone. Status: PASS LOCAL, SCIENTIFIC REPRODUCTION PENDING.</w:t>
      </w:r>
    </w:p>
    <w:p>
      <w:r>
        <w:t>V7.1 — Investigation: Implemented a transparent bounded tool planner that combines population retrieval, baseline KG lexical retrieval, answer policy, and optional external retrieval. It is not an LLM-autonomous investigator and does not invent reasoning or citations. Status: PASS LOCAL PROTOTYPE.</w:t>
      </w:r>
    </w:p>
    <w:p>
      <w:r>
        <w:t>V7.2 — Literature and trial integration: Implemented real PubMed ESearch/ESummary and ClinicalTrials.gov v2 HTTPS connectors with domain allowlists, PMID/NCT extraction, timestamps and response checksums. Actual HTTPS attempts in this execution environment failed because outbound network connectivity was unavailable. No scientific records were substituted. Status: BLOCKED FOR LIVE VALIDATION.</w:t>
      </w:r>
    </w:p>
    <w:p>
      <w:r>
        <w:t>V7.3 — Population intelligence: Implemented period-selectable evidence views, provenance and weights, and explicitly user-assumed arithmetic sensitivities, always labeled hypothetical and not eligible-population estimates. Did not generate new survey results. Status: PASS LOCAL, ADVANCED SURVEY RECOMPUTATION PENDING.</w:t>
      </w:r>
    </w:p>
    <w:p>
      <w:r>
        <w:t>V7.4 — Streamlit: Created an interactive research interface source with Ask, Population, KG Search, and Validation panels. The application was not launched or browser-tested in this environment. Status: IMPLEMENTED, UI VALIDATION PENDING.</w:t>
      </w:r>
    </w:p>
    <w:p>
      <w:r>
        <w:t>V7.5 — Validation and release: Executed the combined historical and new local test suite: 28/28 tests passed. Recorded explicit stage statuses, real external API failure, and source manifests. Status: PASS LOCAL TESTS; CONDITIONAL RESEARCH RELEASE ONLY.</w:t>
      </w:r>
    </w:p>
    <w:p>
      <w:pPr>
        <w:pStyle w:val="Heading1"/>
      </w:pPr>
      <w:r>
        <w:t>7. Current evidence and release gate ledger</w:t>
      </w:r>
    </w:p>
    <w:tbl>
      <w:tblPr>
        <w:tblStyle w:val="LightShading-Accent1"/>
        <w:tblW w:type="auto" w:w="0"/>
        <w:jc w:val="center"/>
        <w:tblLook w:firstColumn="1" w:firstRow="1" w:lastColumn="0" w:lastRow="0" w:noHBand="0" w:noVBand="1" w:val="04A0"/>
      </w:tblPr>
      <w:tblGrid>
        <w:gridCol w:w="3273"/>
        <w:gridCol w:w="3273"/>
        <w:gridCol w:w="3273"/>
      </w:tblGrid>
      <w:tr>
        <w:tc>
          <w:tcPr>
            <w:tcW w:type="dxa" w:w="3273"/>
            <w:vAlign w:val="center"/>
          </w:tcPr>
          <w:p>
            <w:r>
              <w:rPr>
                <w:sz w:val="15"/>
              </w:rPr>
              <w:t>Gate</w:t>
            </w:r>
          </w:p>
        </w:tc>
        <w:tc>
          <w:tcPr>
            <w:tcW w:type="dxa" w:w="3273"/>
            <w:vAlign w:val="center"/>
          </w:tcPr>
          <w:p>
            <w:r>
              <w:rPr>
                <w:sz w:val="15"/>
              </w:rPr>
              <w:t>Outcome</w:t>
            </w:r>
          </w:p>
        </w:tc>
        <w:tc>
          <w:tcPr>
            <w:tcW w:type="dxa" w:w="3273"/>
            <w:vAlign w:val="center"/>
          </w:tcPr>
          <w:p>
            <w:r>
              <w:rPr>
                <w:sz w:val="15"/>
              </w:rPr>
              <w:t>Consequence</w:t>
            </w:r>
          </w:p>
        </w:tc>
      </w:tr>
      <w:tr>
        <w:tc>
          <w:tcPr>
            <w:tcW w:type="dxa" w:w="3273"/>
            <w:vAlign w:val="center"/>
          </w:tcPr>
          <w:p>
            <w:r>
              <w:rPr>
                <w:sz w:val="15"/>
              </w:rPr>
              <w:t>Original KG byte integrity</w:t>
            </w:r>
          </w:p>
        </w:tc>
        <w:tc>
          <w:tcPr>
            <w:tcW w:type="dxa" w:w="3273"/>
            <w:vAlign w:val="center"/>
          </w:tcPr>
          <w:p>
            <w:r>
              <w:rPr>
                <w:sz w:val="15"/>
              </w:rPr>
              <w:t>PASS</w:t>
            </w:r>
          </w:p>
        </w:tc>
        <w:tc>
          <w:tcPr>
            <w:tcW w:type="dxa" w:w="3273"/>
            <w:vAlign w:val="center"/>
          </w:tcPr>
          <w:p>
            <w:r>
              <w:rPr>
                <w:sz w:val="15"/>
              </w:rPr>
              <w:t>Baseline usable as immutable input</w:t>
            </w:r>
          </w:p>
        </w:tc>
      </w:tr>
      <w:tr>
        <w:tc>
          <w:tcPr>
            <w:tcW w:type="dxa" w:w="3273"/>
            <w:vAlign w:val="center"/>
          </w:tcPr>
          <w:p>
            <w:r>
              <w:rPr>
                <w:sz w:val="15"/>
              </w:rPr>
              <w:t>Local regression suite</w:t>
            </w:r>
          </w:p>
        </w:tc>
        <w:tc>
          <w:tcPr>
            <w:tcW w:type="dxa" w:w="3273"/>
            <w:vAlign w:val="center"/>
          </w:tcPr>
          <w:p>
            <w:r>
              <w:rPr>
                <w:sz w:val="15"/>
              </w:rPr>
              <w:t>PASS (28/28)</w:t>
            </w:r>
          </w:p>
        </w:tc>
        <w:tc>
          <w:tcPr>
            <w:tcW w:type="dxa" w:w="3273"/>
            <w:vAlign w:val="center"/>
          </w:tcPr>
          <w:p>
            <w:r>
              <w:rPr>
                <w:sz w:val="15"/>
              </w:rPr>
              <w:t>Core local prototype functions tested</w:t>
            </w:r>
          </w:p>
        </w:tc>
      </w:tr>
      <w:tr>
        <w:tc>
          <w:tcPr>
            <w:tcW w:type="dxa" w:w="3273"/>
            <w:vAlign w:val="center"/>
          </w:tcPr>
          <w:p>
            <w:r>
              <w:rPr>
                <w:sz w:val="15"/>
              </w:rPr>
              <w:t>Source observations and weight variables</w:t>
            </w:r>
          </w:p>
        </w:tc>
        <w:tc>
          <w:tcPr>
            <w:tcW w:type="dxa" w:w="3273"/>
            <w:vAlign w:val="center"/>
          </w:tcPr>
          <w:p>
            <w:r>
              <w:rPr>
                <w:sz w:val="15"/>
              </w:rPr>
              <w:t>PASS (artifact consistency)</w:t>
            </w:r>
          </w:p>
        </w:tc>
        <w:tc>
          <w:tcPr>
            <w:tcW w:type="dxa" w:w="3273"/>
            <w:vAlign w:val="center"/>
          </w:tcPr>
          <w:p>
            <w:r>
              <w:rPr>
                <w:sz w:val="15"/>
              </w:rPr>
              <w:t>Historical results can be displayed with caveats</w:t>
            </w:r>
          </w:p>
        </w:tc>
      </w:tr>
      <w:tr>
        <w:tc>
          <w:tcPr>
            <w:tcW w:type="dxa" w:w="3273"/>
            <w:vAlign w:val="center"/>
          </w:tcPr>
          <w:p>
            <w:r>
              <w:rPr>
                <w:sz w:val="15"/>
              </w:rPr>
              <w:t>Live PubMed/ClinicalTrials.gov verification</w:t>
            </w:r>
          </w:p>
        </w:tc>
        <w:tc>
          <w:tcPr>
            <w:tcW w:type="dxa" w:w="3273"/>
            <w:vAlign w:val="center"/>
          </w:tcPr>
          <w:p>
            <w:r>
              <w:rPr>
                <w:sz w:val="15"/>
              </w:rPr>
              <w:t>BLOCKED (network)</w:t>
            </w:r>
          </w:p>
        </w:tc>
        <w:tc>
          <w:tcPr>
            <w:tcW w:type="dxa" w:w="3273"/>
            <w:vAlign w:val="center"/>
          </w:tcPr>
          <w:p>
            <w:r>
              <w:rPr>
                <w:sz w:val="15"/>
              </w:rPr>
              <w:t>No claims of fresh literature retrieval</w:t>
            </w:r>
          </w:p>
        </w:tc>
      </w:tr>
      <w:tr>
        <w:tc>
          <w:tcPr>
            <w:tcW w:type="dxa" w:w="3273"/>
            <w:vAlign w:val="center"/>
          </w:tcPr>
          <w:p>
            <w:r>
              <w:rPr>
                <w:sz w:val="15"/>
              </w:rPr>
              <w:t>Raw NHANES plus independent R rerun</w:t>
            </w:r>
          </w:p>
        </w:tc>
        <w:tc>
          <w:tcPr>
            <w:tcW w:type="dxa" w:w="3273"/>
            <w:vAlign w:val="center"/>
          </w:tcPr>
          <w:p>
            <w:r>
              <w:rPr>
                <w:sz w:val="15"/>
              </w:rPr>
              <w:t>NOT EXECUTED</w:t>
            </w:r>
          </w:p>
        </w:tc>
        <w:tc>
          <w:tcPr>
            <w:tcW w:type="dxa" w:w="3273"/>
            <w:vAlign w:val="center"/>
          </w:tcPr>
          <w:p>
            <w:r>
              <w:rPr>
                <w:sz w:val="15"/>
              </w:rPr>
              <w:t>Statistical reproduction not newly certified</w:t>
            </w:r>
          </w:p>
        </w:tc>
      </w:tr>
      <w:tr>
        <w:tc>
          <w:tcPr>
            <w:tcW w:type="dxa" w:w="3273"/>
            <w:vAlign w:val="center"/>
          </w:tcPr>
          <w:p>
            <w:r>
              <w:rPr>
                <w:sz w:val="15"/>
              </w:rPr>
              <w:t>Human clinical concept review</w:t>
            </w:r>
          </w:p>
        </w:tc>
        <w:tc>
          <w:tcPr>
            <w:tcW w:type="dxa" w:w="3273"/>
            <w:vAlign w:val="center"/>
          </w:tcPr>
          <w:p>
            <w:r>
              <w:rPr>
                <w:sz w:val="15"/>
              </w:rPr>
              <w:t>PENDING</w:t>
            </w:r>
          </w:p>
        </w:tc>
        <w:tc>
          <w:tcPr>
            <w:tcW w:type="dxa" w:w="3273"/>
            <w:vAlign w:val="center"/>
          </w:tcPr>
          <w:p>
            <w:r>
              <w:rPr>
                <w:sz w:val="15"/>
              </w:rPr>
              <w:t>No mappings approved for clinical inference</w:t>
            </w:r>
          </w:p>
        </w:tc>
      </w:tr>
      <w:tr>
        <w:tc>
          <w:tcPr>
            <w:tcW w:type="dxa" w:w="3273"/>
            <w:vAlign w:val="center"/>
          </w:tcPr>
          <w:p>
            <w:r>
              <w:rPr>
                <w:sz w:val="15"/>
              </w:rPr>
              <w:t>Creatinine cross-cycle comparability</w:t>
            </w:r>
          </w:p>
        </w:tc>
        <w:tc>
          <w:tcPr>
            <w:tcW w:type="dxa" w:w="3273"/>
            <w:vAlign w:val="center"/>
          </w:tcPr>
          <w:p>
            <w:r>
              <w:rPr>
                <w:sz w:val="15"/>
              </w:rPr>
              <w:t>PENDING</w:t>
            </w:r>
          </w:p>
        </w:tc>
        <w:tc>
          <w:tcPr>
            <w:tcW w:type="dxa" w:w="3273"/>
            <w:vAlign w:val="center"/>
          </w:tcPr>
          <w:p>
            <w:r>
              <w:rPr>
                <w:sz w:val="15"/>
              </w:rPr>
              <w:t>Trends remain blocked</w:t>
            </w:r>
          </w:p>
        </w:tc>
      </w:tr>
      <w:tr>
        <w:tc>
          <w:tcPr>
            <w:tcW w:type="dxa" w:w="3273"/>
            <w:vAlign w:val="center"/>
          </w:tcPr>
          <w:p>
            <w:r>
              <w:rPr>
                <w:sz w:val="15"/>
              </w:rPr>
              <w:t>External epidemiological review</w:t>
            </w:r>
          </w:p>
        </w:tc>
        <w:tc>
          <w:tcPr>
            <w:tcW w:type="dxa" w:w="3273"/>
            <w:vAlign w:val="center"/>
          </w:tcPr>
          <w:p>
            <w:r>
              <w:rPr>
                <w:sz w:val="15"/>
              </w:rPr>
              <w:t>PENDING</w:t>
            </w:r>
          </w:p>
        </w:tc>
        <w:tc>
          <w:tcPr>
            <w:tcW w:type="dxa" w:w="3273"/>
            <w:vAlign w:val="center"/>
          </w:tcPr>
          <w:p>
            <w:r>
              <w:rPr>
                <w:sz w:val="15"/>
              </w:rPr>
              <w:t>Scientific release not authorized</w:t>
            </w:r>
          </w:p>
        </w:tc>
      </w:tr>
      <w:tr>
        <w:tc>
          <w:tcPr>
            <w:tcW w:type="dxa" w:w="3273"/>
            <w:vAlign w:val="center"/>
          </w:tcPr>
          <w:p>
            <w:r>
              <w:rPr>
                <w:sz w:val="15"/>
              </w:rPr>
              <w:t>Streamlit GUI functional/browser test</w:t>
            </w:r>
          </w:p>
        </w:tc>
        <w:tc>
          <w:tcPr>
            <w:tcW w:type="dxa" w:w="3273"/>
            <w:vAlign w:val="center"/>
          </w:tcPr>
          <w:p>
            <w:r>
              <w:rPr>
                <w:sz w:val="15"/>
              </w:rPr>
              <w:t>PENDING</w:t>
            </w:r>
          </w:p>
        </w:tc>
        <w:tc>
          <w:tcPr>
            <w:tcW w:type="dxa" w:w="3273"/>
            <w:vAlign w:val="center"/>
          </w:tcPr>
          <w:p>
            <w:r>
              <w:rPr>
                <w:sz w:val="15"/>
              </w:rPr>
              <w:t>App source not deployment-ready</w:t>
            </w:r>
          </w:p>
        </w:tc>
      </w:tr>
      <w:tr>
        <w:tc>
          <w:tcPr>
            <w:tcW w:type="dxa" w:w="3273"/>
            <w:vAlign w:val="center"/>
          </w:tcPr>
          <w:p>
            <w:r>
              <w:rPr>
                <w:sz w:val="15"/>
              </w:rPr>
              <w:t>Production GitHub isolation</w:t>
            </w:r>
          </w:p>
        </w:tc>
        <w:tc>
          <w:tcPr>
            <w:tcW w:type="dxa" w:w="3273"/>
            <w:vAlign w:val="center"/>
          </w:tcPr>
          <w:p>
            <w:r>
              <w:rPr>
                <w:sz w:val="15"/>
              </w:rPr>
              <w:t>PASS for executed local code</w:t>
            </w:r>
          </w:p>
        </w:tc>
        <w:tc>
          <w:tcPr>
            <w:tcW w:type="dxa" w:w="3273"/>
            <w:vAlign w:val="center"/>
          </w:tcPr>
          <w:p>
            <w:r>
              <w:rPr>
                <w:sz w:val="15"/>
              </w:rPr>
              <w:t>No repo accessed or changed</w:t>
            </w:r>
          </w:p>
        </w:tc>
      </w:tr>
    </w:tbl>
    <w:p/>
    <w:p>
      <w:pPr>
        <w:pStyle w:val="Heading1"/>
      </w:pPr>
      <w:r>
        <w:t>8. Handoff, reproducibility, and next actions</w:t>
      </w:r>
    </w:p>
    <w:p>
      <w:r>
        <w:t>The package contains src/v7.py (research engine and real external API connectors), src/release.py (local gates), app.py (Streamlit), notebooks/Healthcare_KG_V7_Master.ipynb, historical notebooks, preserved evidence ZIPs, tests, example investigations, and reports. Run python -m unittest discover -s tests -v from the package root. Run python -m src.release for local release checks. Run streamlit run app.py only after installing the optional UI dependency and performing an appropriate security review.</w:t>
      </w:r>
    </w:p>
    <w:p>
      <w:r>
        <w:t>Next, validate the actual biomedical APIs in a network-enabled environment; independently reproduce raw NHANES and R survey analyses; conduct clinical mapping review; verify laboratory comparability and epidemiological assumptions; test the Streamlit UI; and only then consider a scientifically validated release. Deployment requires separate authorization and must not modify the production GitHub repository.</w:t>
      </w:r>
    </w:p>
    <w:p>
      <w:pPr>
        <w:pStyle w:val="Heading1"/>
      </w:pPr>
      <w:r>
        <w:t>9. Partnership and trust standard</w:t>
      </w:r>
    </w:p>
    <w:p>
      <w:r>
        <w:t>The aim is a reliable research partner whose outputs are independently inspectable, not a demonstration that always produces an answer. When evidence is missing, the correct result is UNAVAILABLE, REVIEW REQUIRED, or BLOCKED. Success is measured by provenance, correctness, defensible limitations and reproducibility, not the number of features marked complete.</w:t>
      </w:r>
    </w:p>
    <w:p>
      <w:r>
        <w:br w:type="page"/>
      </w:r>
    </w:p>
    <w:p>
      <w:pPr>
        <w:pStyle w:val="Heading1"/>
      </w:pPr>
      <w:r>
        <w:t>10. V7.6 Demonstration Release: Approved Scope</w:t>
      </w:r>
    </w:p>
    <w:p>
      <w:pPr>
        <w:pStyle w:val="Heading2"/>
      </w:pPr>
      <w:r>
        <w:t>Objective</w:t>
      </w:r>
    </w:p>
    <w:p>
      <w:r>
        <w:t>A locally executable, evidence-grounded Streamlit demonstration, not a scientifically certified or clinical production system. No hosting, DGX deployment, or production GitHub activity is authorized.</w:t>
      </w:r>
    </w:p>
    <w:p>
      <w:pPr>
        <w:pStyle w:val="Heading2"/>
      </w:pPr>
      <w:r>
        <w:t>Responsibilities</w:t>
      </w:r>
    </w:p>
    <w:p>
      <w:r>
        <w:t>The assistant develops, executes, debugs, tests, verifies evidence where network access permits, packages, and documents. The project owner evaluates the demo and provides expert input only when needed. External clinical, epidemiology, or security experts are not required for this controlled demonstration.</w:t>
      </w:r>
    </w:p>
    <w:p>
      <w:pPr>
        <w:pStyle w:val="Heading2"/>
      </w:pPr>
      <w:r>
        <w:t>Five demo capabilities</w:t>
      </w:r>
    </w:p>
    <w:p>
      <w:r>
        <w:t>Ask the Agent; Clinical KG Explorer; Population Intelligence; authentic PubMed and ClinicalTrials.gov Evidence Explorer; source-linked Intelligence Report.</w:t>
      </w:r>
    </w:p>
    <w:p>
      <w:pPr>
        <w:pStyle w:val="Heading2"/>
      </w:pPr>
      <w:r>
        <w:t>Six mandatory acceptance gates</w:t>
      </w:r>
    </w:p>
    <w:p>
      <w:r>
        <w:t>G1: Immutable baseline KG and matching SHA-256. G2: No fabricated scientific evidence. G3: Displayed population values agree with source artifacts and limitations. G4: External PMID/NCT records and metadata are authentic; API failure is disclosed. G5: Unsupported eligibility, market-size, clinical mapping, and trend conclusions blocked. G6: Streamlit starts and representative workflows run successfully.</w:t>
      </w:r>
    </w:p>
    <w:p>
      <w:pPr>
        <w:pStyle w:val="Heading2"/>
      </w:pPr>
      <w:r>
        <w:t>Deferred scientific validation</w:t>
      </w:r>
    </w:p>
    <w:p>
      <w:r>
        <w:t>Full raw NHANES and R survey replication; human review of all clinical concept mappings; cross-cycle creatinine comparability; external epidemiological validation; formal clinical safety review; production security certification and deployment. Deferred does not mean scientifically validated.</w:t>
      </w:r>
    </w:p>
    <w:p>
      <w:pPr>
        <w:pStyle w:val="Heading2"/>
      </w:pPr>
      <w:r>
        <w:t>Maturity levels</w:t>
      </w:r>
    </w:p>
    <w:p>
      <w:r>
        <w:t>Level 1: controlled functional demonstration (current target). Level 2: research-validated platform (future). Level 3: clinical/production-grade platform (future).</w:t>
      </w:r>
    </w:p>
    <w:p>
      <w:pPr>
        <w:pStyle w:val="Heading2"/>
      </w:pPr>
      <w:r>
        <w:t>Failure handling and delivery</w:t>
      </w:r>
    </w:p>
    <w:p>
      <w:r>
        <w:t>No mock biomedical records or synthetic survey observations. Unavailable APIs must be reported as unavailable. Tests must show PASS, FAIL, BLOCKED or NOT RUN accurately. Deliver executable Streamlit app, run instructions, evidence-linked investigations, six-gate ledger, and updated project record.</w:t>
      </w:r>
    </w:p>
    <w:p>
      <w:pPr>
        <w:pStyle w:val="Heading2"/>
      </w:pPr>
      <w:r>
        <w:t>Status</w:t>
      </w:r>
    </w:p>
    <w:p>
      <w:r>
        <w:t>V7.6 authorized but NOT YET EXECUTED as of this record update. This is a commitment, not a claim that demo validation has passed.</w:t>
      </w:r>
    </w:p>
    <w:p>
      <w:pPr>
        <w:pStyle w:val="Heading1"/>
      </w:pPr>
      <w:r>
        <w:t>11. V7.6 implementation and demonstration status</w:t>
      </w:r>
    </w:p>
    <w:p>
      <w:pPr>
        <w:pStyle w:val="Heading2"/>
      </w:pPr>
      <w:r>
        <w:t>Implementation</w:t>
      </w:r>
    </w:p>
    <w:p>
      <w:r>
        <w:t>Created the Streamlit demonstration with Ask the Agent, KG Explorer, Population Intelligence, Evidence Explorer, Intelligence Report, and Validation. Added a self-contained offline HTML demonstration. Corrected the baseline graph list-format lexical retrieval defect.</w:t>
      </w:r>
    </w:p>
    <w:p>
      <w:pPr>
        <w:pStyle w:val="Heading2"/>
      </w:pPr>
      <w:r>
        <w:t>Actual execution</w:t>
      </w:r>
    </w:p>
    <w:p>
      <w:r>
        <w:t>38 of 38 automated tests passed. Original KG SHA-256 remains 4b43634ec370b1a7b1dfc28e6fbb9458172ba8234959d6c5f5713ad05d6212bf. The offline preview uses only existing real KG and NHANES evidence and five pre-executed investigations.</w:t>
      </w:r>
    </w:p>
    <w:p>
      <w:pPr>
        <w:pStyle w:val="Heading2"/>
      </w:pPr>
      <w:r>
        <w:t>Six-gate validation ledger</w:t>
      </w:r>
    </w:p>
    <w:p>
      <w:r>
        <w:t>G1 PASS: KG unchanged. G2 PASS: no simulated scientific evidence in local artifacts. G3 PASS: displayed values match stored source observations. G4 BLOCKED: live PubMed/ClinicalTrials.gov verification requires network. G5 PASS: tested eligibility, market and trend safeguards. G6 NOT RUN: Streamlit package unavailable; actual UI launch not verified.</w:t>
      </w:r>
    </w:p>
    <w:p>
      <w:pPr>
        <w:pStyle w:val="Heading2"/>
      </w:pPr>
      <w:r>
        <w:t>How to use</w:t>
      </w:r>
    </w:p>
    <w:p>
      <w:r>
        <w:t>Open Healthcare_Intelligence_V7_6_Offline_Demo.html directly in a browser for an immediate offline demonstration. For the full application, install requirements_v7_6.txt and run streamlit run app.py from the extracted project folder.</w:t>
      </w:r>
    </w:p>
    <w:p>
      <w:pPr>
        <w:pStyle w:val="Heading2"/>
      </w:pPr>
      <w:r>
        <w:t>Scientific and operational limits</w:t>
      </w:r>
    </w:p>
    <w:p>
      <w:r>
        <w:t>This is a functional demonstration, not a clinical or epidemiological certification. External source verification and Streamlit launch remain to be completed in a network-enabled environment. No production GitHub access, repository changes, or deployment was performed.</w:t>
      </w:r>
    </w:p>
    <w:p>
      <w:pPr>
        <w:pStyle w:val="Heading1"/>
      </w:pPr>
      <w:r>
        <w:t>12. V7.6.1 — Integrated intelligence and KG legibility</w:t>
      </w:r>
    </w:p>
    <w:p>
      <w:pPr>
        <w:pStyle w:val="Heading2"/>
      </w:pPr>
      <w:r>
        <w:t>Decision and scope</w:t>
      </w:r>
    </w:p>
    <w:p>
      <w:r>
        <w:t>Authorized on 25 October 2026: integrate live literature retrieval into Ask the Agent; answer supported portions while blocking unsupported claims; show readable source-linked reports; use dark high-contrast KG labels.</w:t>
      </w:r>
    </w:p>
    <w:p>
      <w:pPr>
        <w:pStyle w:val="Heading2"/>
      </w:pPr>
      <w:r>
        <w:t>Observed V7.6 operation</w:t>
      </w:r>
    </w:p>
    <w:p>
      <w:r>
        <w:t>User screenshots confirm Streamlit startup at localhost:8502, KG 293 nodes / 517 edges, four population observations and 88 candidate links. Following verified SSL configuration, user screenshots showed actual PubMed and ClinicalTrials.gov retrieval with PMIDs, NCT IDs and timestamps. These are user-observed results, not independent clinical appraisal.</w:t>
      </w:r>
    </w:p>
    <w:p>
      <w:pPr>
        <w:pStyle w:val="Heading2"/>
      </w:pPr>
      <w:r>
        <w:t>V7.6.1 implementation</w:t>
      </w:r>
    </w:p>
    <w:p>
      <w:r>
        <w:t>New src/v761.py integrates existing NHANES screening observations, KG lexical matches, optional real HTTPS biomedical retrieval, claim-level safeguards, structured narrative synthesis and source IDs. Ask the Agent now shows readable sections; technical JSON is under an expander. Report tab uses the same investigation. KG chart text is dark black on white, with stronger node outlines.</w:t>
      </w:r>
    </w:p>
    <w:p>
      <w:pPr>
        <w:pStyle w:val="Heading2"/>
      </w:pPr>
      <w:r>
        <w:t>Testing and integrity</w:t>
      </w:r>
    </w:p>
    <w:p>
      <w:r>
        <w:t>47 of 47 local automated tests passed; app and integration module compiled. Original KG SHA-256 unchanged: 4b43634ec370b1a7b1dfc28e6fbb9458172ba8234959d6c5f5713ad05d6212bf. No production GitHub access. This development environment lacks Streamlit, so V7.6.1 GUI launch and new integrated live retrieval remain to be confirmed on the user Mac.</w:t>
      </w:r>
    </w:p>
    <w:p>
      <w:pPr>
        <w:pStyle w:val="Heading2"/>
      </w:pPr>
      <w:r>
        <w:t>Demo acceptance and safeguards</w:t>
      </w:r>
    </w:p>
    <w:p>
      <w:r>
        <w:t>User checks: launch updated app; submit integrated finerenone question; verify readable KG labels; inspect evidence links and report. Preserve authentic evidence, HTTPS verification, source provenance and blocking of eligibility, market size and cross-cycle trend claims. No raw NHANES/R rerun or clinical expert review required for this controlled demo.</w:t>
      </w:r>
    </w:p>
    <w:p>
      <w:pPr>
        <w:pStyle w:val="Heading1"/>
      </w:pPr>
      <w:r>
        <w:t>13. V7.7 — Evidence-Grounded Reasoning and Opportunity Funnel</w:t>
      </w:r>
    </w:p>
    <w:p>
      <w:r>
        <w:t>Authorized 2026-10-25 after review of V7.6.1 investigation. Implemented new read-only original KG edge traversal; targeted live PubMed searches for FIDELIO-DKD, FIGARO-DKD and FIDELITY; HTTPS PubMed XML abstract retrieval with attributed Results/Conclusions excerpts when available; and a five-stage evidence-requirements funnel without invented eligibility percentages.</w:t>
      </w:r>
    </w:p>
    <w:p>
      <w:r>
        <w:t>Safeguards: original KG unchanged, SHA-256 4b43634ec370b1a7b1dfc28e6fbb9458172ba8234959d6c5f5713ad05d6212bf. No simulated biomedical evidence, patient records, unsupported treatment eligibility, commercial market numbers or trend conclusions. Abstract snippets are not independently critically appraised; original KG relations are not clinically adjudicated.</w:t>
      </w:r>
    </w:p>
    <w:p>
      <w:r>
        <w:t>Validation: 53 of 53 automated tests passed, including six V7.7-specific fixture-based software tests. Cloud-hosted Streamlit GUI and live PubMed V7.7 retrieval remain pending independent user acceptance. The existing production GitHub repository was not accessed or modified. The separate public demo repository requires user-controlled upload and redeployment.</w:t>
      </w:r>
    </w:p>
    <w:p>
      <w:pPr>
        <w:pStyle w:val="Heading1"/>
      </w:pPr>
      <w:r>
        <w:t>V7.7.1 — Targeted corrective release (2026-10-25)</w:t>
      </w:r>
    </w:p>
    <w:p>
      <w:r>
        <w:t>Trigger: the V7.7 user-supplied investigation reported HTTP 429 for FIDELIO-DKD, FIGARO-DKD and FIDELITY, despite successful generic PubMed and ClinicalTrials.gov retrieval. KG traversal required improved question relevance.</w:t>
      </w:r>
    </w:p>
    <w:p>
      <w:r>
        <w:t>Implementation: batched PubMed pivotal search and summary, bounded HTTP 429/transient 5xx retry with backoff, in-process six-hour caching of successfully retrieved authentic records and abstracts, batched EFetch, and relevance-ranked original KG relationships. Original KG bytes and clinical inference safeguards are preserved.</w:t>
      </w:r>
    </w:p>
    <w:p>
      <w:r>
        <w:t>Validation: local automated tests and original KG checksum; live PubMed and Streamlit cloud acceptance remain pending. No fabricated scientific evidence, no TLS bypass, no production GitHub activity. Title-based pivotal study tagging can miss papers without explicit study names. Clinical critical appraisal and validated treatment opportunity remain outside demo scope.</w:t>
      </w:r>
    </w:p>
    <w:p>
      <w:pPr>
        <w:pStyle w:val="Heading2"/>
      </w:pPr>
      <w:r>
        <w:t>V7.7.2 — Focused population intent routing</w:t>
      </w:r>
    </w:p>
    <w:p>
      <w:r>
        <w:t>2026-10-25. The user-provided V7.7.1 population-only report contained the preserved population estimate, count confidence interval, weight, and unweighted cases, but omitted weighted prevalence and included unnecessary clinical KG, PubMed, trial, and pivotal-evidence sections.</w:t>
      </w:r>
    </w:p>
    <w:p>
      <w:r>
        <w:t>V7.7.2 adds deterministic population-only intent routing, source-derived complete-case prevalence and denominator, and skips external/clinical evidence tools for this route. The original KG and NHANES source artifacts are unchanged. Integrated questions retain the prior pipeline. Independent NHANES replication, clinical adjudication, and Streamlit Cloud acceptance remain pending.</w:t>
      </w:r>
    </w:p>
    <w:p>
      <w:pPr>
        <w:pStyle w:val="Heading1"/>
      </w:pPr>
      <w:r>
        <w:t>V7.7.3 — Evidence Interpretation and Version Consistency</w:t>
      </w:r>
    </w:p>
    <w:p>
      <w:pPr/>
      <w:r>
        <w:t>Authorization and scope (25 October 2026). The user approved a focused evidence interpretation upgrade after evaluating the V7.7.2 integrated Kerendia report. Preserve original clinical KG and all existing scientific safeguards.</w:t>
      </w:r>
    </w:p>
    <w:p>
      <w:pPr/>
      <w:r>
        <w:t>Implementation. Added source-attributed study comparisons, transparent title-based publication-type heuristics, complete retrieved abstract sections, readable original KG relationships, an executive synthesis of decision gaps, and a NHANES-to-clinical-evidence applicability matrix. A single release identifier now drives banner, browser title, report headings and downloaded filenames.</w:t>
      </w:r>
    </w:p>
    <w:p>
      <w:pPr/>
      <w:r>
        <w:t>Evidence policy. Publication-type labels are title heuristics requiring verification, not independent trial appraisal. No source-unsupported clinical effects, eligibility counts, market size or cross-cycle trends are generated. Existing population-only intent routing remains intact.</w:t>
      </w:r>
    </w:p>
    <w:p>
      <w:pPr/>
      <w:r>
        <w:t>Local verification. 70 automated tests passed; Python source compiled; original KG SHA-256 4b43634ec370b1a7b1dfc28e6fbb9458172ba8234959d6c5f5713ad05d6212bf unchanged. Live API retrieval and Streamlit Cloud rendering remain to be verified by the user.</w:t>
      </w:r>
    </w:p>
    <w:p>
      <w:pPr/>
      <w:r>
        <w:t>Acceptance pending. Deploy separate V7.7.3-testing branch and Streamlit app, then test the population-only and integrated questions; inspect complete Markdown and evidence JSON; verify filenames and report titles consistently identify V7.7.3.</w:t>
      </w:r>
    </w:p>
    <w:sectPr w:rsidR="00FC693F" w:rsidRPr="0006063C" w:rsidSect="00034616">
      <w:pgSz w:w="12240" w:h="15840"/>
      <w:pgMar w:top="1123" w:right="1210" w:bottom="1037"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D5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D5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D5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