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FD" w:rsidRDefault="006450F8" w:rsidP="006450F8">
      <w:pPr>
        <w:pStyle w:val="Title"/>
      </w:pPr>
      <w:r>
        <w:t>Quality Strategy</w:t>
      </w:r>
      <w:bookmarkStart w:id="0" w:name="_GoBack"/>
      <w:bookmarkEnd w:id="0"/>
    </w:p>
    <w:p w:rsidR="003C2757" w:rsidRDefault="003C2757" w:rsidP="006450F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2345"/>
        <w:gridCol w:w="2332"/>
        <w:gridCol w:w="2066"/>
      </w:tblGrid>
      <w:tr w:rsidR="00F2568A" w:rsidTr="00F2568A">
        <w:tc>
          <w:tcPr>
            <w:tcW w:w="2481" w:type="dxa"/>
          </w:tcPr>
          <w:p w:rsidR="00561C52" w:rsidRDefault="00891756" w:rsidP="00891756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br/>
            </w:r>
            <w:r w:rsidRPr="00F2568A">
              <w:rPr>
                <w:b/>
                <w:sz w:val="24"/>
                <w:szCs w:val="24"/>
              </w:rPr>
              <w:br/>
            </w:r>
            <w:r w:rsidRPr="00F2568A">
              <w:rPr>
                <w:b/>
                <w:sz w:val="24"/>
                <w:szCs w:val="24"/>
              </w:rPr>
              <w:br/>
            </w:r>
          </w:p>
          <w:p w:rsidR="00561C52" w:rsidRDefault="00561C52" w:rsidP="00891756">
            <w:pPr>
              <w:jc w:val="center"/>
              <w:rPr>
                <w:b/>
                <w:sz w:val="24"/>
                <w:szCs w:val="24"/>
              </w:rPr>
            </w:pPr>
          </w:p>
          <w:p w:rsidR="00891756" w:rsidRPr="00F2568A" w:rsidRDefault="00891756" w:rsidP="00891756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t>Feature</w:t>
            </w:r>
            <w:r w:rsidR="00F2568A" w:rsidRPr="00F2568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535" w:type="dxa"/>
          </w:tcPr>
          <w:p w:rsidR="00561C52" w:rsidRDefault="00891756" w:rsidP="00891756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br/>
            </w:r>
            <w:r w:rsidRPr="00F2568A">
              <w:rPr>
                <w:b/>
                <w:sz w:val="24"/>
                <w:szCs w:val="24"/>
              </w:rPr>
              <w:br/>
            </w:r>
            <w:r w:rsidRPr="00F2568A">
              <w:rPr>
                <w:b/>
                <w:sz w:val="24"/>
                <w:szCs w:val="24"/>
              </w:rPr>
              <w:br/>
            </w:r>
          </w:p>
          <w:p w:rsidR="00561C52" w:rsidRDefault="00561C52" w:rsidP="00891756">
            <w:pPr>
              <w:jc w:val="center"/>
              <w:rPr>
                <w:b/>
                <w:sz w:val="24"/>
                <w:szCs w:val="24"/>
              </w:rPr>
            </w:pPr>
          </w:p>
          <w:p w:rsidR="00891756" w:rsidRPr="00F2568A" w:rsidRDefault="00891756" w:rsidP="00891756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t>Quality Objectives</w:t>
            </w:r>
          </w:p>
        </w:tc>
        <w:tc>
          <w:tcPr>
            <w:tcW w:w="2523" w:type="dxa"/>
          </w:tcPr>
          <w:p w:rsidR="00561C52" w:rsidRDefault="00891756" w:rsidP="00891756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br/>
            </w:r>
            <w:r w:rsidRPr="00F2568A">
              <w:rPr>
                <w:b/>
                <w:sz w:val="24"/>
                <w:szCs w:val="24"/>
              </w:rPr>
              <w:br/>
            </w:r>
            <w:r w:rsidRPr="00F2568A">
              <w:rPr>
                <w:b/>
                <w:sz w:val="24"/>
                <w:szCs w:val="24"/>
              </w:rPr>
              <w:br/>
            </w:r>
          </w:p>
          <w:p w:rsidR="00891756" w:rsidRPr="00F2568A" w:rsidRDefault="00891756" w:rsidP="00891756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t>How to measure Quality</w:t>
            </w:r>
          </w:p>
        </w:tc>
        <w:tc>
          <w:tcPr>
            <w:tcW w:w="1477" w:type="dxa"/>
          </w:tcPr>
          <w:p w:rsidR="00F2568A" w:rsidRPr="00F2568A" w:rsidRDefault="00F2568A" w:rsidP="00891756">
            <w:pPr>
              <w:jc w:val="center"/>
              <w:rPr>
                <w:b/>
                <w:sz w:val="24"/>
                <w:szCs w:val="24"/>
              </w:rPr>
            </w:pPr>
          </w:p>
          <w:p w:rsidR="00F2568A" w:rsidRPr="00F2568A" w:rsidRDefault="00F2568A" w:rsidP="00891756">
            <w:pPr>
              <w:jc w:val="center"/>
              <w:rPr>
                <w:b/>
                <w:sz w:val="24"/>
                <w:szCs w:val="24"/>
              </w:rPr>
            </w:pPr>
          </w:p>
          <w:p w:rsidR="00F2568A" w:rsidRPr="00F2568A" w:rsidRDefault="00F2568A" w:rsidP="00891756">
            <w:pPr>
              <w:jc w:val="center"/>
              <w:rPr>
                <w:b/>
                <w:sz w:val="24"/>
                <w:szCs w:val="24"/>
              </w:rPr>
            </w:pPr>
          </w:p>
          <w:p w:rsidR="00891756" w:rsidRPr="00F2568A" w:rsidRDefault="00891756" w:rsidP="00F2568A">
            <w:pPr>
              <w:jc w:val="center"/>
              <w:rPr>
                <w:b/>
                <w:sz w:val="24"/>
                <w:szCs w:val="24"/>
              </w:rPr>
            </w:pPr>
            <w:r w:rsidRPr="00F2568A">
              <w:rPr>
                <w:b/>
                <w:sz w:val="24"/>
                <w:szCs w:val="24"/>
              </w:rPr>
              <w:t>What tools will be used to measure quality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Accessibility for all people with; vision impairment, mobility impairment, and hearing impairment</w:t>
            </w:r>
          </w:p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D75C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The accessibility features meet the section 508 standards for Electronic and Information technology defined in the united states access board 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D75C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Individual items will be judged by if they do or don’t meet each item in the list of standards</w:t>
            </w:r>
          </w:p>
          <w:p w:rsidR="00891756" w:rsidRPr="00561C52" w:rsidRDefault="00891756" w:rsidP="00F33E44">
            <w:pPr>
              <w:pStyle w:val="List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List of standards as a checklist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Access to any and all people who wish to interact and engage with Perth Mud Crabs</w:t>
            </w:r>
          </w:p>
        </w:tc>
        <w:tc>
          <w:tcPr>
            <w:tcW w:w="2535" w:type="dxa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Access to those who wish to interact with the team are able to</w:t>
            </w:r>
          </w:p>
        </w:tc>
        <w:tc>
          <w:tcPr>
            <w:tcW w:w="2523" w:type="dxa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Will be measured using customer engagement metrics</w:t>
            </w:r>
          </w:p>
        </w:tc>
        <w:tc>
          <w:tcPr>
            <w:tcW w:w="1477" w:type="dxa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Google analytics and google play store table of competitors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E-store for online sale of merchandise</w:t>
            </w: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pStyle w:val="ListParagraph"/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The E-store will have 99.99% or greater uptime</w:t>
            </w: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Local shipping will take less than one week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pStyle w:val="ListParagraph"/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Will be measured by web application metrics</w:t>
            </w: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Will be measured by average shipping time</w:t>
            </w: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pStyle w:val="ListParagraph"/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Built in metrics during stress tests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Content Management System</w:t>
            </w:r>
          </w:p>
        </w:tc>
        <w:tc>
          <w:tcPr>
            <w:tcW w:w="2535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Will have all WordPress features</w:t>
            </w:r>
          </w:p>
        </w:tc>
        <w:tc>
          <w:tcPr>
            <w:tcW w:w="2523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F33E4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Will be measured by comparison between the WordPress content management system features</w:t>
            </w:r>
          </w:p>
        </w:tc>
        <w:tc>
          <w:tcPr>
            <w:tcW w:w="1477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F2568A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Sample websites created using </w:t>
            </w:r>
            <w:r w:rsidR="00891756" w:rsidRPr="00561C52">
              <w:rPr>
                <w:rFonts w:asciiTheme="majorHAnsi" w:hAnsiTheme="majorHAnsi"/>
                <w:sz w:val="18"/>
                <w:szCs w:val="18"/>
              </w:rPr>
              <w:t>WordPress content management systems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Informational con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tent related to Perth Mud Crabs</w:t>
            </w: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Will be Multilingual</w:t>
            </w: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Will cover 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Match Schedule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, Live Scoring, and Player Profiles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Social media metrics to determine interest will be used to measure</w:t>
            </w: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Metrics will provide a list of languages to translate the content</w:t>
            </w: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Translators will verify the quality of translations</w:t>
            </w: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Facebook metrics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F2568A" w:rsidP="00942B93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="00891756"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="00891756" w:rsidRPr="00561C52">
              <w:rPr>
                <w:rFonts w:asciiTheme="majorHAnsi" w:hAnsiTheme="majorHAnsi"/>
                <w:sz w:val="18"/>
                <w:szCs w:val="18"/>
              </w:rPr>
              <w:tab/>
              <w:t xml:space="preserve">Awareness and Recognition of; issues facing indigenous people, appreciation of sporting values, aboriginal culture, and digital ubiquity for </w:t>
            </w:r>
            <w:r w:rsidR="00891756" w:rsidRPr="00561C52">
              <w:rPr>
                <w:rFonts w:asciiTheme="majorHAnsi" w:hAnsiTheme="majorHAnsi"/>
                <w:sz w:val="18"/>
                <w:szCs w:val="18"/>
              </w:rPr>
              <w:lastRenderedPageBreak/>
              <w:t>indigenous people in Western Australia</w:t>
            </w:r>
          </w:p>
          <w:p w:rsidR="00891756" w:rsidRPr="00561C52" w:rsidRDefault="00891756" w:rsidP="00D75C7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35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Racism concerns of the public will be taken in to strong account</w:t>
            </w: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lastRenderedPageBreak/>
              <w:t>Is up to date with mass media perceptions including local news and radio</w:t>
            </w:r>
          </w:p>
        </w:tc>
        <w:tc>
          <w:tcPr>
            <w:tcW w:w="2523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The public opinion metrics provided from the Australian government give </w:t>
            </w:r>
            <w:r w:rsidRPr="00561C52">
              <w:rPr>
                <w:rFonts w:asciiTheme="majorHAnsi" w:hAnsiTheme="majorHAnsi"/>
                <w:sz w:val="18"/>
                <w:szCs w:val="18"/>
              </w:rPr>
              <w:lastRenderedPageBreak/>
              <w:t>statistical information which will be used to measure how effective local concerns are taken in to account</w:t>
            </w:r>
          </w:p>
        </w:tc>
        <w:tc>
          <w:tcPr>
            <w:tcW w:w="1477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Annual statistics reports from Australia</w:t>
            </w: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lastRenderedPageBreak/>
              <w:t>Feedback from radio stations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942B93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lastRenderedPageBreak/>
              <w:br/>
            </w:r>
            <w:r w:rsidR="00561C52">
              <w:rPr>
                <w:rFonts w:asciiTheme="majorHAnsi" w:hAnsiTheme="majorHAnsi"/>
                <w:sz w:val="18"/>
                <w:szCs w:val="18"/>
              </w:rPr>
              <w:t xml:space="preserve">• 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Links to all AFL material</w:t>
            </w: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Selecting the most up to date research on other AFL applications and internet AFL resources and content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The content is no older than 2 weeks</w:t>
            </w: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942B93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Face-to-Face experiences in combination with; online experiences, virtual and augmented reality options</w:t>
            </w:r>
          </w:p>
          <w:p w:rsidR="00891756" w:rsidRPr="00561C52" w:rsidRDefault="00891756" w:rsidP="00942B9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35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Support the emerging 5g technology for the highest quality and fastest broadband</w:t>
            </w:r>
          </w:p>
          <w:p w:rsidR="00891756" w:rsidRPr="00561C52" w:rsidRDefault="00891756" w:rsidP="00942B9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Restrict access to the live streaming services for connections below 4g speeds</w:t>
            </w:r>
          </w:p>
        </w:tc>
        <w:tc>
          <w:tcPr>
            <w:tcW w:w="2523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Conduct a stress test on servers to make sure the quality of service provided has an acceptable level of latency and buffering</w:t>
            </w:r>
          </w:p>
        </w:tc>
        <w:tc>
          <w:tcPr>
            <w:tcW w:w="1477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Information technology communication statistics from CASA used as tools to provide benchmarks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4E1AA7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Engaging training resources for improving; digital literacy, health knowledge, awareness of employable skills and options for; people with disabilities, and indigenous people</w:t>
            </w:r>
          </w:p>
          <w:p w:rsidR="00891756" w:rsidRPr="00561C52" w:rsidRDefault="00891756" w:rsidP="00942B9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The training will be interactive and </w:t>
            </w:r>
            <w:proofErr w:type="spellStart"/>
            <w:r w:rsidRPr="00561C52">
              <w:rPr>
                <w:rFonts w:asciiTheme="majorHAnsi" w:hAnsiTheme="majorHAnsi"/>
                <w:sz w:val="18"/>
                <w:szCs w:val="18"/>
              </w:rPr>
              <w:t>gamefied</w:t>
            </w:r>
            <w:proofErr w:type="spellEnd"/>
          </w:p>
          <w:p w:rsidR="00891756" w:rsidRPr="00561C52" w:rsidRDefault="00891756" w:rsidP="004E1AA7">
            <w:pPr>
              <w:pStyle w:val="ListParagraph"/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The content will cover all employment issues facing the indigenous population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Compliance with current best practices according to game theory studies</w:t>
            </w:r>
            <w:r w:rsidR="00F2568A" w:rsidRPr="00561C52">
              <w:rPr>
                <w:rFonts w:asciiTheme="majorHAnsi" w:hAnsiTheme="majorHAnsi"/>
                <w:sz w:val="18"/>
                <w:szCs w:val="18"/>
              </w:rPr>
              <w:br/>
            </w: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Metrics 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according to the Australian government</w:t>
            </w: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Tutorial systems in video games</w:t>
            </w: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Australian government annual metrics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4E1AA7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Health care applications for indigenous issues such as; diabetes, drug and alcohol, aged care, health education, social and emotional wellbeing, and stolen generations</w:t>
            </w:r>
          </w:p>
        </w:tc>
        <w:tc>
          <w:tcPr>
            <w:tcW w:w="2535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Covers all concerns according to Australian Health Department</w:t>
            </w:r>
          </w:p>
          <w:p w:rsidR="00891756" w:rsidRPr="00561C52" w:rsidRDefault="00891756" w:rsidP="004E1A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Is historically accurate with regards to the history of indigenous people</w:t>
            </w:r>
          </w:p>
        </w:tc>
        <w:tc>
          <w:tcPr>
            <w:tcW w:w="2523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Can be measured by utilizing the opinions of health experts such as doctors and nutritionists</w:t>
            </w:r>
          </w:p>
          <w:p w:rsidR="00891756" w:rsidRPr="00561C52" w:rsidRDefault="00891756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Can be verified with published works on indigenous history</w:t>
            </w:r>
          </w:p>
        </w:tc>
        <w:tc>
          <w:tcPr>
            <w:tcW w:w="1477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Doctors and Nutritionists</w:t>
            </w: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Published books</w:t>
            </w: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Book publishers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4E1AA7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Raise awareness of the project through; Social media applications and websites including; Faceb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ook, Twitter, LINKEDIN, YouTube</w:t>
            </w: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Google analytics can be used to measure engagement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Comparison with current AFL application engagement analytics</w:t>
            </w: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Strategies sources from online marketing businesses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4E1AA7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Measure engagement of Perth Mud Crab su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pporters using Google Analytics</w:t>
            </w:r>
          </w:p>
        </w:tc>
        <w:tc>
          <w:tcPr>
            <w:tcW w:w="2535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</w:tc>
        <w:tc>
          <w:tcPr>
            <w:tcW w:w="2523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</w:tc>
        <w:tc>
          <w:tcPr>
            <w:tcW w:w="1477" w:type="dxa"/>
          </w:tcPr>
          <w:p w:rsidR="00891756" w:rsidRPr="00561C52" w:rsidRDefault="00891756" w:rsidP="00F33E44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Google analytics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Google AD-WORDS</w:t>
            </w: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77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lastRenderedPageBreak/>
              <w:t>Google AD-WORDS analytics</w:t>
            </w: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lastRenderedPageBreak/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Compare statistical data to informational statist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>ics through feedback from below</w:t>
            </w:r>
          </w:p>
        </w:tc>
        <w:tc>
          <w:tcPr>
            <w:tcW w:w="2535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</w:tc>
        <w:tc>
          <w:tcPr>
            <w:tcW w:w="2523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77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Creation of a feedback action plan</w:t>
            </w:r>
          </w:p>
        </w:tc>
      </w:tr>
      <w:tr w:rsidR="00561C52" w:rsidTr="00F2568A">
        <w:tc>
          <w:tcPr>
            <w:tcW w:w="2481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Implement Feedback from the following government departments; Department of aboriginal affairs, Department of sport, Department of racing, gaming and liquor, Department of recreation, Department of education, and Disability services</w:t>
            </w: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35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Use a checklist to determine if all feedback has been integrated in to the application(s)</w:t>
            </w:r>
          </w:p>
        </w:tc>
        <w:tc>
          <w:tcPr>
            <w:tcW w:w="2523" w:type="dxa"/>
            <w:shd w:val="clear" w:color="auto" w:fill="D5DCE4" w:themeFill="text2" w:themeFillTint="33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Ensure all content information covers all checklist items</w:t>
            </w: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77" w:type="dxa"/>
            <w:shd w:val="clear" w:color="auto" w:fill="D5DCE4" w:themeFill="text2" w:themeFillTint="33"/>
          </w:tcPr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___</w:t>
            </w: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2568A" w:rsidTr="00F2568A">
        <w:tc>
          <w:tcPr>
            <w:tcW w:w="2481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br/>
            </w:r>
            <w:r w:rsidRPr="00561C52">
              <w:rPr>
                <w:rFonts w:asciiTheme="majorHAnsi" w:hAnsiTheme="majorHAnsi"/>
                <w:sz w:val="18"/>
                <w:szCs w:val="18"/>
              </w:rPr>
              <w:t>•</w:t>
            </w:r>
            <w:r w:rsidRPr="00561C52">
              <w:rPr>
                <w:rFonts w:asciiTheme="majorHAnsi" w:hAnsiTheme="majorHAnsi"/>
                <w:sz w:val="18"/>
                <w:szCs w:val="18"/>
              </w:rPr>
              <w:tab/>
              <w:t>Establish a viable information communication technology platform for all Perth Mud Crab business including; server management choices and all information technology business systems</w:t>
            </w:r>
          </w:p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35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 xml:space="preserve">Compare the quality with existing services that provide outsource solutions </w:t>
            </w:r>
          </w:p>
        </w:tc>
        <w:tc>
          <w:tcPr>
            <w:tcW w:w="2523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891756" w:rsidRPr="00561C52" w:rsidRDefault="00891756" w:rsidP="0089175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and check features against a viable list within budget</w:t>
            </w:r>
          </w:p>
        </w:tc>
        <w:tc>
          <w:tcPr>
            <w:tcW w:w="1477" w:type="dxa"/>
          </w:tcPr>
          <w:p w:rsidR="00891756" w:rsidRPr="00561C52" w:rsidRDefault="00891756" w:rsidP="0089175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F2568A" w:rsidRPr="00561C52" w:rsidRDefault="00F2568A" w:rsidP="00F256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</w:rPr>
            </w:pPr>
            <w:r w:rsidRPr="00561C52">
              <w:rPr>
                <w:rFonts w:asciiTheme="majorHAnsi" w:hAnsiTheme="majorHAnsi"/>
                <w:sz w:val="18"/>
                <w:szCs w:val="18"/>
              </w:rPr>
              <w:t>Features checklist</w:t>
            </w:r>
          </w:p>
        </w:tc>
      </w:tr>
    </w:tbl>
    <w:p w:rsidR="00D957F0" w:rsidRPr="006450F8" w:rsidRDefault="00D957F0" w:rsidP="006450F8"/>
    <w:sectPr w:rsidR="00D957F0" w:rsidRPr="0064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06665"/>
    <w:multiLevelType w:val="hybridMultilevel"/>
    <w:tmpl w:val="D364608A"/>
    <w:lvl w:ilvl="0" w:tplc="A8BE2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81CCF"/>
    <w:multiLevelType w:val="hybridMultilevel"/>
    <w:tmpl w:val="92A09544"/>
    <w:lvl w:ilvl="0" w:tplc="98A2F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F8"/>
    <w:rsid w:val="003C2757"/>
    <w:rsid w:val="00457DFD"/>
    <w:rsid w:val="004E1AA7"/>
    <w:rsid w:val="00561C52"/>
    <w:rsid w:val="006450F8"/>
    <w:rsid w:val="00891756"/>
    <w:rsid w:val="00942B93"/>
    <w:rsid w:val="00D75C7B"/>
    <w:rsid w:val="00D957F0"/>
    <w:rsid w:val="00F2568A"/>
    <w:rsid w:val="00F33E44"/>
    <w:rsid w:val="00F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4F102-0058-4A1E-A2C7-5079D9C4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0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50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50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0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Philip WAGNER</cp:lastModifiedBy>
  <cp:revision>2</cp:revision>
  <dcterms:created xsi:type="dcterms:W3CDTF">2016-05-17T05:22:00Z</dcterms:created>
  <dcterms:modified xsi:type="dcterms:W3CDTF">2016-05-17T05:22:00Z</dcterms:modified>
</cp:coreProperties>
</file>