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47647" w14:textId="77777777" w:rsidR="009D0BE4" w:rsidRDefault="00175C32">
      <w:pPr>
        <w:pStyle w:val="Heading1"/>
      </w:pPr>
      <w:r>
        <w:t>AI Adoption in Field Service Operations — Industry Benchmarking Analysis</w:t>
      </w:r>
    </w:p>
    <w:p w14:paraId="57347648" w14:textId="77777777" w:rsidR="009D0BE4" w:rsidRDefault="00175C32">
      <w:r>
        <w:rPr>
          <w:b/>
          <w:bCs/>
        </w:rPr>
        <w:t>Scope:</w:t>
      </w:r>
      <w:r>
        <w:t xml:space="preserve"> generic industry baseline, prioritized 2026 / late-2025 evidence, with enterprise sources checked for field service, operations, and AI benchmark relevance.</w:t>
      </w:r>
    </w:p>
    <w:p w14:paraId="57347649" w14:textId="77777777" w:rsidR="009D0BE4" w:rsidRDefault="00175C32">
      <w:pPr>
        <w:pStyle w:val="Heading2"/>
      </w:pPr>
      <w:r>
        <w:t>Executive takeaways — what matters most</w:t>
      </w:r>
    </w:p>
    <w:p w14:paraId="5734764A" w14:textId="77777777" w:rsidR="009D0BE4" w:rsidRDefault="00175C32">
      <w:r>
        <w:rPr>
          <w:b/>
          <w:bCs/>
        </w:rPr>
        <w:t>The current benchmark spread is large enough to justify AI investment, but the evidence says “AI + unified service data + workflow redesign,” not AI alone, drives the measurable gains.</w:t>
      </w:r>
      <w:r>
        <w:t xml:space="preserve"> </w:t>
      </w:r>
      <w:proofErr w:type="spellStart"/>
      <w:r>
        <w:t>Aquant’s</w:t>
      </w:r>
      <w:proofErr w:type="spellEnd"/>
      <w:r>
        <w:t xml:space="preserve"> 2026 benchmark release reports an industry first-time-fix benchmark of </w:t>
      </w:r>
      <w:r>
        <w:rPr>
          <w:b/>
          <w:bCs/>
        </w:rPr>
        <w:t>77%</w:t>
      </w:r>
      <w:r>
        <w:t xml:space="preserve">, with top performers at </w:t>
      </w:r>
      <w:r>
        <w:rPr>
          <w:b/>
          <w:bCs/>
        </w:rPr>
        <w:t>88%</w:t>
      </w:r>
      <w:r>
        <w:t xml:space="preserve"> and bottom performers at </w:t>
      </w:r>
      <w:r>
        <w:rPr>
          <w:b/>
          <w:bCs/>
        </w:rPr>
        <w:t>60%</w:t>
      </w:r>
      <w:r>
        <w:t xml:space="preserve">; median speed-to-resolution is </w:t>
      </w:r>
      <w:r>
        <w:rPr>
          <w:b/>
          <w:bCs/>
        </w:rPr>
        <w:t>4.5 days</w:t>
      </w:r>
      <w:r>
        <w:t xml:space="preserve">, while top performers close in </w:t>
      </w:r>
      <w:r>
        <w:rPr>
          <w:b/>
          <w:bCs/>
        </w:rPr>
        <w:t>2.5 days</w:t>
      </w:r>
      <w:r>
        <w:t xml:space="preserve"> and bottom performers stretch to </w:t>
      </w:r>
      <w:r>
        <w:rPr>
          <w:b/>
          <w:bCs/>
        </w:rPr>
        <w:t>10 days</w:t>
      </w:r>
      <w:r>
        <w:t>.</w:t>
      </w:r>
      <w:r>
        <w:rPr>
          <w:rStyle w:val="FootnoteReference"/>
        </w:rPr>
        <w:footnoteReference w:id="1"/>
      </w:r>
      <w:r>
        <w:t xml:space="preserve"> The same release says failed visits account for </w:t>
      </w:r>
      <w:r>
        <w:rPr>
          <w:b/>
          <w:bCs/>
        </w:rPr>
        <w:t>25%</w:t>
      </w:r>
      <w:r>
        <w:t xml:space="preserve"> of total service cost at the median, </w:t>
      </w:r>
      <w:r>
        <w:rPr>
          <w:b/>
          <w:bCs/>
        </w:rPr>
        <w:t>14%</w:t>
      </w:r>
      <w:r>
        <w:t xml:space="preserve"> for top performers, and </w:t>
      </w:r>
      <w:r>
        <w:rPr>
          <w:b/>
          <w:bCs/>
        </w:rPr>
        <w:t>44%</w:t>
      </w:r>
      <w:r>
        <w:t xml:space="preserve"> for bottom performers, while modeled cost-reduction upside reaches </w:t>
      </w:r>
      <w:r>
        <w:rPr>
          <w:b/>
          <w:bCs/>
        </w:rPr>
        <w:t>low teens typically and up to 26% in some segments</w:t>
      </w:r>
      <w:r>
        <w:t xml:space="preserve"> when teams perform more like top performers.</w:t>
      </w:r>
      <w:r>
        <w:rPr>
          <w:rStyle w:val="FootnoteReference"/>
        </w:rPr>
        <w:footnoteReference w:id="2"/>
      </w:r>
    </w:p>
    <w:p w14:paraId="5734764B" w14:textId="77777777" w:rsidR="009D0BE4" w:rsidRDefault="00175C32">
      <w:r>
        <w:rPr>
          <w:b/>
          <w:bCs/>
        </w:rPr>
        <w:t>AI adoption has moved from pilot to operating model, but readiness and governance lag adoption.</w:t>
      </w:r>
      <w:r>
        <w:t xml:space="preserve"> Geotab’s 2026 State of AI in Field Service landing page says </w:t>
      </w:r>
      <w:r>
        <w:rPr>
          <w:b/>
          <w:bCs/>
        </w:rPr>
        <w:t>98%</w:t>
      </w:r>
      <w:r>
        <w:t xml:space="preserve"> of field service leaders are taking AI action: </w:t>
      </w:r>
      <w:r>
        <w:rPr>
          <w:b/>
          <w:bCs/>
        </w:rPr>
        <w:t>29%</w:t>
      </w:r>
      <w:r>
        <w:t xml:space="preserve"> fully deployed across multiple service areas, </w:t>
      </w:r>
      <w:r>
        <w:rPr>
          <w:b/>
          <w:bCs/>
        </w:rPr>
        <w:t>39%</w:t>
      </w:r>
      <w:r>
        <w:t xml:space="preserve"> deployed to specific use cases, and </w:t>
      </w:r>
      <w:r>
        <w:rPr>
          <w:b/>
          <w:bCs/>
        </w:rPr>
        <w:t>30%</w:t>
      </w:r>
      <w:r>
        <w:t xml:space="preserve"> running pilots; however, </w:t>
      </w:r>
      <w:r>
        <w:rPr>
          <w:b/>
          <w:bCs/>
        </w:rPr>
        <w:t>75%</w:t>
      </w:r>
      <w:r>
        <w:t xml:space="preserve"> are only “somewhat confident” in workforce AI readiness and </w:t>
      </w:r>
      <w:r>
        <w:rPr>
          <w:b/>
          <w:bCs/>
        </w:rPr>
        <w:t>45%</w:t>
      </w:r>
      <w:r>
        <w:t xml:space="preserve"> cite cybersecurity/data privacy as the most significant barrier.</w:t>
      </w:r>
      <w:r>
        <w:rPr>
          <w:rStyle w:val="FootnoteReference"/>
        </w:rPr>
        <w:footnoteReference w:id="3"/>
      </w:r>
      <w:r>
        <w:t xml:space="preserve"> IBM’s 2025–2026 Salesforce research adds a broader enterprise warning: among </w:t>
      </w:r>
      <w:r>
        <w:rPr>
          <w:b/>
          <w:bCs/>
        </w:rPr>
        <w:t>1,200+ Salesforce customers</w:t>
      </w:r>
      <w:r>
        <w:t xml:space="preserve">, only </w:t>
      </w:r>
      <w:r>
        <w:rPr>
          <w:b/>
          <w:bCs/>
        </w:rPr>
        <w:t>33%</w:t>
      </w:r>
      <w:r>
        <w:t xml:space="preserve"> of AI initiatives meet ROI targets and </w:t>
      </w:r>
      <w:r>
        <w:rPr>
          <w:b/>
          <w:bCs/>
        </w:rPr>
        <w:t>72%</w:t>
      </w:r>
      <w:r>
        <w:t xml:space="preserve"> have failed to scale across business units, reinforcing that deployment volume is not the same as benchmark performance improvement.</w:t>
      </w:r>
      <w:r>
        <w:rPr>
          <w:rStyle w:val="FootnoteReference"/>
        </w:rPr>
        <w:footnoteReference w:id="4"/>
      </w:r>
    </w:p>
    <w:p w14:paraId="5734764C" w14:textId="77777777" w:rsidR="009D0BE4" w:rsidRDefault="00175C32">
      <w:r>
        <w:rPr>
          <w:noProof/>
        </w:rPr>
        <w:lastRenderedPageBreak/>
        <w:drawing>
          <wp:inline distT="0" distB="0" distL="0" distR="0" wp14:anchorId="573476EF" wp14:editId="573476F0">
            <wp:extent cx="5734050" cy="2952750"/>
            <wp:effectExtent l="0" t="0" r="0" b="0"/>
            <wp:docPr id="1" name="Picture 1" descr="Visualization" title="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952750"/>
                    </a:xfrm>
                    <a:prstGeom prst="rect">
                      <a:avLst/>
                    </a:prstGeom>
                  </pic:spPr>
                </pic:pic>
              </a:graphicData>
            </a:graphic>
          </wp:inline>
        </w:drawing>
      </w:r>
    </w:p>
    <w:p w14:paraId="5734764D" w14:textId="77777777" w:rsidR="009D0BE4" w:rsidRDefault="009D0BE4">
      <w:pPr>
        <w:pBdr>
          <w:top w:val="single" w:sz="12" w:space="0" w:color="auto"/>
        </w:pBdr>
        <w:spacing w:after="0"/>
      </w:pPr>
    </w:p>
    <w:p w14:paraId="5734764E" w14:textId="77777777" w:rsidR="009D0BE4" w:rsidRDefault="00175C32">
      <w:pPr>
        <w:pStyle w:val="Heading2"/>
      </w:pPr>
      <w:r>
        <w:t>Enterprise source check</w:t>
      </w:r>
    </w:p>
    <w:p w14:paraId="5734764F" w14:textId="77777777" w:rsidR="009D0BE4" w:rsidRDefault="00175C32">
      <w:r>
        <w:t xml:space="preserve">I found relevant internal/enterprise material rather than a proprietary operating dataset. The strongest internal source, </w:t>
      </w:r>
      <w:hyperlink r:id="rId8" w:history="1">
        <w:r>
          <w:rPr>
            <w:rStyle w:val="Hyperlink"/>
          </w:rPr>
          <w:t>Alithya Field Service Practice - ABM Landing Page.docx</w:t>
        </w:r>
      </w:hyperlink>
      <w:r>
        <w:t xml:space="preserve">, positions Dynamics 365 Field Service outcomes as </w:t>
      </w:r>
      <w:r>
        <w:rPr>
          <w:b/>
          <w:bCs/>
        </w:rPr>
        <w:t>up to 20% higher first-time-fix rates</w:t>
      </w:r>
      <w:r>
        <w:t xml:space="preserve">, </w:t>
      </w:r>
      <w:r>
        <w:rPr>
          <w:b/>
          <w:bCs/>
        </w:rPr>
        <w:t>15% lower service costs</w:t>
      </w:r>
      <w:r>
        <w:t xml:space="preserve">, </w:t>
      </w:r>
      <w:r>
        <w:rPr>
          <w:b/>
          <w:bCs/>
        </w:rPr>
        <w:t>40% dispatcher productivity improvement</w:t>
      </w:r>
      <w:r>
        <w:t xml:space="preserve">, </w:t>
      </w:r>
      <w:r>
        <w:rPr>
          <w:b/>
          <w:bCs/>
        </w:rPr>
        <w:t>$2.8M savings from reduced time-to-invoice delays</w:t>
      </w:r>
      <w:r>
        <w:t xml:space="preserve">, and </w:t>
      </w:r>
      <w:r>
        <w:rPr>
          <w:b/>
          <w:bCs/>
        </w:rPr>
        <w:t>$2.1M avoided travel-time savings over three years</w:t>
      </w:r>
      <w:r>
        <w:t>, while listing AI/IoT offerings such as Connected Field Service, Azure ML predictive maintenance, Copilot-enabled work order management, scheduling optimization, Remote Assist, and analytics dashboards.</w:t>
      </w:r>
      <w:r>
        <w:rPr>
          <w:rStyle w:val="FootnoteReference"/>
        </w:rPr>
        <w:footnoteReference w:id="5"/>
      </w:r>
      <w:r>
        <w:t xml:space="preserve"> </w:t>
      </w:r>
      <w:r>
        <w:rPr>
          <w:rStyle w:val="FootnoteReference"/>
        </w:rPr>
        <w:footnoteReference w:id="6"/>
      </w:r>
      <w:r>
        <w:t xml:space="preserve"> </w:t>
      </w:r>
      <w:hyperlink r:id="rId9" w:history="1">
        <w:r>
          <w:rPr>
            <w:rStyle w:val="Hyperlink"/>
          </w:rPr>
          <w:t>Field Service Data Model.pptx</w:t>
        </w:r>
      </w:hyperlink>
      <w:r>
        <w:t xml:space="preserve"> aligns to the same value drivers: better first-time fix from parts/instructions/skills before arrival, lower travel via closest-technician scheduling, more calls per technician from optimized schedules, downtime avoidance through </w:t>
      </w:r>
      <w:r>
        <w:lastRenderedPageBreak/>
        <w:t>preventative maintenance and IoT monitoring, and faster invoicing after job completion.</w:t>
      </w:r>
      <w:r>
        <w:rPr>
          <w:rStyle w:val="FootnoteReference"/>
        </w:rPr>
        <w:footnoteReference w:id="7"/>
      </w:r>
      <w:r>
        <w:t xml:space="preserve"> </w:t>
      </w:r>
      <w:hyperlink r:id="rId10" w:history="1">
        <w:r>
          <w:rPr>
            <w:rStyle w:val="Hyperlink"/>
          </w:rPr>
          <w:t>Re: Next Steps - Partners &amp; Industry</w:t>
        </w:r>
      </w:hyperlink>
      <w:r>
        <w:t xml:space="preserve"> also identifies internal benchmark categories—mean time to repair, first-time fix, technician utilization, equipment uptime, SLA compliance, revenue leakage, service-to-cash, and repeat visits—and frames AI capabilities around smart scheduling, predictive analytics, workflow adaptation, routing/dispatch decisions, and big-data insights.</w:t>
      </w:r>
      <w:r>
        <w:rPr>
          <w:rStyle w:val="FootnoteReference"/>
        </w:rPr>
        <w:footnoteReference w:id="8"/>
      </w:r>
      <w:r>
        <w:t xml:space="preserve"> </w:t>
      </w:r>
      <w:r>
        <w:rPr>
          <w:rStyle w:val="FootnoteReference"/>
        </w:rPr>
        <w:footnoteReference w:id="9"/>
      </w:r>
    </w:p>
    <w:p w14:paraId="57347650" w14:textId="77777777" w:rsidR="009D0BE4" w:rsidRDefault="00175C32">
      <w:r>
        <w:rPr>
          <w:b/>
          <w:bCs/>
        </w:rPr>
        <w:t>Interpretation:</w:t>
      </w:r>
      <w:r>
        <w:t xml:space="preserve"> these enterprise sources validate that your internal go-to-market framing maps tightly to external benchmarks, but they do not replace customer telemetry. Treat the external numbers below as a generic industry baseline until you load actual work orders, bookings, parts, travel, entitlement, SLA, and asset telemetry into a benchmark model.</w:t>
      </w:r>
      <w:r>
        <w:rPr>
          <w:rStyle w:val="FootnoteReference"/>
        </w:rPr>
        <w:footnoteReference w:id="10"/>
      </w:r>
      <w:r>
        <w:t xml:space="preserve"> </w:t>
      </w:r>
      <w:r>
        <w:rPr>
          <w:rStyle w:val="FootnoteReference"/>
        </w:rPr>
        <w:footnoteReference w:id="11"/>
      </w:r>
    </w:p>
    <w:p w14:paraId="57347651" w14:textId="77777777" w:rsidR="009D0BE4" w:rsidRDefault="009D0BE4">
      <w:pPr>
        <w:pBdr>
          <w:top w:val="single" w:sz="12" w:space="0" w:color="auto"/>
        </w:pBdr>
        <w:spacing w:after="0"/>
      </w:pPr>
    </w:p>
    <w:p w14:paraId="57347652" w14:textId="77777777" w:rsidR="009D0BE4" w:rsidRDefault="00175C32">
      <w:pPr>
        <w:pStyle w:val="Heading2"/>
      </w:pPr>
      <w:r>
        <w:t>1) Key business metrics and standard benchmarks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6"/>
        <w:gridCol w:w="1766"/>
        <w:gridCol w:w="1783"/>
        <w:gridCol w:w="2838"/>
        <w:gridCol w:w="1293"/>
      </w:tblGrid>
      <w:tr w:rsidR="009D0BE4" w14:paraId="57347658" w14:textId="77777777" w:rsidTr="009D0B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53" w14:textId="77777777" w:rsidR="009D0BE4" w:rsidRDefault="00175C32">
            <w:r>
              <w:t>Metric</w:t>
            </w:r>
          </w:p>
        </w:tc>
        <w:tc>
          <w:tcPr>
            <w:tcW w:w="0" w:type="auto"/>
            <w:vAlign w:val="center"/>
          </w:tcPr>
          <w:p w14:paraId="57347654" w14:textId="77777777" w:rsidR="009D0BE4" w:rsidRDefault="00175C32">
            <w:pPr>
              <w:cnfStyle w:val="100000000000" w:firstRow="1" w:lastRow="0" w:firstColumn="0" w:lastColumn="0" w:oddVBand="0" w:evenVBand="0" w:oddHBand="0" w:evenHBand="0" w:firstRowFirstColumn="0" w:firstRowLastColumn="0" w:lastRowFirstColumn="0" w:lastRowLastColumn="0"/>
            </w:pPr>
            <w:r>
              <w:t>Standard definition</w:t>
            </w:r>
          </w:p>
        </w:tc>
        <w:tc>
          <w:tcPr>
            <w:tcW w:w="0" w:type="auto"/>
            <w:vAlign w:val="center"/>
          </w:tcPr>
          <w:p w14:paraId="57347655" w14:textId="77777777" w:rsidR="009D0BE4" w:rsidRDefault="00175C32">
            <w:pPr>
              <w:cnfStyle w:val="100000000000" w:firstRow="1" w:lastRow="0" w:firstColumn="0" w:lastColumn="0" w:oddVBand="0" w:evenVBand="0" w:oddHBand="0" w:evenHBand="0" w:firstRowFirstColumn="0" w:firstRowLastColumn="0" w:lastRowFirstColumn="0" w:lastRowLastColumn="0"/>
            </w:pPr>
            <w:r>
              <w:t>Generic benchmark / baseline</w:t>
            </w:r>
          </w:p>
        </w:tc>
        <w:tc>
          <w:tcPr>
            <w:tcW w:w="0" w:type="auto"/>
            <w:vAlign w:val="center"/>
          </w:tcPr>
          <w:p w14:paraId="57347656" w14:textId="77777777" w:rsidR="009D0BE4" w:rsidRDefault="00175C32">
            <w:pPr>
              <w:cnfStyle w:val="100000000000" w:firstRow="1" w:lastRow="0" w:firstColumn="0" w:lastColumn="0" w:oddVBand="0" w:evenVBand="0" w:oddHBand="0" w:evenHBand="0" w:firstRowFirstColumn="0" w:firstRowLastColumn="0" w:lastRowFirstColumn="0" w:lastRowLastColumn="0"/>
            </w:pPr>
            <w:r>
              <w:t>Top-performing / AI-enabled reference</w:t>
            </w:r>
          </w:p>
        </w:tc>
        <w:tc>
          <w:tcPr>
            <w:tcW w:w="0" w:type="auto"/>
            <w:vAlign w:val="center"/>
          </w:tcPr>
          <w:p w14:paraId="57347657" w14:textId="77777777" w:rsidR="009D0BE4" w:rsidRDefault="00175C32">
            <w:pPr>
              <w:cnfStyle w:val="100000000000" w:firstRow="1" w:lastRow="0" w:firstColumn="0" w:lastColumn="0" w:oddVBand="0" w:evenVBand="0" w:oddHBand="0" w:evenHBand="0" w:firstRowFirstColumn="0" w:firstRowLastColumn="0" w:lastRowFirstColumn="0" w:lastRowLastColumn="0"/>
            </w:pPr>
            <w:r>
              <w:t>Evidence strength</w:t>
            </w:r>
          </w:p>
        </w:tc>
      </w:tr>
      <w:tr w:rsidR="009D0BE4" w14:paraId="5734765E"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59" w14:textId="77777777" w:rsidR="009D0BE4" w:rsidRDefault="00175C32">
            <w:r>
              <w:lastRenderedPageBreak/>
              <w:t>First-time fix rate (FTFR / FTF)</w:t>
            </w:r>
          </w:p>
        </w:tc>
        <w:tc>
          <w:tcPr>
            <w:tcW w:w="0" w:type="auto"/>
            <w:vAlign w:val="center"/>
          </w:tcPr>
          <w:p w14:paraId="5734765A" w14:textId="77777777" w:rsidR="009D0BE4" w:rsidRDefault="00175C32">
            <w:pPr>
              <w:cnfStyle w:val="000000100000" w:firstRow="0" w:lastRow="0" w:firstColumn="0" w:lastColumn="0" w:oddVBand="0" w:evenVBand="0" w:oddHBand="1" w:evenHBand="0" w:firstRowFirstColumn="0" w:firstRowLastColumn="0" w:lastRowFirstColumn="0" w:lastRowLastColumn="0"/>
            </w:pPr>
            <w:r>
              <w:t>% of issues resolved on first visit or first resolution window.</w:t>
            </w:r>
          </w:p>
        </w:tc>
        <w:tc>
          <w:tcPr>
            <w:tcW w:w="0" w:type="auto"/>
            <w:vAlign w:val="center"/>
          </w:tcPr>
          <w:p w14:paraId="5734765B"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Aquant</w:t>
            </w:r>
            <w:proofErr w:type="spellEnd"/>
            <w:r>
              <w:t xml:space="preserve"> 2026 reports </w:t>
            </w:r>
            <w:r>
              <w:rPr>
                <w:b/>
                <w:bCs/>
              </w:rPr>
              <w:t>77%</w:t>
            </w:r>
            <w:r>
              <w:t xml:space="preserve"> industry benchmark; </w:t>
            </w:r>
            <w:proofErr w:type="spellStart"/>
            <w:r>
              <w:t>Fieldproxy’s</w:t>
            </w:r>
            <w:proofErr w:type="spellEnd"/>
            <w:r>
              <w:t xml:space="preserve"> 2025 tool cites </w:t>
            </w:r>
            <w:r>
              <w:rPr>
                <w:b/>
                <w:bCs/>
              </w:rPr>
              <w:t>72–75% median</w:t>
            </w:r>
            <w:r>
              <w:t xml:space="preserve"> across 2,000+ trade companies.</w:t>
            </w:r>
            <w:r>
              <w:rPr>
                <w:rStyle w:val="FootnoteReference"/>
              </w:rPr>
              <w:footnoteReference w:id="12"/>
            </w:r>
            <w:r>
              <w:t xml:space="preserve"> </w:t>
            </w:r>
            <w:r>
              <w:rPr>
                <w:rStyle w:val="FootnoteReference"/>
              </w:rPr>
              <w:footnoteReference w:id="13"/>
            </w:r>
          </w:p>
        </w:tc>
        <w:tc>
          <w:tcPr>
            <w:tcW w:w="0" w:type="auto"/>
            <w:vAlign w:val="center"/>
          </w:tcPr>
          <w:p w14:paraId="5734765C"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Aquant</w:t>
            </w:r>
            <w:proofErr w:type="spellEnd"/>
            <w:r>
              <w:t xml:space="preserve"> 2026 top performers: </w:t>
            </w:r>
            <w:r>
              <w:rPr>
                <w:b/>
                <w:bCs/>
              </w:rPr>
              <w:t>88%</w:t>
            </w:r>
            <w:r>
              <w:t xml:space="preserve">; bottom performers: </w:t>
            </w:r>
            <w:r>
              <w:rPr>
                <w:b/>
                <w:bCs/>
              </w:rPr>
              <w:t>60%</w:t>
            </w:r>
            <w:r>
              <w:t>.</w:t>
            </w:r>
            <w:r>
              <w:rPr>
                <w:rStyle w:val="FootnoteReference"/>
              </w:rPr>
              <w:footnoteReference w:id="14"/>
            </w:r>
          </w:p>
        </w:tc>
        <w:tc>
          <w:tcPr>
            <w:tcW w:w="0" w:type="auto"/>
            <w:vAlign w:val="center"/>
          </w:tcPr>
          <w:p w14:paraId="5734765D" w14:textId="77777777" w:rsidR="009D0BE4" w:rsidRDefault="00175C32">
            <w:pPr>
              <w:cnfStyle w:val="000000100000" w:firstRow="0" w:lastRow="0" w:firstColumn="0" w:lastColumn="0" w:oddVBand="0" w:evenVBand="0" w:oddHBand="1" w:evenHBand="0" w:firstRowFirstColumn="0" w:firstRowLastColumn="0" w:lastRowFirstColumn="0" w:lastRowLastColumn="0"/>
            </w:pPr>
            <w:r>
              <w:t>Strong for asset-centric benchmark; moderate for trade-wide calculator.</w:t>
            </w:r>
          </w:p>
        </w:tc>
      </w:tr>
      <w:tr w:rsidR="009D0BE4" w14:paraId="57347664"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5F" w14:textId="77777777" w:rsidR="009D0BE4" w:rsidRDefault="00175C32">
            <w:r>
              <w:t>Resolution time / MTTR</w:t>
            </w:r>
          </w:p>
        </w:tc>
        <w:tc>
          <w:tcPr>
            <w:tcW w:w="0" w:type="auto"/>
            <w:vAlign w:val="center"/>
          </w:tcPr>
          <w:p w14:paraId="57347660" w14:textId="77777777" w:rsidR="009D0BE4" w:rsidRDefault="00175C32">
            <w:pPr>
              <w:cnfStyle w:val="000000000000" w:firstRow="0" w:lastRow="0" w:firstColumn="0" w:lastColumn="0" w:oddVBand="0" w:evenVBand="0" w:oddHBand="0" w:evenHBand="0" w:firstRowFirstColumn="0" w:firstRowLastColumn="0" w:lastRowFirstColumn="0" w:lastRowLastColumn="0"/>
            </w:pPr>
            <w:r>
              <w:t>Time from issue/case creation to resolution; not always equal to on-site repair time.</w:t>
            </w:r>
          </w:p>
        </w:tc>
        <w:tc>
          <w:tcPr>
            <w:tcW w:w="0" w:type="auto"/>
            <w:vAlign w:val="center"/>
          </w:tcPr>
          <w:p w14:paraId="57347661" w14:textId="77777777" w:rsidR="009D0BE4" w:rsidRDefault="00175C32">
            <w:pPr>
              <w:cnfStyle w:val="000000000000" w:firstRow="0" w:lastRow="0" w:firstColumn="0" w:lastColumn="0" w:oddVBand="0" w:evenVBand="0" w:oddHBand="0" w:evenHBand="0" w:firstRowFirstColumn="0" w:firstRowLastColumn="0" w:lastRowFirstColumn="0" w:lastRowLastColumn="0"/>
            </w:pPr>
            <w:proofErr w:type="spellStart"/>
            <w:r>
              <w:t>Aquant</w:t>
            </w:r>
            <w:proofErr w:type="spellEnd"/>
            <w:r>
              <w:t xml:space="preserve"> 2026 benchmark: </w:t>
            </w:r>
            <w:r>
              <w:rPr>
                <w:b/>
                <w:bCs/>
              </w:rPr>
              <w:t>4.5 days</w:t>
            </w:r>
            <w:r>
              <w:t>.</w:t>
            </w:r>
            <w:r>
              <w:rPr>
                <w:rStyle w:val="FootnoteReference"/>
              </w:rPr>
              <w:footnoteReference w:id="15"/>
            </w:r>
          </w:p>
        </w:tc>
        <w:tc>
          <w:tcPr>
            <w:tcW w:w="0" w:type="auto"/>
            <w:vAlign w:val="center"/>
          </w:tcPr>
          <w:p w14:paraId="57347662"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Top performers: </w:t>
            </w:r>
            <w:r>
              <w:rPr>
                <w:b/>
                <w:bCs/>
              </w:rPr>
              <w:t>2.5 days</w:t>
            </w:r>
            <w:r>
              <w:t xml:space="preserve">; bottom performers: </w:t>
            </w:r>
            <w:r>
              <w:rPr>
                <w:b/>
                <w:bCs/>
              </w:rPr>
              <w:t>10 days</w:t>
            </w:r>
            <w:r>
              <w:t>.</w:t>
            </w:r>
            <w:r>
              <w:rPr>
                <w:rStyle w:val="FootnoteReference"/>
              </w:rPr>
              <w:footnoteReference w:id="16"/>
            </w:r>
          </w:p>
        </w:tc>
        <w:tc>
          <w:tcPr>
            <w:tcW w:w="0" w:type="auto"/>
            <w:vAlign w:val="center"/>
          </w:tcPr>
          <w:p w14:paraId="57347663" w14:textId="77777777" w:rsidR="009D0BE4" w:rsidRDefault="00175C32">
            <w:pPr>
              <w:cnfStyle w:val="000000000000" w:firstRow="0" w:lastRow="0" w:firstColumn="0" w:lastColumn="0" w:oddVBand="0" w:evenVBand="0" w:oddHBand="0" w:evenHBand="0" w:firstRowFirstColumn="0" w:firstRowLastColumn="0" w:lastRowFirstColumn="0" w:lastRowLastColumn="0"/>
            </w:pPr>
            <w:r>
              <w:t>Strong for case-level service operations.</w:t>
            </w:r>
          </w:p>
        </w:tc>
      </w:tr>
      <w:tr w:rsidR="009D0BE4" w14:paraId="5734766A"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65" w14:textId="77777777" w:rsidR="009D0BE4" w:rsidRDefault="00175C32">
            <w:r>
              <w:t>Technician utilization / productive time</w:t>
            </w:r>
          </w:p>
        </w:tc>
        <w:tc>
          <w:tcPr>
            <w:tcW w:w="0" w:type="auto"/>
            <w:vAlign w:val="center"/>
          </w:tcPr>
          <w:p w14:paraId="57347666" w14:textId="77777777" w:rsidR="009D0BE4" w:rsidRDefault="00175C32">
            <w:pPr>
              <w:cnfStyle w:val="000000100000" w:firstRow="0" w:lastRow="0" w:firstColumn="0" w:lastColumn="0" w:oddVBand="0" w:evenVBand="0" w:oddHBand="1" w:evenHBand="0" w:firstRowFirstColumn="0" w:firstRowLastColumn="0" w:lastRowFirstColumn="0" w:lastRowLastColumn="0"/>
            </w:pPr>
            <w:r>
              <w:t>Productive or billable time divided by available technician time.</w:t>
            </w:r>
          </w:p>
        </w:tc>
        <w:tc>
          <w:tcPr>
            <w:tcW w:w="0" w:type="auto"/>
            <w:vAlign w:val="center"/>
          </w:tcPr>
          <w:p w14:paraId="57347667"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Fieldproxy</w:t>
            </w:r>
            <w:proofErr w:type="spellEnd"/>
            <w:r>
              <w:t xml:space="preserve"> cites </w:t>
            </w:r>
            <w:r>
              <w:rPr>
                <w:b/>
                <w:bCs/>
              </w:rPr>
              <w:t>60–65% average</w:t>
            </w:r>
            <w:r>
              <w:t xml:space="preserve">, </w:t>
            </w:r>
            <w:r>
              <w:rPr>
                <w:b/>
                <w:bCs/>
              </w:rPr>
              <w:t>75–85% high-performing</w:t>
            </w:r>
            <w:r>
              <w:t xml:space="preserve">; </w:t>
            </w:r>
            <w:proofErr w:type="spellStart"/>
            <w:r>
              <w:t>Jobcamp</w:t>
            </w:r>
            <w:proofErr w:type="spellEnd"/>
            <w:r>
              <w:t xml:space="preserve"> cites </w:t>
            </w:r>
            <w:r>
              <w:rPr>
                <w:b/>
                <w:bCs/>
              </w:rPr>
              <w:t>70–80% target</w:t>
            </w:r>
            <w:r>
              <w:t xml:space="preserve"> for 2025.</w:t>
            </w:r>
            <w:r>
              <w:rPr>
                <w:rStyle w:val="FootnoteReference"/>
              </w:rPr>
              <w:footnoteReference w:id="17"/>
            </w:r>
            <w:r>
              <w:t xml:space="preserve"> </w:t>
            </w:r>
            <w:r>
              <w:rPr>
                <w:rStyle w:val="FootnoteReference"/>
              </w:rPr>
              <w:footnoteReference w:id="18"/>
            </w:r>
          </w:p>
        </w:tc>
        <w:tc>
          <w:tcPr>
            <w:tcW w:w="0" w:type="auto"/>
            <w:vAlign w:val="center"/>
          </w:tcPr>
          <w:p w14:paraId="57347668"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IBM notes asset-intensive sites often see only </w:t>
            </w:r>
            <w:r>
              <w:rPr>
                <w:b/>
                <w:bCs/>
              </w:rPr>
              <w:t>25–35% wrench time</w:t>
            </w:r>
            <w:r>
              <w:t>, highlighting a lower “hands-on tool time” proxy in complex maintenance environments.</w:t>
            </w:r>
            <w:r>
              <w:rPr>
                <w:rStyle w:val="FootnoteReference"/>
              </w:rPr>
              <w:footnoteReference w:id="19"/>
            </w:r>
          </w:p>
        </w:tc>
        <w:tc>
          <w:tcPr>
            <w:tcW w:w="0" w:type="auto"/>
            <w:vAlign w:val="center"/>
          </w:tcPr>
          <w:p w14:paraId="57347669" w14:textId="77777777" w:rsidR="009D0BE4" w:rsidRDefault="00175C32">
            <w:pPr>
              <w:cnfStyle w:val="000000100000" w:firstRow="0" w:lastRow="0" w:firstColumn="0" w:lastColumn="0" w:oddVBand="0" w:evenVBand="0" w:oddHBand="1" w:evenHBand="0" w:firstRowFirstColumn="0" w:firstRowLastColumn="0" w:lastRowFirstColumn="0" w:lastRowLastColumn="0"/>
            </w:pPr>
            <w:r>
              <w:t>Moderate; definitions vary materially.</w:t>
            </w:r>
          </w:p>
        </w:tc>
      </w:tr>
      <w:tr w:rsidR="009D0BE4" w14:paraId="57347670"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6B" w14:textId="77777777" w:rsidR="009D0BE4" w:rsidRDefault="00175C32">
            <w:r>
              <w:lastRenderedPageBreak/>
              <w:t>Scheduling efficiency / travel productivity</w:t>
            </w:r>
          </w:p>
        </w:tc>
        <w:tc>
          <w:tcPr>
            <w:tcW w:w="0" w:type="auto"/>
            <w:vAlign w:val="center"/>
          </w:tcPr>
          <w:p w14:paraId="5734766C" w14:textId="77777777" w:rsidR="009D0BE4" w:rsidRDefault="00175C32">
            <w:pPr>
              <w:cnfStyle w:val="000000000000" w:firstRow="0" w:lastRow="0" w:firstColumn="0" w:lastColumn="0" w:oddVBand="0" w:evenVBand="0" w:oddHBand="0" w:evenHBand="0" w:firstRowFirstColumn="0" w:firstRowLastColumn="0" w:lastRowFirstColumn="0" w:lastRowLastColumn="0"/>
            </w:pPr>
            <w:r>
              <w:t>Ability to assign right technician, route, parts, and time window while minimizing travel and SLA risk.</w:t>
            </w:r>
          </w:p>
        </w:tc>
        <w:tc>
          <w:tcPr>
            <w:tcW w:w="0" w:type="auto"/>
            <w:vAlign w:val="center"/>
          </w:tcPr>
          <w:p w14:paraId="5734766D" w14:textId="77777777" w:rsidR="009D0BE4" w:rsidRDefault="00175C32">
            <w:pPr>
              <w:cnfStyle w:val="000000000000" w:firstRow="0" w:lastRow="0" w:firstColumn="0" w:lastColumn="0" w:oddVBand="0" w:evenVBand="0" w:oddHBand="0" w:evenHBand="0" w:firstRowFirstColumn="0" w:firstRowLastColumn="0" w:lastRowFirstColumn="0" w:lastRowLastColumn="0"/>
            </w:pPr>
            <w:proofErr w:type="spellStart"/>
            <w:r>
              <w:t>Jobcamp</w:t>
            </w:r>
            <w:proofErr w:type="spellEnd"/>
            <w:r>
              <w:t xml:space="preserve"> cites a 2025 travel-time target below </w:t>
            </w:r>
            <w:r>
              <w:rPr>
                <w:b/>
                <w:bCs/>
              </w:rPr>
              <w:t>30 minutes</w:t>
            </w:r>
            <w:r>
              <w:t xml:space="preserve"> and routine response under </w:t>
            </w:r>
            <w:r>
              <w:rPr>
                <w:b/>
                <w:bCs/>
              </w:rPr>
              <w:t>24 hours</w:t>
            </w:r>
            <w:r>
              <w:t xml:space="preserve">, critical response </w:t>
            </w:r>
            <w:r>
              <w:rPr>
                <w:b/>
                <w:bCs/>
              </w:rPr>
              <w:t>2–4 hours</w:t>
            </w:r>
            <w:r>
              <w:t>.</w:t>
            </w:r>
            <w:r>
              <w:rPr>
                <w:rStyle w:val="FootnoteReference"/>
              </w:rPr>
              <w:footnoteReference w:id="20"/>
            </w:r>
          </w:p>
        </w:tc>
        <w:tc>
          <w:tcPr>
            <w:tcW w:w="0" w:type="auto"/>
            <w:vAlign w:val="center"/>
          </w:tcPr>
          <w:p w14:paraId="5734766E" w14:textId="77777777" w:rsidR="009D0BE4" w:rsidRDefault="00175C32">
            <w:pPr>
              <w:cnfStyle w:val="000000000000" w:firstRow="0" w:lastRow="0" w:firstColumn="0" w:lastColumn="0" w:oddVBand="0" w:evenVBand="0" w:oddHBand="0" w:evenHBand="0" w:firstRowFirstColumn="0" w:firstRowLastColumn="0" w:lastRowFirstColumn="0" w:lastRowLastColumn="0"/>
            </w:pPr>
            <w:r>
              <w:t>Microsoft and IBM position AI scheduling around skills, availability, distance/travel time, SLAs, parts, inventory, and thousands of operational constraints.</w:t>
            </w:r>
            <w:r>
              <w:rPr>
                <w:rStyle w:val="FootnoteReference"/>
              </w:rPr>
              <w:footnoteReference w:id="21"/>
            </w:r>
            <w:r>
              <w:t xml:space="preserve"> </w:t>
            </w:r>
            <w:r>
              <w:rPr>
                <w:rStyle w:val="FootnoteReference"/>
              </w:rPr>
              <w:footnoteReference w:id="22"/>
            </w:r>
          </w:p>
        </w:tc>
        <w:tc>
          <w:tcPr>
            <w:tcW w:w="0" w:type="auto"/>
            <w:vAlign w:val="center"/>
          </w:tcPr>
          <w:p w14:paraId="5734766F" w14:textId="77777777" w:rsidR="009D0BE4" w:rsidRDefault="00175C32">
            <w:pPr>
              <w:cnfStyle w:val="000000000000" w:firstRow="0" w:lastRow="0" w:firstColumn="0" w:lastColumn="0" w:oddVBand="0" w:evenVBand="0" w:oddHBand="0" w:evenHBand="0" w:firstRowFirstColumn="0" w:firstRowLastColumn="0" w:lastRowFirstColumn="0" w:lastRowLastColumn="0"/>
            </w:pPr>
            <w:r>
              <w:t>Strong capability evidence; weaker universal benchmark.</w:t>
            </w:r>
          </w:p>
        </w:tc>
      </w:tr>
      <w:tr w:rsidR="009D0BE4" w14:paraId="57347676"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71" w14:textId="77777777" w:rsidR="009D0BE4" w:rsidRDefault="00175C32">
            <w:r>
              <w:t>Cost per service / failed visit cost</w:t>
            </w:r>
          </w:p>
        </w:tc>
        <w:tc>
          <w:tcPr>
            <w:tcW w:w="0" w:type="auto"/>
            <w:vAlign w:val="center"/>
          </w:tcPr>
          <w:p w14:paraId="57347672" w14:textId="77777777" w:rsidR="009D0BE4" w:rsidRDefault="00175C32">
            <w:pPr>
              <w:cnfStyle w:val="000000100000" w:firstRow="0" w:lastRow="0" w:firstColumn="0" w:lastColumn="0" w:oddVBand="0" w:evenVBand="0" w:oddHBand="1" w:evenHBand="0" w:firstRowFirstColumn="0" w:firstRowLastColumn="0" w:lastRowFirstColumn="0" w:lastRowLastColumn="0"/>
            </w:pPr>
            <w:r>
              <w:t>Fully loaded cost of labor, travel, parts, repeat visits, admin, and warranty/revenue leakage.</w:t>
            </w:r>
          </w:p>
        </w:tc>
        <w:tc>
          <w:tcPr>
            <w:tcW w:w="0" w:type="auto"/>
            <w:vAlign w:val="center"/>
          </w:tcPr>
          <w:p w14:paraId="57347673"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Aquant</w:t>
            </w:r>
            <w:proofErr w:type="spellEnd"/>
            <w:r>
              <w:t xml:space="preserve"> 2026 says failed visits consume </w:t>
            </w:r>
            <w:r>
              <w:rPr>
                <w:b/>
                <w:bCs/>
              </w:rPr>
              <w:t>25%</w:t>
            </w:r>
            <w:r>
              <w:t xml:space="preserve"> of total service cost at median.</w:t>
            </w:r>
            <w:r>
              <w:rPr>
                <w:rStyle w:val="FootnoteReference"/>
              </w:rPr>
              <w:footnoteReference w:id="23"/>
            </w:r>
          </w:p>
        </w:tc>
        <w:tc>
          <w:tcPr>
            <w:tcW w:w="0" w:type="auto"/>
            <w:vAlign w:val="center"/>
          </w:tcPr>
          <w:p w14:paraId="57347674"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Top performers: </w:t>
            </w:r>
            <w:r>
              <w:rPr>
                <w:b/>
                <w:bCs/>
              </w:rPr>
              <w:t>14%</w:t>
            </w:r>
            <w:r>
              <w:t xml:space="preserve"> failed-visit cost share; bottom performers: </w:t>
            </w:r>
            <w:r>
              <w:rPr>
                <w:b/>
                <w:bCs/>
              </w:rPr>
              <w:t>44%</w:t>
            </w:r>
            <w:r>
              <w:t>; multi-visit failures can stretch bottom performers toward a month.</w:t>
            </w:r>
            <w:r>
              <w:rPr>
                <w:rStyle w:val="FootnoteReference"/>
              </w:rPr>
              <w:footnoteReference w:id="24"/>
            </w:r>
          </w:p>
        </w:tc>
        <w:tc>
          <w:tcPr>
            <w:tcW w:w="0" w:type="auto"/>
            <w:vAlign w:val="center"/>
          </w:tcPr>
          <w:p w14:paraId="57347675" w14:textId="77777777" w:rsidR="009D0BE4" w:rsidRDefault="00175C32">
            <w:pPr>
              <w:cnfStyle w:val="000000100000" w:firstRow="0" w:lastRow="0" w:firstColumn="0" w:lastColumn="0" w:oddVBand="0" w:evenVBand="0" w:oddHBand="1" w:evenHBand="0" w:firstRowFirstColumn="0" w:firstRowLastColumn="0" w:lastRowFirstColumn="0" w:lastRowLastColumn="0"/>
            </w:pPr>
            <w:r>
              <w:t>Strong relative cost benchmark.</w:t>
            </w:r>
          </w:p>
        </w:tc>
      </w:tr>
      <w:tr w:rsidR="009D0BE4" w14:paraId="5734767C"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77" w14:textId="77777777" w:rsidR="009D0BE4" w:rsidRDefault="00175C32">
            <w:r>
              <w:t>Downtime / asset uptime</w:t>
            </w:r>
          </w:p>
        </w:tc>
        <w:tc>
          <w:tcPr>
            <w:tcW w:w="0" w:type="auto"/>
            <w:vAlign w:val="center"/>
          </w:tcPr>
          <w:p w14:paraId="57347678" w14:textId="77777777" w:rsidR="009D0BE4" w:rsidRDefault="00175C32">
            <w:pPr>
              <w:cnfStyle w:val="000000000000" w:firstRow="0" w:lastRow="0" w:firstColumn="0" w:lastColumn="0" w:oddVBand="0" w:evenVBand="0" w:oddHBand="0" w:evenHBand="0" w:firstRowFirstColumn="0" w:firstRowLastColumn="0" w:lastRowFirstColumn="0" w:lastRowLastColumn="0"/>
            </w:pPr>
            <w:r>
              <w:t>Asset availability and reduction in unplanned interruptions.</w:t>
            </w:r>
          </w:p>
        </w:tc>
        <w:tc>
          <w:tcPr>
            <w:tcW w:w="0" w:type="auto"/>
            <w:vAlign w:val="center"/>
          </w:tcPr>
          <w:p w14:paraId="57347679"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Field Service Insights/Geotab’s 2025 survey reported </w:t>
            </w:r>
            <w:r>
              <w:rPr>
                <w:b/>
                <w:bCs/>
              </w:rPr>
              <w:t>88%</w:t>
            </w:r>
            <w:r>
              <w:t xml:space="preserve"> of leaders saw </w:t>
            </w:r>
            <w:r>
              <w:rPr>
                <w:b/>
                <w:bCs/>
              </w:rPr>
              <w:t>6–15%</w:t>
            </w:r>
            <w:r>
              <w:t xml:space="preserve"> asset-uptime increases from new field service tech in </w:t>
            </w:r>
            <w:r>
              <w:lastRenderedPageBreak/>
              <w:t>the prior 12 months.</w:t>
            </w:r>
            <w:r>
              <w:rPr>
                <w:rStyle w:val="FootnoteReference"/>
              </w:rPr>
              <w:footnoteReference w:id="25"/>
            </w:r>
          </w:p>
        </w:tc>
        <w:tc>
          <w:tcPr>
            <w:tcW w:w="0" w:type="auto"/>
            <w:vAlign w:val="center"/>
          </w:tcPr>
          <w:p w14:paraId="5734767A" w14:textId="77777777" w:rsidR="009D0BE4" w:rsidRDefault="00175C32">
            <w:pPr>
              <w:cnfStyle w:val="000000000000" w:firstRow="0" w:lastRow="0" w:firstColumn="0" w:lastColumn="0" w:oddVBand="0" w:evenVBand="0" w:oddHBand="0" w:evenHBand="0" w:firstRowFirstColumn="0" w:firstRowLastColumn="0" w:lastRowFirstColumn="0" w:lastRowLastColumn="0"/>
            </w:pPr>
            <w:r>
              <w:lastRenderedPageBreak/>
              <w:t xml:space="preserve">WEF manufacturing examples show AI/predictive analytics reducing downtime by </w:t>
            </w:r>
            <w:r>
              <w:rPr>
                <w:b/>
                <w:bCs/>
              </w:rPr>
              <w:t>more than 50%</w:t>
            </w:r>
            <w:r>
              <w:t xml:space="preserve"> in one chemical manufacturing case, but this is a lighthouse example rather than a field-service-wide median.</w:t>
            </w:r>
            <w:r>
              <w:rPr>
                <w:rStyle w:val="FootnoteReference"/>
              </w:rPr>
              <w:footnoteReference w:id="26"/>
            </w:r>
          </w:p>
        </w:tc>
        <w:tc>
          <w:tcPr>
            <w:tcW w:w="0" w:type="auto"/>
            <w:vAlign w:val="center"/>
          </w:tcPr>
          <w:p w14:paraId="5734767B" w14:textId="77777777" w:rsidR="009D0BE4" w:rsidRDefault="00175C32">
            <w:pPr>
              <w:cnfStyle w:val="000000000000" w:firstRow="0" w:lastRow="0" w:firstColumn="0" w:lastColumn="0" w:oddVBand="0" w:evenVBand="0" w:oddHBand="0" w:evenHBand="0" w:firstRowFirstColumn="0" w:firstRowLastColumn="0" w:lastRowFirstColumn="0" w:lastRowLastColumn="0"/>
            </w:pPr>
            <w:r>
              <w:t>Strong for directional impact; varies heavily by asset criticality.</w:t>
            </w:r>
          </w:p>
        </w:tc>
      </w:tr>
      <w:tr w:rsidR="009D0BE4" w14:paraId="57347682"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7D" w14:textId="77777777" w:rsidR="009D0BE4" w:rsidRDefault="00175C32">
            <w:r>
              <w:t>Customer satisfaction / NPS</w:t>
            </w:r>
          </w:p>
        </w:tc>
        <w:tc>
          <w:tcPr>
            <w:tcW w:w="0" w:type="auto"/>
            <w:vAlign w:val="center"/>
          </w:tcPr>
          <w:p w14:paraId="5734767E" w14:textId="77777777" w:rsidR="009D0BE4" w:rsidRDefault="00175C32">
            <w:pPr>
              <w:cnfStyle w:val="000000100000" w:firstRow="0" w:lastRow="0" w:firstColumn="0" w:lastColumn="0" w:oddVBand="0" w:evenVBand="0" w:oddHBand="1" w:evenHBand="0" w:firstRowFirstColumn="0" w:firstRowLastColumn="0" w:lastRowFirstColumn="0" w:lastRowLastColumn="0"/>
            </w:pPr>
            <w:r>
              <w:t>Post-service satisfaction, loyalty, retention, and service-contract renewal.</w:t>
            </w:r>
          </w:p>
        </w:tc>
        <w:tc>
          <w:tcPr>
            <w:tcW w:w="0" w:type="auto"/>
            <w:vAlign w:val="center"/>
          </w:tcPr>
          <w:p w14:paraId="5734767F"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Jobcamp</w:t>
            </w:r>
            <w:proofErr w:type="spellEnd"/>
            <w:r>
              <w:t xml:space="preserve"> cites </w:t>
            </w:r>
            <w:r>
              <w:rPr>
                <w:b/>
                <w:bCs/>
              </w:rPr>
              <w:t>CSAT 4.5+/5</w:t>
            </w:r>
            <w:r>
              <w:t xml:space="preserve"> and </w:t>
            </w:r>
            <w:r>
              <w:rPr>
                <w:b/>
                <w:bCs/>
              </w:rPr>
              <w:t>NPS +40</w:t>
            </w:r>
            <w:r>
              <w:t xml:space="preserve"> as outstanding 2025 targets; Field Service Insights/Geotab found only </w:t>
            </w:r>
            <w:r>
              <w:rPr>
                <w:b/>
                <w:bCs/>
              </w:rPr>
              <w:t>54%</w:t>
            </w:r>
            <w:r>
              <w:t xml:space="preserve"> measured customer satisfaction, and among those, </w:t>
            </w:r>
            <w:r>
              <w:rPr>
                <w:b/>
                <w:bCs/>
              </w:rPr>
              <w:t>59%</w:t>
            </w:r>
            <w:r>
              <w:t xml:space="preserve"> reported an increase over the prior year.</w:t>
            </w:r>
            <w:r>
              <w:rPr>
                <w:rStyle w:val="FootnoteReference"/>
              </w:rPr>
              <w:footnoteReference w:id="27"/>
            </w:r>
            <w:r>
              <w:t xml:space="preserve"> </w:t>
            </w:r>
            <w:r>
              <w:rPr>
                <w:rStyle w:val="FootnoteReference"/>
              </w:rPr>
              <w:footnoteReference w:id="28"/>
            </w:r>
          </w:p>
        </w:tc>
        <w:tc>
          <w:tcPr>
            <w:tcW w:w="0" w:type="auto"/>
            <w:vAlign w:val="center"/>
          </w:tcPr>
          <w:p w14:paraId="57347680"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Salesforce links AI to faster service, fewer repeat visits, better personalization, and higher CSAT through predictive maintenance and </w:t>
            </w:r>
            <w:proofErr w:type="spellStart"/>
            <w:r>
              <w:t>Agentforce</w:t>
            </w:r>
            <w:proofErr w:type="spellEnd"/>
            <w:r>
              <w:t xml:space="preserve"> scheduling/communication.</w:t>
            </w:r>
            <w:r>
              <w:rPr>
                <w:rStyle w:val="FootnoteReference"/>
              </w:rPr>
              <w:footnoteReference w:id="29"/>
            </w:r>
          </w:p>
        </w:tc>
        <w:tc>
          <w:tcPr>
            <w:tcW w:w="0" w:type="auto"/>
            <w:vAlign w:val="center"/>
          </w:tcPr>
          <w:p w14:paraId="57347681" w14:textId="77777777" w:rsidR="009D0BE4" w:rsidRDefault="00175C32">
            <w:pPr>
              <w:cnfStyle w:val="000000100000" w:firstRow="0" w:lastRow="0" w:firstColumn="0" w:lastColumn="0" w:oddVBand="0" w:evenVBand="0" w:oddHBand="1" w:evenHBand="0" w:firstRowFirstColumn="0" w:firstRowLastColumn="0" w:lastRowFirstColumn="0" w:lastRowLastColumn="0"/>
            </w:pPr>
            <w:r>
              <w:t>Moderate; customer metrics are less consistently measured.</w:t>
            </w:r>
          </w:p>
        </w:tc>
      </w:tr>
    </w:tbl>
    <w:p w14:paraId="57347683" w14:textId="77777777" w:rsidR="009D0BE4" w:rsidRDefault="00175C32">
      <w:pPr>
        <w:pStyle w:val="Heading3"/>
      </w:pPr>
      <w:r>
        <w:t>Benchmark spread visualization</w:t>
      </w:r>
    </w:p>
    <w:p w14:paraId="57347684" w14:textId="77777777" w:rsidR="009D0BE4" w:rsidRDefault="00175C32">
      <w:r>
        <w:t xml:space="preserve">The following chart uses </w:t>
      </w:r>
      <w:proofErr w:type="spellStart"/>
      <w:r>
        <w:t>Aquant’s</w:t>
      </w:r>
      <w:proofErr w:type="spellEnd"/>
      <w:r>
        <w:t xml:space="preserve"> 2026 FTF, MTTR, and failed-visit cost-share benchmarks to show how wide the performance gap is between top, median, and bottom performers.</w:t>
      </w:r>
      <w:r>
        <w:rPr>
          <w:rStyle w:val="FootnoteReference"/>
        </w:rPr>
        <w:footnoteReference w:id="30"/>
      </w:r>
      <w:r>
        <w:t xml:space="preserve"> </w:t>
      </w:r>
      <w:r>
        <w:rPr>
          <w:rStyle w:val="FootnoteReference"/>
        </w:rPr>
        <w:footnoteReference w:id="31"/>
      </w:r>
    </w:p>
    <w:p w14:paraId="57347685" w14:textId="77777777" w:rsidR="009D0BE4" w:rsidRDefault="009D0BE4"/>
    <w:p w14:paraId="57347686" w14:textId="77777777" w:rsidR="009D0BE4" w:rsidRDefault="009D0BE4">
      <w:pPr>
        <w:pBdr>
          <w:top w:val="single" w:sz="12" w:space="0" w:color="auto"/>
        </w:pBdr>
        <w:spacing w:after="0"/>
      </w:pPr>
    </w:p>
    <w:p w14:paraId="57347687" w14:textId="77777777" w:rsidR="009D0BE4" w:rsidRDefault="00175C32">
      <w:pPr>
        <w:pStyle w:val="Heading2"/>
      </w:pPr>
      <w:r>
        <w:t>2) Typical AI impact over the past 12 months</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4214"/>
        <w:gridCol w:w="3073"/>
      </w:tblGrid>
      <w:tr w:rsidR="009D0BE4" w14:paraId="5734768B" w14:textId="77777777" w:rsidTr="009D0B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88" w14:textId="77777777" w:rsidR="009D0BE4" w:rsidRDefault="00175C32">
            <w:r>
              <w:t>Impact area</w:t>
            </w:r>
          </w:p>
        </w:tc>
        <w:tc>
          <w:tcPr>
            <w:tcW w:w="0" w:type="auto"/>
            <w:vAlign w:val="center"/>
          </w:tcPr>
          <w:p w14:paraId="57347689" w14:textId="77777777" w:rsidR="009D0BE4" w:rsidRDefault="00175C32">
            <w:pPr>
              <w:cnfStyle w:val="100000000000" w:firstRow="1" w:lastRow="0" w:firstColumn="0" w:lastColumn="0" w:oddVBand="0" w:evenVBand="0" w:oddHBand="0" w:evenHBand="0" w:firstRowFirstColumn="0" w:firstRowLastColumn="0" w:lastRowFirstColumn="0" w:lastRowLastColumn="0"/>
            </w:pPr>
            <w:r>
              <w:t>Observed / claimed impact range</w:t>
            </w:r>
          </w:p>
        </w:tc>
        <w:tc>
          <w:tcPr>
            <w:tcW w:w="0" w:type="auto"/>
            <w:vAlign w:val="center"/>
          </w:tcPr>
          <w:p w14:paraId="5734768A" w14:textId="77777777" w:rsidR="009D0BE4" w:rsidRDefault="00175C32">
            <w:pPr>
              <w:cnfStyle w:val="100000000000" w:firstRow="1" w:lastRow="0" w:firstColumn="0" w:lastColumn="0" w:oddVBand="0" w:evenVBand="0" w:oddHBand="0" w:evenHBand="0" w:firstRowFirstColumn="0" w:firstRowLastColumn="0" w:lastRowFirstColumn="0" w:lastRowLastColumn="0"/>
            </w:pPr>
            <w:r>
              <w:t>What drives it</w:t>
            </w:r>
          </w:p>
        </w:tc>
      </w:tr>
      <w:tr w:rsidR="009D0BE4" w14:paraId="5734768F"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8C" w14:textId="77777777" w:rsidR="009D0BE4" w:rsidRDefault="00175C32">
            <w:r>
              <w:lastRenderedPageBreak/>
              <w:t>Resolution speed</w:t>
            </w:r>
          </w:p>
        </w:tc>
        <w:tc>
          <w:tcPr>
            <w:tcW w:w="0" w:type="auto"/>
            <w:vAlign w:val="center"/>
          </w:tcPr>
          <w:p w14:paraId="5734768D"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Aquant’s</w:t>
            </w:r>
            <w:proofErr w:type="spellEnd"/>
            <w:r>
              <w:t xml:space="preserve"> 2026 dashboard says AI for Service Professionals outperforms traditional methods with a </w:t>
            </w:r>
            <w:r>
              <w:rPr>
                <w:b/>
                <w:bCs/>
              </w:rPr>
              <w:t>39% improvement in resolution time</w:t>
            </w:r>
            <w:r>
              <w:t xml:space="preserve"> and </w:t>
            </w:r>
            <w:r>
              <w:rPr>
                <w:b/>
                <w:bCs/>
              </w:rPr>
              <w:t>121% increase in accuracy</w:t>
            </w:r>
            <w:r>
              <w:t>.</w:t>
            </w:r>
            <w:r>
              <w:rPr>
                <w:rStyle w:val="FootnoteReference"/>
              </w:rPr>
              <w:footnoteReference w:id="32"/>
            </w:r>
          </w:p>
        </w:tc>
        <w:tc>
          <w:tcPr>
            <w:tcW w:w="0" w:type="auto"/>
            <w:vAlign w:val="center"/>
          </w:tcPr>
          <w:p w14:paraId="5734768E" w14:textId="77777777" w:rsidR="009D0BE4" w:rsidRDefault="00175C32">
            <w:pPr>
              <w:cnfStyle w:val="000000100000" w:firstRow="0" w:lastRow="0" w:firstColumn="0" w:lastColumn="0" w:oddVBand="0" w:evenVBand="0" w:oddHBand="1" w:evenHBand="0" w:firstRowFirstColumn="0" w:firstRowLastColumn="0" w:lastRowFirstColumn="0" w:lastRowLastColumn="0"/>
            </w:pPr>
            <w:r>
              <w:t>AI-guided troubleshooting, shared intelligence layer, better access to history/manuals/tribal knowledge.</w:t>
            </w:r>
            <w:r>
              <w:rPr>
                <w:rStyle w:val="FootnoteReference"/>
              </w:rPr>
              <w:footnoteReference w:id="33"/>
            </w:r>
          </w:p>
        </w:tc>
      </w:tr>
      <w:tr w:rsidR="009D0BE4" w14:paraId="57347693"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90" w14:textId="77777777" w:rsidR="009D0BE4" w:rsidRDefault="00175C32">
            <w:r>
              <w:t>First-time fix</w:t>
            </w:r>
          </w:p>
        </w:tc>
        <w:tc>
          <w:tcPr>
            <w:tcW w:w="0" w:type="auto"/>
            <w:vAlign w:val="center"/>
          </w:tcPr>
          <w:p w14:paraId="57347691" w14:textId="77777777" w:rsidR="009D0BE4" w:rsidRDefault="00175C32">
            <w:pPr>
              <w:cnfStyle w:val="000000000000" w:firstRow="0" w:lastRow="0" w:firstColumn="0" w:lastColumn="0" w:oddVBand="0" w:evenVBand="0" w:oddHBand="0" w:evenHBand="0" w:firstRowFirstColumn="0" w:firstRowLastColumn="0" w:lastRowFirstColumn="0" w:lastRowLastColumn="0"/>
            </w:pPr>
            <w:proofErr w:type="spellStart"/>
            <w:r>
              <w:t>Aquant</w:t>
            </w:r>
            <w:proofErr w:type="spellEnd"/>
            <w:r>
              <w:t xml:space="preserve"> 2026 shows a </w:t>
            </w:r>
            <w:r>
              <w:rPr>
                <w:b/>
                <w:bCs/>
              </w:rPr>
              <w:t>28-point gap</w:t>
            </w:r>
            <w:r>
              <w:t xml:space="preserve"> between top performers (</w:t>
            </w:r>
            <w:r>
              <w:rPr>
                <w:b/>
                <w:bCs/>
              </w:rPr>
              <w:t>88%</w:t>
            </w:r>
            <w:r>
              <w:t>) and bottom performers (</w:t>
            </w:r>
            <w:r>
              <w:rPr>
                <w:b/>
                <w:bCs/>
              </w:rPr>
              <w:t>60%</w:t>
            </w:r>
            <w:r>
              <w:t>).</w:t>
            </w:r>
            <w:r>
              <w:rPr>
                <w:rStyle w:val="FootnoteReference"/>
              </w:rPr>
              <w:footnoteReference w:id="34"/>
            </w:r>
            <w:r>
              <w:t xml:space="preserve"> Field Service Insights/Geotab 2025 found </w:t>
            </w:r>
            <w:r>
              <w:rPr>
                <w:b/>
                <w:bCs/>
              </w:rPr>
              <w:t>75%</w:t>
            </w:r>
            <w:r>
              <w:t xml:space="preserve"> of surveyed leaders saw </w:t>
            </w:r>
            <w:r>
              <w:rPr>
                <w:b/>
                <w:bCs/>
              </w:rPr>
              <w:t>11–30%</w:t>
            </w:r>
            <w:r>
              <w:t xml:space="preserve"> FTFR improvement from remote diagnostics/assistance.</w:t>
            </w:r>
            <w:r>
              <w:rPr>
                <w:rStyle w:val="FootnoteReference"/>
              </w:rPr>
              <w:footnoteReference w:id="35"/>
            </w:r>
          </w:p>
        </w:tc>
        <w:tc>
          <w:tcPr>
            <w:tcW w:w="0" w:type="auto"/>
            <w:vAlign w:val="center"/>
          </w:tcPr>
          <w:p w14:paraId="57347692" w14:textId="77777777" w:rsidR="009D0BE4" w:rsidRDefault="00175C32">
            <w:pPr>
              <w:cnfStyle w:val="000000000000" w:firstRow="0" w:lastRow="0" w:firstColumn="0" w:lastColumn="0" w:oddVBand="0" w:evenVBand="0" w:oddHBand="0" w:evenHBand="0" w:firstRowFirstColumn="0" w:firstRowLastColumn="0" w:lastRowFirstColumn="0" w:lastRowLastColumn="0"/>
            </w:pPr>
            <w:r>
              <w:t>Better dispatch accuracy, parts prediction, service history, technician guidance, remote diagnostics.</w:t>
            </w:r>
            <w:r>
              <w:rPr>
                <w:rStyle w:val="FootnoteReference"/>
              </w:rPr>
              <w:footnoteReference w:id="36"/>
            </w:r>
            <w:r>
              <w:t xml:space="preserve"> </w:t>
            </w:r>
            <w:r>
              <w:rPr>
                <w:rStyle w:val="FootnoteReference"/>
              </w:rPr>
              <w:footnoteReference w:id="37"/>
            </w:r>
          </w:p>
        </w:tc>
      </w:tr>
      <w:tr w:rsidR="009D0BE4" w14:paraId="57347697"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94" w14:textId="77777777" w:rsidR="009D0BE4" w:rsidRDefault="00175C32">
            <w:r>
              <w:t>Cost reduction</w:t>
            </w:r>
          </w:p>
        </w:tc>
        <w:tc>
          <w:tcPr>
            <w:tcW w:w="0" w:type="auto"/>
            <w:vAlign w:val="center"/>
          </w:tcPr>
          <w:p w14:paraId="57347695"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Aquant</w:t>
            </w:r>
            <w:proofErr w:type="spellEnd"/>
            <w:r>
              <w:t xml:space="preserve"> 2026 models typical low-teens service-cost reductions and potential savings </w:t>
            </w:r>
            <w:r>
              <w:rPr>
                <w:b/>
                <w:bCs/>
              </w:rPr>
              <w:t>up to 26%</w:t>
            </w:r>
            <w:r>
              <w:t xml:space="preserve"> in some segments.</w:t>
            </w:r>
            <w:r>
              <w:rPr>
                <w:rStyle w:val="FootnoteReference"/>
              </w:rPr>
              <w:footnoteReference w:id="38"/>
            </w:r>
          </w:p>
        </w:tc>
        <w:tc>
          <w:tcPr>
            <w:tcW w:w="0" w:type="auto"/>
            <w:vAlign w:val="center"/>
          </w:tcPr>
          <w:p w14:paraId="57347696" w14:textId="77777777" w:rsidR="009D0BE4" w:rsidRDefault="00175C32">
            <w:pPr>
              <w:cnfStyle w:val="000000100000" w:firstRow="0" w:lastRow="0" w:firstColumn="0" w:lastColumn="0" w:oddVBand="0" w:evenVBand="0" w:oddHBand="1" w:evenHBand="0" w:firstRowFirstColumn="0" w:firstRowLastColumn="0" w:lastRowFirstColumn="0" w:lastRowLastColumn="0"/>
            </w:pPr>
            <w:r>
              <w:t>Fewer failed visits, fewer unnecessary dispatches, remote resolution, workforce knowledge equity.</w:t>
            </w:r>
            <w:r>
              <w:rPr>
                <w:rStyle w:val="FootnoteReference"/>
              </w:rPr>
              <w:footnoteReference w:id="39"/>
            </w:r>
          </w:p>
        </w:tc>
      </w:tr>
      <w:tr w:rsidR="009D0BE4" w14:paraId="5734769B"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98" w14:textId="77777777" w:rsidR="009D0BE4" w:rsidRDefault="00175C32">
            <w:r>
              <w:t>Remote resolution / truck-roll avoidance</w:t>
            </w:r>
          </w:p>
        </w:tc>
        <w:tc>
          <w:tcPr>
            <w:tcW w:w="0" w:type="auto"/>
            <w:vAlign w:val="center"/>
          </w:tcPr>
          <w:p w14:paraId="57347699" w14:textId="77777777" w:rsidR="009D0BE4" w:rsidRDefault="00175C32">
            <w:pPr>
              <w:cnfStyle w:val="000000000000" w:firstRow="0" w:lastRow="0" w:firstColumn="0" w:lastColumn="0" w:oddVBand="0" w:evenVBand="0" w:oddHBand="0" w:evenHBand="0" w:firstRowFirstColumn="0" w:firstRowLastColumn="0" w:lastRowFirstColumn="0" w:lastRowLastColumn="0"/>
            </w:pPr>
            <w:proofErr w:type="spellStart"/>
            <w:r>
              <w:t>Aquant</w:t>
            </w:r>
            <w:proofErr w:type="spellEnd"/>
            <w:r>
              <w:t xml:space="preserve"> 2026 says </w:t>
            </w:r>
            <w:r>
              <w:rPr>
                <w:b/>
                <w:bCs/>
              </w:rPr>
              <w:t>1 in 5 cases</w:t>
            </w:r>
            <w:r>
              <w:t xml:space="preserve"> could be resolved remotely, but many teams still roll a truck; </w:t>
            </w:r>
            <w:proofErr w:type="spellStart"/>
            <w:r>
              <w:t>Aquant’s</w:t>
            </w:r>
            <w:proofErr w:type="spellEnd"/>
            <w:r>
              <w:t xml:space="preserve"> landing page </w:t>
            </w:r>
            <w:r>
              <w:lastRenderedPageBreak/>
              <w:t xml:space="preserve">also states </w:t>
            </w:r>
            <w:r>
              <w:rPr>
                <w:b/>
                <w:bCs/>
              </w:rPr>
              <w:t>20% of truck rolls are unnecessary</w:t>
            </w:r>
            <w:r>
              <w:t>.</w:t>
            </w:r>
            <w:r>
              <w:rPr>
                <w:rStyle w:val="FootnoteReference"/>
              </w:rPr>
              <w:footnoteReference w:id="40"/>
            </w:r>
            <w:r>
              <w:t xml:space="preserve"> </w:t>
            </w:r>
            <w:r>
              <w:rPr>
                <w:rStyle w:val="FootnoteReference"/>
              </w:rPr>
              <w:footnoteReference w:id="41"/>
            </w:r>
          </w:p>
        </w:tc>
        <w:tc>
          <w:tcPr>
            <w:tcW w:w="0" w:type="auto"/>
            <w:vAlign w:val="center"/>
          </w:tcPr>
          <w:p w14:paraId="5734769A" w14:textId="77777777" w:rsidR="009D0BE4" w:rsidRDefault="00175C32">
            <w:pPr>
              <w:cnfStyle w:val="000000000000" w:firstRow="0" w:lastRow="0" w:firstColumn="0" w:lastColumn="0" w:oddVBand="0" w:evenVBand="0" w:oddHBand="0" w:evenHBand="0" w:firstRowFirstColumn="0" w:firstRowLastColumn="0" w:lastRowFirstColumn="0" w:lastRowLastColumn="0"/>
            </w:pPr>
            <w:r>
              <w:lastRenderedPageBreak/>
              <w:t xml:space="preserve">Shift-left support, self-service, call-center AI, </w:t>
            </w:r>
            <w:r>
              <w:lastRenderedPageBreak/>
              <w:t>remote expert support, customer portals.</w:t>
            </w:r>
            <w:r>
              <w:rPr>
                <w:rStyle w:val="FootnoteReference"/>
              </w:rPr>
              <w:footnoteReference w:id="42"/>
            </w:r>
            <w:r>
              <w:t xml:space="preserve"> </w:t>
            </w:r>
            <w:r>
              <w:rPr>
                <w:rStyle w:val="FootnoteReference"/>
              </w:rPr>
              <w:footnoteReference w:id="43"/>
            </w:r>
          </w:p>
        </w:tc>
      </w:tr>
      <w:tr w:rsidR="009D0BE4" w14:paraId="5734769F"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9C" w14:textId="77777777" w:rsidR="009D0BE4" w:rsidRDefault="00175C32">
            <w:r>
              <w:lastRenderedPageBreak/>
              <w:t>Technician productivity</w:t>
            </w:r>
          </w:p>
        </w:tc>
        <w:tc>
          <w:tcPr>
            <w:tcW w:w="0" w:type="auto"/>
            <w:vAlign w:val="center"/>
          </w:tcPr>
          <w:p w14:paraId="5734769D" w14:textId="77777777" w:rsidR="009D0BE4" w:rsidRDefault="00175C32">
            <w:pPr>
              <w:cnfStyle w:val="000000100000" w:firstRow="0" w:lastRow="0" w:firstColumn="0" w:lastColumn="0" w:oddVBand="0" w:evenVBand="0" w:oddHBand="1" w:evenHBand="0" w:firstRowFirstColumn="0" w:firstRowLastColumn="0" w:lastRowFirstColumn="0" w:lastRowLastColumn="0"/>
            </w:pPr>
            <w:proofErr w:type="spellStart"/>
            <w:r>
              <w:t>Jobcamp</w:t>
            </w:r>
            <w:proofErr w:type="spellEnd"/>
            <w:r>
              <w:t xml:space="preserve"> cites </w:t>
            </w:r>
            <w:r>
              <w:rPr>
                <w:b/>
                <w:bCs/>
              </w:rPr>
              <w:t>5–10 percentage-point utilization improvement</w:t>
            </w:r>
            <w:r>
              <w:t xml:space="preserve"> from smart scheduling/automation compared with traditional scheduling; Salesforce says over </w:t>
            </w:r>
            <w:r>
              <w:rPr>
                <w:b/>
                <w:bCs/>
              </w:rPr>
              <w:t>75%</w:t>
            </w:r>
            <w:r>
              <w:t xml:space="preserve"> of mobile workers report AI saves them time on the job.</w:t>
            </w:r>
            <w:r>
              <w:rPr>
                <w:rStyle w:val="FootnoteReference"/>
              </w:rPr>
              <w:footnoteReference w:id="44"/>
            </w:r>
            <w:r>
              <w:t xml:space="preserve"> </w:t>
            </w:r>
            <w:r>
              <w:rPr>
                <w:rStyle w:val="FootnoteReference"/>
              </w:rPr>
              <w:footnoteReference w:id="45"/>
            </w:r>
          </w:p>
        </w:tc>
        <w:tc>
          <w:tcPr>
            <w:tcW w:w="0" w:type="auto"/>
            <w:vAlign w:val="center"/>
          </w:tcPr>
          <w:p w14:paraId="5734769E" w14:textId="77777777" w:rsidR="009D0BE4" w:rsidRDefault="00175C32">
            <w:pPr>
              <w:cnfStyle w:val="000000100000" w:firstRow="0" w:lastRow="0" w:firstColumn="0" w:lastColumn="0" w:oddVBand="0" w:evenVBand="0" w:oddHBand="1" w:evenHBand="0" w:firstRowFirstColumn="0" w:firstRowLastColumn="0" w:lastRowFirstColumn="0" w:lastRowLastColumn="0"/>
            </w:pPr>
            <w:r>
              <w:t>AI scheduling, pre-work briefs, post-work summaries, knowledge search, mobile AI updates.</w:t>
            </w:r>
            <w:r>
              <w:rPr>
                <w:rStyle w:val="FootnoteReference"/>
              </w:rPr>
              <w:footnoteReference w:id="46"/>
            </w:r>
            <w:r>
              <w:t xml:space="preserve"> </w:t>
            </w:r>
            <w:r>
              <w:rPr>
                <w:rStyle w:val="FootnoteReference"/>
              </w:rPr>
              <w:footnoteReference w:id="47"/>
            </w:r>
          </w:p>
        </w:tc>
      </w:tr>
      <w:tr w:rsidR="009D0BE4" w14:paraId="573476A3"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A0" w14:textId="77777777" w:rsidR="009D0BE4" w:rsidRDefault="00175C32">
            <w:r>
              <w:t>Asset uptime</w:t>
            </w:r>
          </w:p>
        </w:tc>
        <w:tc>
          <w:tcPr>
            <w:tcW w:w="0" w:type="auto"/>
            <w:vAlign w:val="center"/>
          </w:tcPr>
          <w:p w14:paraId="573476A1"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Field Service Insights/Geotab 2025 reports </w:t>
            </w:r>
            <w:r>
              <w:rPr>
                <w:b/>
                <w:bCs/>
              </w:rPr>
              <w:t>88%</w:t>
            </w:r>
            <w:r>
              <w:t xml:space="preserve"> of respondents increased asset uptime by </w:t>
            </w:r>
            <w:r>
              <w:rPr>
                <w:b/>
                <w:bCs/>
              </w:rPr>
              <w:t>6–15%</w:t>
            </w:r>
            <w:r>
              <w:t xml:space="preserve"> after new field service solutions/technologies.</w:t>
            </w:r>
            <w:r>
              <w:rPr>
                <w:rStyle w:val="FootnoteReference"/>
              </w:rPr>
              <w:footnoteReference w:id="48"/>
            </w:r>
          </w:p>
        </w:tc>
        <w:tc>
          <w:tcPr>
            <w:tcW w:w="0" w:type="auto"/>
            <w:vAlign w:val="center"/>
          </w:tcPr>
          <w:p w14:paraId="573476A2" w14:textId="77777777" w:rsidR="009D0BE4" w:rsidRDefault="00175C32">
            <w:pPr>
              <w:cnfStyle w:val="000000000000" w:firstRow="0" w:lastRow="0" w:firstColumn="0" w:lastColumn="0" w:oddVBand="0" w:evenVBand="0" w:oddHBand="0" w:evenHBand="0" w:firstRowFirstColumn="0" w:firstRowLastColumn="0" w:lastRowFirstColumn="0" w:lastRowLastColumn="0"/>
            </w:pPr>
            <w:r>
              <w:t>IoT telemetry, predictive analytics, maintenance planning, asset health monitoring.</w:t>
            </w:r>
            <w:r>
              <w:rPr>
                <w:rStyle w:val="FootnoteReference"/>
              </w:rPr>
              <w:footnoteReference w:id="49"/>
            </w:r>
            <w:r>
              <w:t xml:space="preserve"> </w:t>
            </w:r>
            <w:r>
              <w:rPr>
                <w:rStyle w:val="FootnoteReference"/>
              </w:rPr>
              <w:footnoteReference w:id="50"/>
            </w:r>
          </w:p>
        </w:tc>
      </w:tr>
    </w:tbl>
    <w:p w14:paraId="573476A4" w14:textId="77777777" w:rsidR="009D0BE4" w:rsidRDefault="00175C32">
      <w:r>
        <w:rPr>
          <w:b/>
          <w:bCs/>
        </w:rPr>
        <w:t>Important caution:</w:t>
      </w:r>
      <w:r>
        <w:t xml:space="preserve"> these are not guaranteed outcomes. McKinsey highlights recurring predictive-maintenance failure modes: insufficient or inaccessible data, inadequate sensors/IT infrastructure, poor prioritization, missing data-science capabilities, weak </w:t>
      </w:r>
      <w:r>
        <w:lastRenderedPageBreak/>
        <w:t>change management, and unattractive economics for some assets.</w:t>
      </w:r>
      <w:r>
        <w:rPr>
          <w:rStyle w:val="FootnoteReference"/>
        </w:rPr>
        <w:footnoteReference w:id="51"/>
      </w:r>
      <w:r>
        <w:t xml:space="preserve"> TSIA also warns that utilization can become a misleading metric when AI removes low-value busywork; leaders should shift from measuring “hours spent” to “value absorbed” or outcomes delivered.</w:t>
      </w:r>
      <w:r>
        <w:rPr>
          <w:rStyle w:val="FootnoteReference"/>
        </w:rPr>
        <w:footnoteReference w:id="52"/>
      </w:r>
    </w:p>
    <w:p w14:paraId="573476A5" w14:textId="77777777" w:rsidR="009D0BE4" w:rsidRDefault="009D0BE4">
      <w:pPr>
        <w:pBdr>
          <w:top w:val="single" w:sz="12" w:space="0" w:color="auto"/>
        </w:pBdr>
        <w:spacing w:after="0"/>
      </w:pPr>
    </w:p>
    <w:p w14:paraId="573476A6" w14:textId="77777777" w:rsidR="009D0BE4" w:rsidRDefault="00175C32">
      <w:pPr>
        <w:pStyle w:val="Heading2"/>
      </w:pPr>
      <w:r>
        <w:t>3) Traditional vs AI-enabled performance comparison</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3"/>
        <w:gridCol w:w="2297"/>
        <w:gridCol w:w="3123"/>
        <w:gridCol w:w="2023"/>
      </w:tblGrid>
      <w:tr w:rsidR="009D0BE4" w14:paraId="573476AB" w14:textId="77777777" w:rsidTr="009D0B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A7" w14:textId="77777777" w:rsidR="009D0BE4" w:rsidRDefault="00175C32">
            <w:r>
              <w:t>Metric</w:t>
            </w:r>
          </w:p>
        </w:tc>
        <w:tc>
          <w:tcPr>
            <w:tcW w:w="0" w:type="auto"/>
            <w:vAlign w:val="center"/>
          </w:tcPr>
          <w:p w14:paraId="573476A8" w14:textId="77777777" w:rsidR="009D0BE4" w:rsidRDefault="00175C32">
            <w:pPr>
              <w:cnfStyle w:val="100000000000" w:firstRow="1" w:lastRow="0" w:firstColumn="0" w:lastColumn="0" w:oddVBand="0" w:evenVBand="0" w:oddHBand="0" w:evenHBand="0" w:firstRowFirstColumn="0" w:firstRowLastColumn="0" w:lastRowFirstColumn="0" w:lastRowLastColumn="0"/>
            </w:pPr>
            <w:r>
              <w:t>Traditional / fragmented baseline</w:t>
            </w:r>
          </w:p>
        </w:tc>
        <w:tc>
          <w:tcPr>
            <w:tcW w:w="0" w:type="auto"/>
            <w:vAlign w:val="center"/>
          </w:tcPr>
          <w:p w14:paraId="573476A9" w14:textId="77777777" w:rsidR="009D0BE4" w:rsidRDefault="00175C32">
            <w:pPr>
              <w:cnfStyle w:val="100000000000" w:firstRow="1" w:lastRow="0" w:firstColumn="0" w:lastColumn="0" w:oddVBand="0" w:evenVBand="0" w:oddHBand="0" w:evenHBand="0" w:firstRowFirstColumn="0" w:firstRowLastColumn="0" w:lastRowFirstColumn="0" w:lastRowLastColumn="0"/>
            </w:pPr>
            <w:r>
              <w:t>AI-enabled / top-performing benchmark</w:t>
            </w:r>
          </w:p>
        </w:tc>
        <w:tc>
          <w:tcPr>
            <w:tcW w:w="0" w:type="auto"/>
            <w:vAlign w:val="center"/>
          </w:tcPr>
          <w:p w14:paraId="573476AA" w14:textId="77777777" w:rsidR="009D0BE4" w:rsidRDefault="00175C32">
            <w:pPr>
              <w:cnfStyle w:val="100000000000" w:firstRow="1" w:lastRow="0" w:firstColumn="0" w:lastColumn="0" w:oddVBand="0" w:evenVBand="0" w:oddHBand="0" w:evenHBand="0" w:firstRowFirstColumn="0" w:firstRowLastColumn="0" w:lastRowFirstColumn="0" w:lastRowLastColumn="0"/>
            </w:pPr>
            <w:r>
              <w:t>Practical interpretation</w:t>
            </w:r>
          </w:p>
        </w:tc>
      </w:tr>
      <w:tr w:rsidR="009D0BE4" w14:paraId="573476B0"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AC" w14:textId="77777777" w:rsidR="009D0BE4" w:rsidRDefault="00175C32">
            <w:r>
              <w:t>FTFR</w:t>
            </w:r>
          </w:p>
        </w:tc>
        <w:tc>
          <w:tcPr>
            <w:tcW w:w="0" w:type="auto"/>
            <w:vAlign w:val="center"/>
          </w:tcPr>
          <w:p w14:paraId="573476AD"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Bottom performers: </w:t>
            </w:r>
            <w:r>
              <w:rPr>
                <w:b/>
                <w:bCs/>
              </w:rPr>
              <w:t>60%</w:t>
            </w:r>
            <w:r>
              <w:t xml:space="preserve">; broad trade median </w:t>
            </w:r>
            <w:r>
              <w:rPr>
                <w:b/>
                <w:bCs/>
              </w:rPr>
              <w:t>72–75%</w:t>
            </w:r>
            <w:r>
              <w:t>.</w:t>
            </w:r>
            <w:r>
              <w:rPr>
                <w:rStyle w:val="FootnoteReference"/>
              </w:rPr>
              <w:footnoteReference w:id="53"/>
            </w:r>
            <w:r>
              <w:t xml:space="preserve"> </w:t>
            </w:r>
            <w:r>
              <w:rPr>
                <w:rStyle w:val="FootnoteReference"/>
              </w:rPr>
              <w:footnoteReference w:id="54"/>
            </w:r>
          </w:p>
        </w:tc>
        <w:tc>
          <w:tcPr>
            <w:tcW w:w="0" w:type="auto"/>
            <w:vAlign w:val="center"/>
          </w:tcPr>
          <w:p w14:paraId="573476AE"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Top performers: </w:t>
            </w:r>
            <w:r>
              <w:rPr>
                <w:b/>
                <w:bCs/>
              </w:rPr>
              <w:t>88%</w:t>
            </w:r>
            <w:r>
              <w:t>.</w:t>
            </w:r>
            <w:r>
              <w:rPr>
                <w:rStyle w:val="FootnoteReference"/>
              </w:rPr>
              <w:footnoteReference w:id="55"/>
            </w:r>
          </w:p>
        </w:tc>
        <w:tc>
          <w:tcPr>
            <w:tcW w:w="0" w:type="auto"/>
            <w:vAlign w:val="center"/>
          </w:tcPr>
          <w:p w14:paraId="573476AF" w14:textId="77777777" w:rsidR="009D0BE4" w:rsidRDefault="00175C32">
            <w:pPr>
              <w:cnfStyle w:val="000000100000" w:firstRow="0" w:lastRow="0" w:firstColumn="0" w:lastColumn="0" w:oddVBand="0" w:evenVBand="0" w:oddHBand="1" w:evenHBand="0" w:firstRowFirstColumn="0" w:firstRowLastColumn="0" w:lastRowFirstColumn="0" w:lastRowLastColumn="0"/>
            </w:pPr>
            <w:r>
              <w:t>The realistic upside is not “AI magic”; it is dispatch accuracy + knowledge access + parts readiness.</w:t>
            </w:r>
          </w:p>
        </w:tc>
      </w:tr>
      <w:tr w:rsidR="009D0BE4" w14:paraId="573476B5"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B1" w14:textId="77777777" w:rsidR="009D0BE4" w:rsidRDefault="00175C32">
            <w:r>
              <w:t>Resolution time</w:t>
            </w:r>
          </w:p>
        </w:tc>
        <w:tc>
          <w:tcPr>
            <w:tcW w:w="0" w:type="auto"/>
            <w:vAlign w:val="center"/>
          </w:tcPr>
          <w:p w14:paraId="573476B2"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Bottom performers: </w:t>
            </w:r>
            <w:r>
              <w:rPr>
                <w:b/>
                <w:bCs/>
              </w:rPr>
              <w:t>10 days</w:t>
            </w:r>
            <w:r>
              <w:t>.</w:t>
            </w:r>
            <w:r>
              <w:rPr>
                <w:rStyle w:val="FootnoteReference"/>
              </w:rPr>
              <w:footnoteReference w:id="56"/>
            </w:r>
          </w:p>
        </w:tc>
        <w:tc>
          <w:tcPr>
            <w:tcW w:w="0" w:type="auto"/>
            <w:vAlign w:val="center"/>
          </w:tcPr>
          <w:p w14:paraId="573476B3"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Top performers: </w:t>
            </w:r>
            <w:r>
              <w:rPr>
                <w:b/>
                <w:bCs/>
              </w:rPr>
              <w:t>2.5 days</w:t>
            </w:r>
            <w:r>
              <w:t xml:space="preserve">; AI benchmark dashboard shows </w:t>
            </w:r>
            <w:r>
              <w:rPr>
                <w:b/>
                <w:bCs/>
              </w:rPr>
              <w:t>39%</w:t>
            </w:r>
            <w:r>
              <w:t xml:space="preserve"> faster resolution vs traditional methods.</w:t>
            </w:r>
            <w:r>
              <w:rPr>
                <w:rStyle w:val="FootnoteReference"/>
              </w:rPr>
              <w:footnoteReference w:id="57"/>
            </w:r>
            <w:r>
              <w:t xml:space="preserve"> </w:t>
            </w:r>
            <w:r>
              <w:rPr>
                <w:rStyle w:val="FootnoteReference"/>
              </w:rPr>
              <w:footnoteReference w:id="58"/>
            </w:r>
          </w:p>
        </w:tc>
        <w:tc>
          <w:tcPr>
            <w:tcW w:w="0" w:type="auto"/>
            <w:vAlign w:val="center"/>
          </w:tcPr>
          <w:p w14:paraId="573476B4"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Faster resolution reduces downtime, repeat calls, customer frustration, and </w:t>
            </w:r>
            <w:r>
              <w:lastRenderedPageBreak/>
              <w:t>warranty leakage.</w:t>
            </w:r>
          </w:p>
        </w:tc>
      </w:tr>
      <w:tr w:rsidR="009D0BE4" w14:paraId="573476BA"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B6" w14:textId="77777777" w:rsidR="009D0BE4" w:rsidRDefault="00175C32">
            <w:r>
              <w:lastRenderedPageBreak/>
              <w:t>Failed visit cost share</w:t>
            </w:r>
          </w:p>
        </w:tc>
        <w:tc>
          <w:tcPr>
            <w:tcW w:w="0" w:type="auto"/>
            <w:vAlign w:val="center"/>
          </w:tcPr>
          <w:p w14:paraId="573476B7"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Bottom performers: </w:t>
            </w:r>
            <w:r>
              <w:rPr>
                <w:b/>
                <w:bCs/>
              </w:rPr>
              <w:t>44%</w:t>
            </w:r>
            <w:r>
              <w:t xml:space="preserve"> of service cost.</w:t>
            </w:r>
            <w:r>
              <w:rPr>
                <w:rStyle w:val="FootnoteReference"/>
              </w:rPr>
              <w:footnoteReference w:id="59"/>
            </w:r>
          </w:p>
        </w:tc>
        <w:tc>
          <w:tcPr>
            <w:tcW w:w="0" w:type="auto"/>
            <w:vAlign w:val="center"/>
          </w:tcPr>
          <w:p w14:paraId="573476B8"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Top performers: </w:t>
            </w:r>
            <w:r>
              <w:rPr>
                <w:b/>
                <w:bCs/>
              </w:rPr>
              <w:t>14%</w:t>
            </w:r>
            <w:r>
              <w:t>.</w:t>
            </w:r>
            <w:r>
              <w:rPr>
                <w:rStyle w:val="FootnoteReference"/>
              </w:rPr>
              <w:footnoteReference w:id="60"/>
            </w:r>
          </w:p>
        </w:tc>
        <w:tc>
          <w:tcPr>
            <w:tcW w:w="0" w:type="auto"/>
            <w:vAlign w:val="center"/>
          </w:tcPr>
          <w:p w14:paraId="573476B9" w14:textId="77777777" w:rsidR="009D0BE4" w:rsidRDefault="00175C32">
            <w:pPr>
              <w:cnfStyle w:val="000000100000" w:firstRow="0" w:lastRow="0" w:firstColumn="0" w:lastColumn="0" w:oddVBand="0" w:evenVBand="0" w:oddHBand="1" w:evenHBand="0" w:firstRowFirstColumn="0" w:firstRowLastColumn="0" w:lastRowFirstColumn="0" w:lastRowLastColumn="0"/>
            </w:pPr>
            <w:r>
              <w:t>Failed visits are the clearest cost-reduction lever.</w:t>
            </w:r>
          </w:p>
        </w:tc>
      </w:tr>
      <w:tr w:rsidR="009D0BE4" w14:paraId="573476BF"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BB" w14:textId="77777777" w:rsidR="009D0BE4" w:rsidRDefault="00175C32">
            <w:r>
              <w:t>Truck-roll avoidance</w:t>
            </w:r>
          </w:p>
        </w:tc>
        <w:tc>
          <w:tcPr>
            <w:tcW w:w="0" w:type="auto"/>
            <w:vAlign w:val="center"/>
          </w:tcPr>
          <w:p w14:paraId="573476BC"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Many teams still dispatch for cases with remote potential; </w:t>
            </w:r>
            <w:proofErr w:type="spellStart"/>
            <w:r>
              <w:t>Aquant</w:t>
            </w:r>
            <w:proofErr w:type="spellEnd"/>
            <w:r>
              <w:t xml:space="preserve"> says </w:t>
            </w:r>
            <w:r>
              <w:rPr>
                <w:b/>
                <w:bCs/>
              </w:rPr>
              <w:t>1 in 5 cases</w:t>
            </w:r>
            <w:r>
              <w:t xml:space="preserve"> could be </w:t>
            </w:r>
            <w:proofErr w:type="gramStart"/>
            <w:r>
              <w:t>remote-resolved</w:t>
            </w:r>
            <w:proofErr w:type="gramEnd"/>
            <w:r>
              <w:t>.</w:t>
            </w:r>
            <w:r>
              <w:rPr>
                <w:rStyle w:val="FootnoteReference"/>
              </w:rPr>
              <w:footnoteReference w:id="61"/>
            </w:r>
          </w:p>
        </w:tc>
        <w:tc>
          <w:tcPr>
            <w:tcW w:w="0" w:type="auto"/>
            <w:vAlign w:val="center"/>
          </w:tcPr>
          <w:p w14:paraId="573476BD" w14:textId="77777777" w:rsidR="009D0BE4" w:rsidRDefault="00175C32">
            <w:pPr>
              <w:cnfStyle w:val="000000000000" w:firstRow="0" w:lastRow="0" w:firstColumn="0" w:lastColumn="0" w:oddVBand="0" w:evenVBand="0" w:oddHBand="0" w:evenHBand="0" w:firstRowFirstColumn="0" w:firstRowLastColumn="0" w:lastRowFirstColumn="0" w:lastRowLastColumn="0"/>
            </w:pPr>
            <w:r>
              <w:t>Unified service data and AI agents can route simple requests to self-service, remote support, or call-center resolution.</w:t>
            </w:r>
            <w:r>
              <w:rPr>
                <w:rStyle w:val="FootnoteReference"/>
              </w:rPr>
              <w:footnoteReference w:id="62"/>
            </w:r>
            <w:r>
              <w:t xml:space="preserve"> </w:t>
            </w:r>
            <w:r>
              <w:rPr>
                <w:rStyle w:val="FootnoteReference"/>
              </w:rPr>
              <w:footnoteReference w:id="63"/>
            </w:r>
          </w:p>
        </w:tc>
        <w:tc>
          <w:tcPr>
            <w:tcW w:w="0" w:type="auto"/>
            <w:vAlign w:val="center"/>
          </w:tcPr>
          <w:p w14:paraId="573476BE" w14:textId="77777777" w:rsidR="009D0BE4" w:rsidRDefault="00175C32">
            <w:pPr>
              <w:cnfStyle w:val="000000000000" w:firstRow="0" w:lastRow="0" w:firstColumn="0" w:lastColumn="0" w:oddVBand="0" w:evenVBand="0" w:oddHBand="0" w:evenHBand="0" w:firstRowFirstColumn="0" w:firstRowLastColumn="0" w:lastRowFirstColumn="0" w:lastRowLastColumn="0"/>
            </w:pPr>
            <w:r>
              <w:t>Best measured as avoided dispatch rate and remote resolution rate.</w:t>
            </w:r>
          </w:p>
        </w:tc>
      </w:tr>
      <w:tr w:rsidR="009D0BE4" w14:paraId="573476C4"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C0" w14:textId="77777777" w:rsidR="009D0BE4" w:rsidRDefault="00175C32">
            <w:r>
              <w:t>Technician productivity</w:t>
            </w:r>
          </w:p>
        </w:tc>
        <w:tc>
          <w:tcPr>
            <w:tcW w:w="0" w:type="auto"/>
            <w:vAlign w:val="center"/>
          </w:tcPr>
          <w:p w14:paraId="573476C1"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Average utilization often </w:t>
            </w:r>
            <w:r>
              <w:rPr>
                <w:b/>
                <w:bCs/>
              </w:rPr>
              <w:t>60–65%</w:t>
            </w:r>
            <w:r>
              <w:t xml:space="preserve"> in trade-company benchmark data, and IBM notes complex asset sites may see </w:t>
            </w:r>
            <w:r>
              <w:rPr>
                <w:b/>
                <w:bCs/>
              </w:rPr>
              <w:t>25–35% wrench time</w:t>
            </w:r>
            <w:r>
              <w:t>.</w:t>
            </w:r>
            <w:r>
              <w:rPr>
                <w:rStyle w:val="FootnoteReference"/>
              </w:rPr>
              <w:footnoteReference w:id="64"/>
            </w:r>
            <w:r>
              <w:t xml:space="preserve"> </w:t>
            </w:r>
            <w:r>
              <w:rPr>
                <w:rStyle w:val="FootnoteReference"/>
              </w:rPr>
              <w:footnoteReference w:id="65"/>
            </w:r>
          </w:p>
        </w:tc>
        <w:tc>
          <w:tcPr>
            <w:tcW w:w="0" w:type="auto"/>
            <w:vAlign w:val="center"/>
          </w:tcPr>
          <w:p w14:paraId="573476C2"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High utilization </w:t>
            </w:r>
            <w:r>
              <w:rPr>
                <w:b/>
                <w:bCs/>
              </w:rPr>
              <w:t>75–85%</w:t>
            </w:r>
            <w:r>
              <w:t xml:space="preserve"> in trade data; TSIA argues AI-era leaders should optimize absorption/outcomes, not raw utilization alone.</w:t>
            </w:r>
            <w:r>
              <w:rPr>
                <w:rStyle w:val="FootnoteReference"/>
              </w:rPr>
              <w:footnoteReference w:id="66"/>
            </w:r>
            <w:r>
              <w:t xml:space="preserve"> </w:t>
            </w:r>
            <w:r>
              <w:rPr>
                <w:rStyle w:val="FootnoteReference"/>
              </w:rPr>
              <w:footnoteReference w:id="67"/>
            </w:r>
          </w:p>
        </w:tc>
        <w:tc>
          <w:tcPr>
            <w:tcW w:w="0" w:type="auto"/>
            <w:vAlign w:val="center"/>
          </w:tcPr>
          <w:p w14:paraId="573476C3" w14:textId="77777777" w:rsidR="009D0BE4" w:rsidRDefault="00175C32">
            <w:pPr>
              <w:cnfStyle w:val="000000100000" w:firstRow="0" w:lastRow="0" w:firstColumn="0" w:lastColumn="0" w:oddVBand="0" w:evenVBand="0" w:oddHBand="1" w:evenHBand="0" w:firstRowFirstColumn="0" w:firstRowLastColumn="0" w:lastRowFirstColumn="0" w:lastRowLastColumn="0"/>
            </w:pPr>
            <w:r>
              <w:t>Do not over-optimize utilization if it increases burnout, callbacks, or rework.</w:t>
            </w:r>
          </w:p>
        </w:tc>
      </w:tr>
      <w:tr w:rsidR="009D0BE4" w14:paraId="573476C9"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C5" w14:textId="77777777" w:rsidR="009D0BE4" w:rsidRDefault="00175C32">
            <w:r>
              <w:t>Customer experience</w:t>
            </w:r>
          </w:p>
        </w:tc>
        <w:tc>
          <w:tcPr>
            <w:tcW w:w="0" w:type="auto"/>
            <w:vAlign w:val="center"/>
          </w:tcPr>
          <w:p w14:paraId="573476C6" w14:textId="77777777" w:rsidR="009D0BE4" w:rsidRDefault="00175C32">
            <w:pPr>
              <w:cnfStyle w:val="000000000000" w:firstRow="0" w:lastRow="0" w:firstColumn="0" w:lastColumn="0" w:oddVBand="0" w:evenVBand="0" w:oddHBand="0" w:evenHBand="0" w:firstRowFirstColumn="0" w:firstRowLastColumn="0" w:lastRowFirstColumn="0" w:lastRowLastColumn="0"/>
            </w:pPr>
            <w:r>
              <w:t xml:space="preserve">Only </w:t>
            </w:r>
            <w:r>
              <w:rPr>
                <w:b/>
                <w:bCs/>
              </w:rPr>
              <w:t>54%</w:t>
            </w:r>
            <w:r>
              <w:t xml:space="preserve"> measured field-service customer satisfaction in the 2025 Field Service </w:t>
            </w:r>
            <w:r>
              <w:lastRenderedPageBreak/>
              <w:t>Insights/Geotab sample.</w:t>
            </w:r>
            <w:r>
              <w:rPr>
                <w:rStyle w:val="FootnoteReference"/>
              </w:rPr>
              <w:footnoteReference w:id="68"/>
            </w:r>
          </w:p>
        </w:tc>
        <w:tc>
          <w:tcPr>
            <w:tcW w:w="0" w:type="auto"/>
            <w:vAlign w:val="center"/>
          </w:tcPr>
          <w:p w14:paraId="573476C7" w14:textId="77777777" w:rsidR="009D0BE4" w:rsidRDefault="00175C32">
            <w:pPr>
              <w:cnfStyle w:val="000000000000" w:firstRow="0" w:lastRow="0" w:firstColumn="0" w:lastColumn="0" w:oddVBand="0" w:evenVBand="0" w:oddHBand="0" w:evenHBand="0" w:firstRowFirstColumn="0" w:firstRowLastColumn="0" w:lastRowFirstColumn="0" w:lastRowLastColumn="0"/>
            </w:pPr>
            <w:r>
              <w:lastRenderedPageBreak/>
              <w:t xml:space="preserve">Salesforce positions AI-assisted diagnostics, predictive maintenance, </w:t>
            </w:r>
            <w:proofErr w:type="spellStart"/>
            <w:r>
              <w:t>Agentforce</w:t>
            </w:r>
            <w:proofErr w:type="spellEnd"/>
            <w:r>
              <w:t xml:space="preserve"> scheduling, and real-time communication </w:t>
            </w:r>
            <w:r>
              <w:lastRenderedPageBreak/>
              <w:t>as levers for faster, more personalized service and improved CSAT.</w:t>
            </w:r>
            <w:r>
              <w:rPr>
                <w:rStyle w:val="FootnoteReference"/>
              </w:rPr>
              <w:footnoteReference w:id="69"/>
            </w:r>
          </w:p>
        </w:tc>
        <w:tc>
          <w:tcPr>
            <w:tcW w:w="0" w:type="auto"/>
            <w:vAlign w:val="center"/>
          </w:tcPr>
          <w:p w14:paraId="573476C8" w14:textId="77777777" w:rsidR="009D0BE4" w:rsidRDefault="00175C32">
            <w:pPr>
              <w:cnfStyle w:val="000000000000" w:firstRow="0" w:lastRow="0" w:firstColumn="0" w:lastColumn="0" w:oddVBand="0" w:evenVBand="0" w:oddHBand="0" w:evenHBand="0" w:firstRowFirstColumn="0" w:firstRowLastColumn="0" w:lastRowFirstColumn="0" w:lastRowLastColumn="0"/>
            </w:pPr>
            <w:r>
              <w:lastRenderedPageBreak/>
              <w:t xml:space="preserve">Customer metrics must be paired with FTFR, repeat visits, ETA </w:t>
            </w:r>
            <w:r>
              <w:lastRenderedPageBreak/>
              <w:t>accuracy, and SLA attainment.</w:t>
            </w:r>
          </w:p>
        </w:tc>
      </w:tr>
    </w:tbl>
    <w:p w14:paraId="573476CA" w14:textId="77777777" w:rsidR="009D0BE4" w:rsidRDefault="009D0BE4">
      <w:pPr>
        <w:pBdr>
          <w:top w:val="single" w:sz="12" w:space="0" w:color="auto"/>
        </w:pBdr>
        <w:spacing w:after="0"/>
      </w:pPr>
    </w:p>
    <w:p w14:paraId="573476CB" w14:textId="77777777" w:rsidR="009D0BE4" w:rsidRDefault="00175C32">
      <w:pPr>
        <w:pStyle w:val="Heading2"/>
      </w:pPr>
      <w:r>
        <w:t>4) Vendor positioning: IBM, Microsoft, Salesforce</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4021"/>
        <w:gridCol w:w="3410"/>
      </w:tblGrid>
      <w:tr w:rsidR="009D0BE4" w14:paraId="573476CF" w14:textId="77777777" w:rsidTr="009D0B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CC" w14:textId="77777777" w:rsidR="009D0BE4" w:rsidRDefault="00175C32">
            <w:r>
              <w:t>Vendor</w:t>
            </w:r>
          </w:p>
        </w:tc>
        <w:tc>
          <w:tcPr>
            <w:tcW w:w="0" w:type="auto"/>
            <w:vAlign w:val="center"/>
          </w:tcPr>
          <w:p w14:paraId="573476CD" w14:textId="77777777" w:rsidR="009D0BE4" w:rsidRDefault="00175C32">
            <w:pPr>
              <w:cnfStyle w:val="100000000000" w:firstRow="1" w:lastRow="0" w:firstColumn="0" w:lastColumn="0" w:oddVBand="0" w:evenVBand="0" w:oddHBand="0" w:evenHBand="0" w:firstRowFirstColumn="0" w:firstRowLastColumn="0" w:lastRowFirstColumn="0" w:lastRowLastColumn="0"/>
            </w:pPr>
            <w:r>
              <w:t>Field service AI positioning</w:t>
            </w:r>
          </w:p>
        </w:tc>
        <w:tc>
          <w:tcPr>
            <w:tcW w:w="0" w:type="auto"/>
            <w:vAlign w:val="center"/>
          </w:tcPr>
          <w:p w14:paraId="573476CE" w14:textId="77777777" w:rsidR="009D0BE4" w:rsidRDefault="00175C32">
            <w:pPr>
              <w:cnfStyle w:val="100000000000" w:firstRow="1" w:lastRow="0" w:firstColumn="0" w:lastColumn="0" w:oddVBand="0" w:evenVBand="0" w:oddHBand="0" w:evenHBand="0" w:firstRowFirstColumn="0" w:firstRowLastColumn="0" w:lastRowFirstColumn="0" w:lastRowLastColumn="0"/>
            </w:pPr>
            <w:r>
              <w:t>Performance claims / evidence found</w:t>
            </w:r>
          </w:p>
        </w:tc>
      </w:tr>
      <w:tr w:rsidR="009D0BE4" w14:paraId="573476D3"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D0" w14:textId="77777777" w:rsidR="009D0BE4" w:rsidRDefault="00175C32">
            <w:r>
              <w:t>IBM / Maximo</w:t>
            </w:r>
          </w:p>
        </w:tc>
        <w:tc>
          <w:tcPr>
            <w:tcW w:w="0" w:type="auto"/>
            <w:vAlign w:val="center"/>
          </w:tcPr>
          <w:p w14:paraId="573476D1"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IBM positions Maximo FSM for asset-intensive operations, unifying FSM and EAM with AI-powered field execution, AI-assisted mobile workflows, spatial intelligence, offline-first mobile, remote expert collaboration, and scheduling/dispatch optimization across </w:t>
            </w:r>
            <w:r>
              <w:rPr>
                <w:b/>
                <w:bCs/>
              </w:rPr>
              <w:t>300+ configurable parameters</w:t>
            </w:r>
            <w:r>
              <w:t>.</w:t>
            </w:r>
            <w:r>
              <w:rPr>
                <w:rStyle w:val="FootnoteReference"/>
              </w:rPr>
              <w:footnoteReference w:id="70"/>
            </w:r>
            <w:r>
              <w:t xml:space="preserve"> IBM also positions Maximo AI as bringing AI and agents into maintenance, field execution, reliability, and planning workflows.</w:t>
            </w:r>
            <w:r>
              <w:rPr>
                <w:rStyle w:val="FootnoteReference"/>
              </w:rPr>
              <w:footnoteReference w:id="71"/>
            </w:r>
          </w:p>
        </w:tc>
        <w:tc>
          <w:tcPr>
            <w:tcW w:w="0" w:type="auto"/>
            <w:vAlign w:val="center"/>
          </w:tcPr>
          <w:p w14:paraId="573476D2"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IBM’s opened official pages emphasize improvement themes—technician efficiency, FTFR, uptime, cost, reliability—more than quantified uplift claims; IBM does quantify the problem context: </w:t>
            </w:r>
            <w:r>
              <w:rPr>
                <w:b/>
                <w:bCs/>
              </w:rPr>
              <w:t>85%</w:t>
            </w:r>
            <w:r>
              <w:t xml:space="preserve"> of operators struggle with poor-quality fragmented data, average wrench time is </w:t>
            </w:r>
            <w:r>
              <w:rPr>
                <w:b/>
                <w:bCs/>
              </w:rPr>
              <w:t>25–35%</w:t>
            </w:r>
            <w:r>
              <w:t xml:space="preserve">, and context switching can cost up to </w:t>
            </w:r>
            <w:r>
              <w:rPr>
                <w:b/>
                <w:bCs/>
              </w:rPr>
              <w:t>40% productivity</w:t>
            </w:r>
            <w:r>
              <w:t>.</w:t>
            </w:r>
            <w:r>
              <w:rPr>
                <w:rStyle w:val="FootnoteReference"/>
              </w:rPr>
              <w:footnoteReference w:id="72"/>
            </w:r>
          </w:p>
        </w:tc>
      </w:tr>
      <w:tr w:rsidR="009D0BE4" w14:paraId="573476D7" w14:textId="77777777" w:rsidTr="009D0BE4">
        <w:tc>
          <w:tcPr>
            <w:cnfStyle w:val="001000000000" w:firstRow="0" w:lastRow="0" w:firstColumn="1" w:lastColumn="0" w:oddVBand="0" w:evenVBand="0" w:oddHBand="0" w:evenHBand="0" w:firstRowFirstColumn="0" w:firstRowLastColumn="0" w:lastRowFirstColumn="0" w:lastRowLastColumn="0"/>
            <w:tcW w:w="0" w:type="auto"/>
            <w:vAlign w:val="center"/>
          </w:tcPr>
          <w:p w14:paraId="573476D4" w14:textId="77777777" w:rsidR="009D0BE4" w:rsidRDefault="00175C32">
            <w:r>
              <w:t>Microsoft / Dynamics 365 Field Service</w:t>
            </w:r>
          </w:p>
        </w:tc>
        <w:tc>
          <w:tcPr>
            <w:tcW w:w="0" w:type="auto"/>
            <w:vAlign w:val="center"/>
          </w:tcPr>
          <w:p w14:paraId="573476D5" w14:textId="77777777" w:rsidR="009D0BE4" w:rsidRDefault="00175C32">
            <w:pPr>
              <w:cnfStyle w:val="000000000000" w:firstRow="0" w:lastRow="0" w:firstColumn="0" w:lastColumn="0" w:oddVBand="0" w:evenVBand="0" w:oddHBand="0" w:evenHBand="0" w:firstRowFirstColumn="0" w:firstRowLastColumn="0" w:lastRowFirstColumn="0" w:lastRowLastColumn="0"/>
            </w:pPr>
            <w:r>
              <w:t>Microsoft positions Dynamics 365 Field Service around work order management, resource scheduling, asset management, frontline worker tools, Copilot-first experiences, mobile performance, Scheduling Operations Agent, and integration with Finance, Supply Chain, and Project Operations.</w:t>
            </w:r>
            <w:r>
              <w:rPr>
                <w:rStyle w:val="FootnoteReference"/>
              </w:rPr>
              <w:footnoteReference w:id="73"/>
            </w:r>
            <w:r>
              <w:t xml:space="preserve"> Connected Field Service uses IoT data to diagnose problems, generate work </w:t>
            </w:r>
            <w:r>
              <w:lastRenderedPageBreak/>
              <w:t>orders, and feed Copilot-supported work order/resource management.</w:t>
            </w:r>
            <w:r>
              <w:rPr>
                <w:rStyle w:val="FootnoteReference"/>
              </w:rPr>
              <w:footnoteReference w:id="74"/>
            </w:r>
          </w:p>
        </w:tc>
        <w:tc>
          <w:tcPr>
            <w:tcW w:w="0" w:type="auto"/>
            <w:vAlign w:val="center"/>
          </w:tcPr>
          <w:p w14:paraId="573476D6" w14:textId="77777777" w:rsidR="009D0BE4" w:rsidRDefault="00175C32">
            <w:pPr>
              <w:cnfStyle w:val="000000000000" w:firstRow="0" w:lastRow="0" w:firstColumn="0" w:lastColumn="0" w:oddVBand="0" w:evenVBand="0" w:oddHBand="0" w:evenHBand="0" w:firstRowFirstColumn="0" w:firstRowLastColumn="0" w:lastRowFirstColumn="0" w:lastRowLastColumn="0"/>
            </w:pPr>
            <w:r>
              <w:lastRenderedPageBreak/>
              <w:t xml:space="preserve">The official Microsoft pages opened provide capability claims rather than universal ROI claims; your enterprise </w:t>
            </w:r>
            <w:hyperlink r:id="rId11" w:history="1">
              <w:r>
                <w:rPr>
                  <w:rStyle w:val="Hyperlink"/>
                </w:rPr>
                <w:t>Alithya Field Service Practice - ABM Landing Page.docx</w:t>
              </w:r>
            </w:hyperlink>
            <w:r>
              <w:t xml:space="preserve"> references D365 Field Service impact claims of </w:t>
            </w:r>
            <w:r>
              <w:rPr>
                <w:b/>
                <w:bCs/>
              </w:rPr>
              <w:t>up to 20% FTFR increase</w:t>
            </w:r>
            <w:r>
              <w:t xml:space="preserve">, </w:t>
            </w:r>
            <w:r>
              <w:rPr>
                <w:b/>
                <w:bCs/>
              </w:rPr>
              <w:t>15% service-cost reduction</w:t>
            </w:r>
            <w:r>
              <w:t xml:space="preserve">, and </w:t>
            </w:r>
            <w:r>
              <w:rPr>
                <w:b/>
                <w:bCs/>
              </w:rPr>
              <w:t xml:space="preserve">40% dispatcher productivity </w:t>
            </w:r>
            <w:r>
              <w:rPr>
                <w:b/>
                <w:bCs/>
              </w:rPr>
              <w:lastRenderedPageBreak/>
              <w:t>improvement</w:t>
            </w:r>
            <w:r>
              <w:t xml:space="preserve"> tied to AI scheduling, mobile work orders, and asset tracking.</w:t>
            </w:r>
            <w:r>
              <w:rPr>
                <w:rStyle w:val="FootnoteReference"/>
              </w:rPr>
              <w:footnoteReference w:id="75"/>
            </w:r>
          </w:p>
        </w:tc>
      </w:tr>
      <w:tr w:rsidR="009D0BE4" w14:paraId="573476DB" w14:textId="77777777" w:rsidTr="009D0B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3476D8" w14:textId="77777777" w:rsidR="009D0BE4" w:rsidRDefault="00175C32">
            <w:r>
              <w:lastRenderedPageBreak/>
              <w:t xml:space="preserve">Salesforce / Field Service + </w:t>
            </w:r>
            <w:proofErr w:type="spellStart"/>
            <w:r>
              <w:t>Agentforce</w:t>
            </w:r>
            <w:proofErr w:type="spellEnd"/>
          </w:p>
        </w:tc>
        <w:tc>
          <w:tcPr>
            <w:tcW w:w="0" w:type="auto"/>
            <w:vAlign w:val="center"/>
          </w:tcPr>
          <w:p w14:paraId="573476D9"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Salesforce positions AI for scheduling, routing, predictive maintenance, technician guidance, AR remote assistance, </w:t>
            </w:r>
            <w:proofErr w:type="spellStart"/>
            <w:r>
              <w:t>Agentforce</w:t>
            </w:r>
            <w:proofErr w:type="spellEnd"/>
            <w:r>
              <w:t xml:space="preserve"> agents, pre-work briefs, post-work summaries, and customer self-service/scheduling.</w:t>
            </w:r>
            <w:r>
              <w:rPr>
                <w:rStyle w:val="FootnoteReference"/>
              </w:rPr>
              <w:footnoteReference w:id="76"/>
            </w:r>
            <w:r>
              <w:t xml:space="preserve"> </w:t>
            </w:r>
            <w:proofErr w:type="spellStart"/>
            <w:r>
              <w:t>Agentforce</w:t>
            </w:r>
            <w:proofErr w:type="spellEnd"/>
            <w:r>
              <w:t xml:space="preserve"> scheduling considers technician skills, tools, travel time, and job needs through customer conversation flows.</w:t>
            </w:r>
            <w:r>
              <w:rPr>
                <w:rStyle w:val="FootnoteReference"/>
              </w:rPr>
              <w:footnoteReference w:id="77"/>
            </w:r>
          </w:p>
        </w:tc>
        <w:tc>
          <w:tcPr>
            <w:tcW w:w="0" w:type="auto"/>
            <w:vAlign w:val="center"/>
          </w:tcPr>
          <w:p w14:paraId="573476DA" w14:textId="77777777" w:rsidR="009D0BE4" w:rsidRDefault="00175C32">
            <w:pPr>
              <w:cnfStyle w:val="000000100000" w:firstRow="0" w:lastRow="0" w:firstColumn="0" w:lastColumn="0" w:oddVBand="0" w:evenVBand="0" w:oddHBand="1" w:evenHBand="0" w:firstRowFirstColumn="0" w:firstRowLastColumn="0" w:lastRowFirstColumn="0" w:lastRowLastColumn="0"/>
            </w:pPr>
            <w:r>
              <w:t xml:space="preserve">Salesforce cites research that </w:t>
            </w:r>
            <w:r>
              <w:rPr>
                <w:b/>
                <w:bCs/>
              </w:rPr>
              <w:t>90%</w:t>
            </w:r>
            <w:r>
              <w:t xml:space="preserve"> of decision-makers are investing in technologies like AI, over </w:t>
            </w:r>
            <w:r>
              <w:rPr>
                <w:b/>
                <w:bCs/>
              </w:rPr>
              <w:t>75%</w:t>
            </w:r>
            <w:r>
              <w:t xml:space="preserve"> of mobile workers say AI saves time, and a Waters case study saw </w:t>
            </w:r>
            <w:r>
              <w:rPr>
                <w:b/>
                <w:bCs/>
              </w:rPr>
              <w:t>40% referral revenue boost</w:t>
            </w:r>
            <w:r>
              <w:t xml:space="preserve"> and </w:t>
            </w:r>
            <w:r>
              <w:rPr>
                <w:b/>
                <w:bCs/>
              </w:rPr>
              <w:t>10% replacement-part cost reduction</w:t>
            </w:r>
            <w:r>
              <w:t xml:space="preserve"> after moving to Salesforce Field Service.</w:t>
            </w:r>
            <w:r>
              <w:rPr>
                <w:rStyle w:val="FootnoteReference"/>
              </w:rPr>
              <w:footnoteReference w:id="78"/>
            </w:r>
          </w:p>
        </w:tc>
      </w:tr>
    </w:tbl>
    <w:p w14:paraId="573476DC" w14:textId="77777777" w:rsidR="009D0BE4" w:rsidRDefault="009D0BE4">
      <w:pPr>
        <w:pBdr>
          <w:top w:val="single" w:sz="12" w:space="0" w:color="auto"/>
        </w:pBdr>
        <w:spacing w:after="0"/>
      </w:pPr>
    </w:p>
    <w:p w14:paraId="573476DD" w14:textId="77777777" w:rsidR="009D0BE4" w:rsidRDefault="00175C32">
      <w:pPr>
        <w:pStyle w:val="Heading2"/>
      </w:pPr>
      <w:r>
        <w:t>5) Variability by industry</w:t>
      </w:r>
    </w:p>
    <w:p w14:paraId="573476DE" w14:textId="77777777" w:rsidR="009D0BE4" w:rsidRDefault="00175C32">
      <w:r>
        <w:rPr>
          <w:b/>
          <w:bCs/>
        </w:rPr>
        <w:t>Manufacturing / industrial equipment:</w:t>
      </w:r>
      <w:r>
        <w:t xml:space="preserve"> This segment tends to show the strongest AI business case because downtime, warranty costs, parts planning, and service-contract profitability are tightly linked. WEF’s manufacturing examples include AI/predictive analytics reducing downtime by </w:t>
      </w:r>
      <w:r>
        <w:rPr>
          <w:b/>
          <w:bCs/>
        </w:rPr>
        <w:t>more than 50%</w:t>
      </w:r>
      <w:r>
        <w:t xml:space="preserve"> in a chemical manufacturer case and AI-driven quality/process use cases delivering material-cost, defect-rate, and cycle-time improvements.</w:t>
      </w:r>
      <w:r>
        <w:rPr>
          <w:rStyle w:val="FootnoteReference"/>
        </w:rPr>
        <w:footnoteReference w:id="79"/>
      </w:r>
      <w:r>
        <w:t xml:space="preserve"> Your internal </w:t>
      </w:r>
      <w:hyperlink r:id="rId12" w:history="1">
        <w:r>
          <w:rPr>
            <w:rStyle w:val="Hyperlink"/>
          </w:rPr>
          <w:t xml:space="preserve">Building a New Field Service </w:t>
        </w:r>
        <w:proofErr w:type="spellStart"/>
        <w:r>
          <w:rPr>
            <w:rStyle w:val="Hyperlink"/>
          </w:rPr>
          <w:t>Practice.loop</w:t>
        </w:r>
        <w:proofErr w:type="spellEnd"/>
      </w:hyperlink>
      <w:r>
        <w:t xml:space="preserve"> also identifies manufacturing as a priority vertical where complex machinery maintenance </w:t>
      </w:r>
      <w:r>
        <w:lastRenderedPageBreak/>
        <w:t>can improve operational efficiency and reduce downtime through Dynamics 365 Field Service.</w:t>
      </w:r>
      <w:r>
        <w:rPr>
          <w:rStyle w:val="FootnoteReference"/>
        </w:rPr>
        <w:footnoteReference w:id="80"/>
      </w:r>
    </w:p>
    <w:p w14:paraId="573476DF" w14:textId="77777777" w:rsidR="009D0BE4" w:rsidRDefault="00175C32">
      <w:r>
        <w:rPr>
          <w:b/>
          <w:bCs/>
        </w:rPr>
        <w:t>Utilities / energy / telecom:</w:t>
      </w:r>
      <w:r>
        <w:t xml:space="preserve"> These industries are scheduling- and SLA-intensive: route density, outage response, safety, asset criticality, and real-time telemetry matter more than pure on-site repair speed. IBM positions Maximo AI for energy and utilities to help crews diagnose faster, respond sooner, and manage critical infrastructure consistently.</w:t>
      </w:r>
      <w:r>
        <w:rPr>
          <w:rStyle w:val="FootnoteReference"/>
        </w:rPr>
        <w:footnoteReference w:id="81"/>
      </w:r>
      <w:r>
        <w:t xml:space="preserve"> Your internal </w:t>
      </w:r>
      <w:hyperlink r:id="rId13" w:history="1">
        <w:r>
          <w:rPr>
            <w:rStyle w:val="Hyperlink"/>
          </w:rPr>
          <w:t>Field_Service_Transition_Roadmap.pptx</w:t>
        </w:r>
      </w:hyperlink>
      <w:r>
        <w:t xml:space="preserve"> adds a practical edge case: Weather Copilot use cases include weather-driven rescheduling, technician safety alerts, route optimization, and real-time operational recommendations.</w:t>
      </w:r>
      <w:r>
        <w:rPr>
          <w:rStyle w:val="FootnoteReference"/>
        </w:rPr>
        <w:footnoteReference w:id="82"/>
      </w:r>
    </w:p>
    <w:p w14:paraId="573476E0" w14:textId="77777777" w:rsidR="009D0BE4" w:rsidRDefault="00175C32">
      <w:r>
        <w:rPr>
          <w:b/>
          <w:bCs/>
        </w:rPr>
        <w:t>Healthcare equipment / medical devices:</w:t>
      </w:r>
      <w:r>
        <w:t xml:space="preserve"> These environments generally face higher compliance pressure, specialized technician skills, and high downtime sensitivity. </w:t>
      </w:r>
      <w:proofErr w:type="spellStart"/>
      <w:r>
        <w:t>Aquant’s</w:t>
      </w:r>
      <w:proofErr w:type="spellEnd"/>
      <w:r>
        <w:t xml:space="preserve"> 2025 report sample explicitly included medical devices and manufacturing among its service organizations, and its 2026 release focuses on equipment manufacturers and asset-centric organizations where failed visits, repeat work, and knowledge concentration drive measurable cost differences.</w:t>
      </w:r>
      <w:r>
        <w:rPr>
          <w:rStyle w:val="FootnoteReference"/>
        </w:rPr>
        <w:footnoteReference w:id="83"/>
      </w:r>
      <w:r>
        <w:t xml:space="preserve"> </w:t>
      </w:r>
      <w:r>
        <w:rPr>
          <w:rStyle w:val="FootnoteReference"/>
        </w:rPr>
        <w:footnoteReference w:id="84"/>
      </w:r>
      <w:r>
        <w:t xml:space="preserve"> Internal practice-building material also lists healthcare use cases around scheduling and dispatching </w:t>
      </w:r>
      <w:r>
        <w:lastRenderedPageBreak/>
        <w:t>healthcare workers for timely patient care, though that is more workforce-service oriented than medical-device maintenance.</w:t>
      </w:r>
      <w:r>
        <w:rPr>
          <w:rStyle w:val="FootnoteReference"/>
        </w:rPr>
        <w:footnoteReference w:id="85"/>
      </w:r>
    </w:p>
    <w:p w14:paraId="573476E1" w14:textId="77777777" w:rsidR="009D0BE4" w:rsidRDefault="009D0BE4">
      <w:pPr>
        <w:pBdr>
          <w:top w:val="single" w:sz="12" w:space="0" w:color="auto"/>
        </w:pBdr>
        <w:spacing w:after="0"/>
      </w:pPr>
    </w:p>
    <w:p w14:paraId="573476E2" w14:textId="77777777" w:rsidR="009D0BE4" w:rsidRDefault="00175C32">
      <w:pPr>
        <w:pStyle w:val="Heading2"/>
      </w:pPr>
      <w:r>
        <w:t>6) Emerging trends that influence benchmark performance</w:t>
      </w:r>
    </w:p>
    <w:p w14:paraId="573476E3" w14:textId="77777777" w:rsidR="009D0BE4" w:rsidRDefault="00175C32">
      <w:pPr>
        <w:pStyle w:val="ListParagraph"/>
        <w:numPr>
          <w:ilvl w:val="0"/>
          <w:numId w:val="2"/>
        </w:numPr>
      </w:pPr>
      <w:r>
        <w:rPr>
          <w:b/>
          <w:bCs/>
        </w:rPr>
        <w:t>Agentic / operational AI:</w:t>
      </w:r>
      <w:r>
        <w:t xml:space="preserve"> </w:t>
      </w:r>
      <w:proofErr w:type="spellStart"/>
      <w:r>
        <w:t>Aquant</w:t>
      </w:r>
      <w:proofErr w:type="spellEnd"/>
      <w:r>
        <w:t xml:space="preserve"> says 2026 marks a shift from assistive AI point solutions to operational AI, where specialized agents work from a shared intelligence layer across the organization to improve troubleshooting, failed visits, knowledge capture, preventive-maintenance effectiveness, training, planning, and customer experience.</w:t>
      </w:r>
      <w:r>
        <w:rPr>
          <w:rStyle w:val="FootnoteReference"/>
        </w:rPr>
        <w:footnoteReference w:id="86"/>
      </w:r>
      <w:r>
        <w:t xml:space="preserve"> Salesforce’s </w:t>
      </w:r>
      <w:proofErr w:type="spellStart"/>
      <w:r>
        <w:t>Agentforce</w:t>
      </w:r>
      <w:proofErr w:type="spellEnd"/>
      <w:r>
        <w:t>, Microsoft’s Scheduling Operations Agent/Copilot, and IBM Maximo agents all align to this move from “advisor” to embedded workflow actor.</w:t>
      </w:r>
      <w:r>
        <w:rPr>
          <w:rStyle w:val="FootnoteReference"/>
        </w:rPr>
        <w:footnoteReference w:id="87"/>
      </w:r>
      <w:r>
        <w:t xml:space="preserve"> </w:t>
      </w:r>
      <w:r>
        <w:rPr>
          <w:rStyle w:val="FootnoteReference"/>
        </w:rPr>
        <w:footnoteReference w:id="88"/>
      </w:r>
      <w:r>
        <w:t xml:space="preserve"> </w:t>
      </w:r>
      <w:r>
        <w:rPr>
          <w:rStyle w:val="FootnoteReference"/>
        </w:rPr>
        <w:footnoteReference w:id="89"/>
      </w:r>
    </w:p>
    <w:p w14:paraId="573476E4" w14:textId="77777777" w:rsidR="009D0BE4" w:rsidRDefault="00175C32">
      <w:pPr>
        <w:pStyle w:val="ListParagraph"/>
        <w:numPr>
          <w:ilvl w:val="0"/>
          <w:numId w:val="2"/>
        </w:numPr>
      </w:pPr>
      <w:r>
        <w:rPr>
          <w:b/>
          <w:bCs/>
        </w:rPr>
        <w:t>IoT + predictive maintenance:</w:t>
      </w:r>
      <w:r>
        <w:t xml:space="preserve"> Microsoft’s Connected Field Service links IoT data to diagnostics, work-order generation, and Copilot-supported work/resource management, while Deloitte frames predictive maintenance as using sensors, ERP, historical maintenance, production, and field reports with AI-enabled signal processing to generate maintenance recommendations.</w:t>
      </w:r>
      <w:r>
        <w:rPr>
          <w:rStyle w:val="FootnoteReference"/>
        </w:rPr>
        <w:footnoteReference w:id="90"/>
      </w:r>
      <w:r>
        <w:t xml:space="preserve"> </w:t>
      </w:r>
      <w:r>
        <w:rPr>
          <w:rStyle w:val="FootnoteReference"/>
        </w:rPr>
        <w:footnoteReference w:id="91"/>
      </w:r>
      <w:r>
        <w:t xml:space="preserve"> </w:t>
      </w:r>
      <w:r>
        <w:lastRenderedPageBreak/>
        <w:t>McKinsey stresses that predictive maintenance must be integrated into digital work management so alarms trigger work orders and outcomes feed back into model improvement.</w:t>
      </w:r>
      <w:r>
        <w:rPr>
          <w:rStyle w:val="FootnoteReference"/>
        </w:rPr>
        <w:footnoteReference w:id="92"/>
      </w:r>
    </w:p>
    <w:p w14:paraId="573476E5" w14:textId="77777777" w:rsidR="009D0BE4" w:rsidRDefault="00175C32">
      <w:pPr>
        <w:pStyle w:val="ListParagraph"/>
        <w:numPr>
          <w:ilvl w:val="0"/>
          <w:numId w:val="2"/>
        </w:numPr>
      </w:pPr>
      <w:r>
        <w:rPr>
          <w:b/>
          <w:bCs/>
        </w:rPr>
        <w:t>AR / remote expert support:</w:t>
      </w:r>
      <w:r>
        <w:t xml:space="preserve"> Salesforce positions AR as real-time visual remote assistance for technicians, and Field Service Insights/Geotab 2025 found </w:t>
      </w:r>
      <w:r>
        <w:rPr>
          <w:b/>
          <w:bCs/>
        </w:rPr>
        <w:t>60%</w:t>
      </w:r>
      <w:r>
        <w:t xml:space="preserve"> current AR/VR adoption for remote assistance/training with </w:t>
      </w:r>
      <w:r>
        <w:rPr>
          <w:b/>
          <w:bCs/>
        </w:rPr>
        <w:t>40%</w:t>
      </w:r>
      <w:r>
        <w:t xml:space="preserve"> planning adoption in the next 12 months.</w:t>
      </w:r>
      <w:r>
        <w:rPr>
          <w:rStyle w:val="FootnoteReference"/>
        </w:rPr>
        <w:footnoteReference w:id="93"/>
      </w:r>
      <w:r>
        <w:t xml:space="preserve"> </w:t>
      </w:r>
      <w:r>
        <w:rPr>
          <w:rStyle w:val="FootnoteReference"/>
        </w:rPr>
        <w:footnoteReference w:id="94"/>
      </w:r>
      <w:r>
        <w:t xml:space="preserve"> </w:t>
      </w:r>
      <w:proofErr w:type="spellStart"/>
      <w:r>
        <w:t>TrueContext’s</w:t>
      </w:r>
      <w:proofErr w:type="spellEnd"/>
      <w:r>
        <w:t xml:space="preserve"> 2026 report landing page says more than half of organizations plan immersive technician support, reinforcing AR/VR as a near-term workforce multiplier.</w:t>
      </w:r>
      <w:r>
        <w:rPr>
          <w:rStyle w:val="FootnoteReference"/>
        </w:rPr>
        <w:footnoteReference w:id="95"/>
      </w:r>
    </w:p>
    <w:p w14:paraId="573476E6" w14:textId="77777777" w:rsidR="009D0BE4" w:rsidRDefault="009D0BE4">
      <w:pPr>
        <w:pBdr>
          <w:top w:val="single" w:sz="12" w:space="0" w:color="auto"/>
        </w:pBdr>
        <w:spacing w:after="0"/>
      </w:pPr>
    </w:p>
    <w:p w14:paraId="573476E7" w14:textId="77777777" w:rsidR="009D0BE4" w:rsidRDefault="00175C32">
      <w:pPr>
        <w:pStyle w:val="Heading2"/>
      </w:pPr>
      <w:r>
        <w:t>7) Gaps, risks, and limitations in the benchmarking data</w:t>
      </w:r>
    </w:p>
    <w:p w14:paraId="573476E8" w14:textId="77777777" w:rsidR="009D0BE4" w:rsidRDefault="00175C32">
      <w:r>
        <w:rPr>
          <w:b/>
          <w:bCs/>
        </w:rPr>
        <w:t>Benchmark definitions vary, especially utilization.</w:t>
      </w:r>
      <w:r>
        <w:t xml:space="preserve"> TSIA warns that utilization averages can be unreliable when formulas differ on holidays, PTO, training, overtime, productive hours, and billable hours, and it argues for standardized formulas before comparing performance.</w:t>
      </w:r>
      <w:r>
        <w:rPr>
          <w:rStyle w:val="FootnoteReference"/>
        </w:rPr>
        <w:footnoteReference w:id="96"/>
      </w:r>
      <w:r>
        <w:t xml:space="preserve"> This matters because AI may reduce low-value billable/admin time while increasing outcomes, making old utilization metrics look worse even when the operation improves.</w:t>
      </w:r>
      <w:r>
        <w:rPr>
          <w:rStyle w:val="FootnoteReference"/>
        </w:rPr>
        <w:footnoteReference w:id="97"/>
      </w:r>
    </w:p>
    <w:p w14:paraId="573476E9" w14:textId="77777777" w:rsidR="009D0BE4" w:rsidRDefault="00175C32">
      <w:r>
        <w:rPr>
          <w:b/>
          <w:bCs/>
        </w:rPr>
        <w:t>Vendor and sponsor bias is real.</w:t>
      </w:r>
      <w:r>
        <w:t xml:space="preserve"> </w:t>
      </w:r>
      <w:proofErr w:type="spellStart"/>
      <w:r>
        <w:t>Aquant</w:t>
      </w:r>
      <w:proofErr w:type="spellEnd"/>
      <w:r>
        <w:t xml:space="preserve">, Geotab, Salesforce, IBM, Microsoft, </w:t>
      </w:r>
      <w:proofErr w:type="spellStart"/>
      <w:r>
        <w:t>TrueContext</w:t>
      </w:r>
      <w:proofErr w:type="spellEnd"/>
      <w:r>
        <w:t xml:space="preserve">, and </w:t>
      </w:r>
      <w:proofErr w:type="spellStart"/>
      <w:r>
        <w:t>Fieldproxy</w:t>
      </w:r>
      <w:proofErr w:type="spellEnd"/>
      <w:r>
        <w:t xml:space="preserve"> all have commercial interests in the category, so the </w:t>
      </w:r>
      <w:r>
        <w:lastRenderedPageBreak/>
        <w:t>numbers are best treated as directional unless replicated in your own telemetry.</w:t>
      </w:r>
      <w:r>
        <w:rPr>
          <w:rStyle w:val="FootnoteReference"/>
        </w:rPr>
        <w:footnoteReference w:id="98"/>
      </w:r>
      <w:r>
        <w:t xml:space="preserve"> </w:t>
      </w:r>
      <w:r>
        <w:rPr>
          <w:rStyle w:val="FootnoteReference"/>
        </w:rPr>
        <w:footnoteReference w:id="99"/>
      </w:r>
      <w:r>
        <w:t xml:space="preserve"> </w:t>
      </w:r>
      <w:r>
        <w:rPr>
          <w:rStyle w:val="FootnoteReference"/>
        </w:rPr>
        <w:footnoteReference w:id="100"/>
      </w:r>
      <w:r>
        <w:t xml:space="preserve"> </w:t>
      </w:r>
      <w:r>
        <w:rPr>
          <w:rStyle w:val="FootnoteReference"/>
        </w:rPr>
        <w:footnoteReference w:id="101"/>
      </w:r>
      <w:r>
        <w:t xml:space="preserve"> </w:t>
      </w:r>
      <w:r>
        <w:rPr>
          <w:rStyle w:val="FootnoteReference"/>
        </w:rPr>
        <w:footnoteReference w:id="102"/>
      </w:r>
      <w:r>
        <w:t xml:space="preserve"> </w:t>
      </w:r>
      <w:r>
        <w:rPr>
          <w:rStyle w:val="FootnoteReference"/>
        </w:rPr>
        <w:footnoteReference w:id="103"/>
      </w:r>
      <w:r>
        <w:t xml:space="preserve"> The most defensible benchmarking approach is to calculate your own baselines for FTFR, MTTR, avoidable dispatch, repeat visits, travel, utilization, parts availability, SLA attainment, and cost per resolved case, then compare using a consistent formula and peer-set segmentation.</w:t>
      </w:r>
      <w:r>
        <w:rPr>
          <w:rStyle w:val="FootnoteReference"/>
        </w:rPr>
        <w:footnoteReference w:id="104"/>
      </w:r>
      <w:r>
        <w:t xml:space="preserve"> </w:t>
      </w:r>
      <w:r>
        <w:rPr>
          <w:rStyle w:val="FootnoteReference"/>
        </w:rPr>
        <w:footnoteReference w:id="105"/>
      </w:r>
    </w:p>
    <w:p w14:paraId="573476EA" w14:textId="77777777" w:rsidR="009D0BE4" w:rsidRDefault="00175C32">
      <w:r>
        <w:rPr>
          <w:b/>
          <w:bCs/>
        </w:rPr>
        <w:t>Data fragmentation is the primary blocker.</w:t>
      </w:r>
      <w:r>
        <w:t xml:space="preserve"> Geotab’s 2025 field service report found </w:t>
      </w:r>
      <w:r>
        <w:rPr>
          <w:b/>
          <w:bCs/>
        </w:rPr>
        <w:t>68%</w:t>
      </w:r>
      <w:r>
        <w:t xml:space="preserve"> of leaders face data-quality or siloed-data challenges implementing AI and </w:t>
      </w:r>
      <w:r>
        <w:rPr>
          <w:b/>
          <w:bCs/>
        </w:rPr>
        <w:t>58%</w:t>
      </w:r>
      <w:r>
        <w:t xml:space="preserve"> face legacy integration challenges, while IBM’s Maximo AI page says </w:t>
      </w:r>
      <w:r>
        <w:rPr>
          <w:b/>
          <w:bCs/>
        </w:rPr>
        <w:t>85%</w:t>
      </w:r>
      <w:r>
        <w:t xml:space="preserve"> of operators struggle with poor-quality fragmented data.</w:t>
      </w:r>
      <w:r>
        <w:rPr>
          <w:rStyle w:val="FootnoteReference"/>
        </w:rPr>
        <w:footnoteReference w:id="106"/>
      </w:r>
      <w:r>
        <w:t xml:space="preserve"> </w:t>
      </w:r>
      <w:r>
        <w:rPr>
          <w:rStyle w:val="FootnoteReference"/>
        </w:rPr>
        <w:footnoteReference w:id="107"/>
      </w:r>
      <w:r>
        <w:t xml:space="preserve"> IBM’s 2025–2026 Salesforce research says poor data availability/quality is the leading barrier to agentic AI adoption and that only </w:t>
      </w:r>
      <w:r>
        <w:rPr>
          <w:b/>
          <w:bCs/>
        </w:rPr>
        <w:t>33%</w:t>
      </w:r>
      <w:r>
        <w:t xml:space="preserve"> of AI initiatives meet ROI targets, reinforcing that AI success depends on data architecture and operating discipline.</w:t>
      </w:r>
      <w:r>
        <w:rPr>
          <w:rStyle w:val="FootnoteReference"/>
        </w:rPr>
        <w:footnoteReference w:id="108"/>
      </w:r>
    </w:p>
    <w:p w14:paraId="573476EB" w14:textId="77777777" w:rsidR="009D0BE4" w:rsidRDefault="009D0BE4">
      <w:pPr>
        <w:pBdr>
          <w:top w:val="single" w:sz="12" w:space="0" w:color="auto"/>
        </w:pBdr>
        <w:spacing w:after="0"/>
      </w:pPr>
    </w:p>
    <w:p w14:paraId="573476EC" w14:textId="77777777" w:rsidR="009D0BE4" w:rsidRDefault="00175C32">
      <w:pPr>
        <w:pStyle w:val="Heading2"/>
      </w:pPr>
      <w:r>
        <w:t>Practical benchmark scorecard to use next</w:t>
      </w:r>
    </w:p>
    <w:p w14:paraId="573476ED" w14:textId="77777777" w:rsidR="009D0BE4" w:rsidRDefault="00175C32">
      <w:r>
        <w:t xml:space="preserve">For a generic baseline, I’d score AI field service maturity against </w:t>
      </w:r>
      <w:r>
        <w:rPr>
          <w:b/>
          <w:bCs/>
        </w:rPr>
        <w:t>eight KPIs</w:t>
      </w:r>
      <w:r>
        <w:t xml:space="preserve">: FTFR, case-resolution time, failed-visit cost share, avoidable dispatch/remote resolution, </w:t>
      </w:r>
      <w:r>
        <w:lastRenderedPageBreak/>
        <w:t xml:space="preserve">technician productive time/wrench time, travel time, SLA attainment, and CSAT/NPS. Use </w:t>
      </w:r>
      <w:proofErr w:type="spellStart"/>
      <w:r>
        <w:t>Aquant</w:t>
      </w:r>
      <w:proofErr w:type="spellEnd"/>
      <w:r>
        <w:t xml:space="preserve"> 2026 for the asset-centric performance spread, </w:t>
      </w:r>
      <w:proofErr w:type="spellStart"/>
      <w:r>
        <w:t>Fieldproxy</w:t>
      </w:r>
      <w:proofErr w:type="spellEnd"/>
      <w:r>
        <w:t>/</w:t>
      </w:r>
      <w:proofErr w:type="spellStart"/>
      <w:r>
        <w:t>Jobcamp</w:t>
      </w:r>
      <w:proofErr w:type="spellEnd"/>
      <w:r>
        <w:t xml:space="preserve"> for trade-style utilization and CSAT targets, Geotab/</w:t>
      </w:r>
      <w:proofErr w:type="spellStart"/>
      <w:r>
        <w:t>TrueContext</w:t>
      </w:r>
      <w:proofErr w:type="spellEnd"/>
      <w:r>
        <w:t xml:space="preserve"> for adoption/readiness context, and your internal </w:t>
      </w:r>
      <w:hyperlink r:id="rId14" w:history="1">
        <w:r>
          <w:rPr>
            <w:rStyle w:val="Hyperlink"/>
          </w:rPr>
          <w:t>Field Service Data Model.pptx</w:t>
        </w:r>
      </w:hyperlink>
      <w:r>
        <w:t xml:space="preserve"> / </w:t>
      </w:r>
      <w:hyperlink r:id="rId15" w:history="1">
        <w:r>
          <w:rPr>
            <w:rStyle w:val="Hyperlink"/>
          </w:rPr>
          <w:t>Alithya Field Service Practice - ABM Landing Page.docx</w:t>
        </w:r>
      </w:hyperlink>
      <w:r>
        <w:t xml:space="preserve"> value drivers for Dynamics-specific positioning.</w:t>
      </w:r>
      <w:r>
        <w:rPr>
          <w:rStyle w:val="FootnoteReference"/>
        </w:rPr>
        <w:footnoteReference w:id="109"/>
      </w:r>
      <w:r>
        <w:t xml:space="preserve"> </w:t>
      </w:r>
      <w:r>
        <w:rPr>
          <w:rStyle w:val="FootnoteReference"/>
        </w:rPr>
        <w:footnoteReference w:id="110"/>
      </w:r>
      <w:r>
        <w:t xml:space="preserve"> </w:t>
      </w:r>
      <w:r>
        <w:rPr>
          <w:rStyle w:val="FootnoteReference"/>
        </w:rPr>
        <w:footnoteReference w:id="111"/>
      </w:r>
      <w:r>
        <w:t xml:space="preserve"> </w:t>
      </w:r>
      <w:r>
        <w:rPr>
          <w:rStyle w:val="FootnoteReference"/>
        </w:rPr>
        <w:footnoteReference w:id="112"/>
      </w:r>
      <w:r>
        <w:t xml:space="preserve"> </w:t>
      </w:r>
      <w:r>
        <w:rPr>
          <w:rStyle w:val="FootnoteReference"/>
        </w:rPr>
        <w:footnoteReference w:id="113"/>
      </w:r>
      <w:r>
        <w:t xml:space="preserve"> </w:t>
      </w:r>
      <w:r>
        <w:rPr>
          <w:rStyle w:val="FootnoteReference"/>
        </w:rPr>
        <w:footnoteReference w:id="114"/>
      </w:r>
      <w:r>
        <w:t xml:space="preserve"> </w:t>
      </w:r>
      <w:r>
        <w:rPr>
          <w:rStyle w:val="FootnoteReference"/>
        </w:rPr>
        <w:footnoteReference w:id="115"/>
      </w:r>
    </w:p>
    <w:p w14:paraId="573476EE" w14:textId="77777777" w:rsidR="009D0BE4" w:rsidRDefault="00175C32">
      <w:r>
        <w:rPr>
          <w:b/>
          <w:bCs/>
        </w:rPr>
        <w:t>Most actionable conclusion:</w:t>
      </w:r>
      <w:r>
        <w:t xml:space="preserve"> the fastest path to measurable value is not a broad “AI transformation” program; it is a benchmark-led improvement loop: reduce failed visits, improve first dispatch accuracy, increase remote resolution, and capture technician knowledge into a governed service intelligence layer.</w:t>
      </w:r>
      <w:r>
        <w:rPr>
          <w:rStyle w:val="FootnoteReference"/>
        </w:rPr>
        <w:footnoteReference w:id="116"/>
      </w:r>
      <w:r>
        <w:t xml:space="preserve"> </w:t>
      </w:r>
      <w:r>
        <w:rPr>
          <w:rStyle w:val="FootnoteReference"/>
        </w:rPr>
        <w:footnoteReference w:id="117"/>
      </w:r>
      <w:r>
        <w:t xml:space="preserve"> </w:t>
      </w:r>
      <w:r>
        <w:rPr>
          <w:rStyle w:val="FootnoteReference"/>
        </w:rPr>
        <w:footnoteReference w:id="118"/>
      </w:r>
    </w:p>
    <w:sectPr w:rsidR="009D0BE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6D97F" w14:textId="77777777" w:rsidR="00175C32" w:rsidRDefault="00175C32">
      <w:pPr>
        <w:spacing w:after="0" w:line="240" w:lineRule="auto"/>
      </w:pPr>
      <w:r>
        <w:separator/>
      </w:r>
    </w:p>
  </w:endnote>
  <w:endnote w:type="continuationSeparator" w:id="0">
    <w:p w14:paraId="24D969C9" w14:textId="77777777" w:rsidR="00175C32" w:rsidRDefault="00175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6DB6A" w14:textId="77777777" w:rsidR="00175C32" w:rsidRDefault="00175C32">
      <w:pPr>
        <w:spacing w:after="0" w:line="240" w:lineRule="auto"/>
      </w:pPr>
      <w:r>
        <w:separator/>
      </w:r>
    </w:p>
  </w:footnote>
  <w:footnote w:type="continuationSeparator" w:id="0">
    <w:p w14:paraId="376B28D1" w14:textId="77777777" w:rsidR="00175C32" w:rsidRDefault="00175C32">
      <w:pPr>
        <w:spacing w:after="0" w:line="240" w:lineRule="auto"/>
      </w:pPr>
      <w:r>
        <w:continuationSeparator/>
      </w:r>
    </w:p>
  </w:footnote>
  <w:footnote w:id="1">
    <w:p w14:paraId="573476F1" w14:textId="77777777" w:rsidR="009D0BE4" w:rsidRDefault="00175C32">
      <w:r>
        <w:rPr>
          <w:rStyle w:val="FootnoteReference"/>
        </w:rPr>
        <w:footnoteRef/>
      </w:r>
      <w:hyperlink r:id="rId1" w:history="1">
        <w:r>
          <w:rPr>
            <w:rStyle w:val="Hyperlink"/>
          </w:rPr>
          <w:t>https://www.advfn.com/stock-market/stock-news/97872103/aquant-s-2026-field-service-benchmark-companies</w:t>
        </w:r>
      </w:hyperlink>
    </w:p>
  </w:footnote>
  <w:footnote w:id="2">
    <w:p w14:paraId="573476F2" w14:textId="77777777" w:rsidR="009D0BE4" w:rsidRDefault="00175C32">
      <w:r>
        <w:rPr>
          <w:rStyle w:val="FootnoteReference"/>
        </w:rPr>
        <w:footnoteRef/>
      </w:r>
      <w:hyperlink r:id="rId2" w:history="1">
        <w:r>
          <w:rPr>
            <w:rStyle w:val="Hyperlink"/>
          </w:rPr>
          <w:t>https://www.advfn.com/stock-market/stock-news/97872103/aquant-s-2026-field-service-benchmark-companies</w:t>
        </w:r>
      </w:hyperlink>
    </w:p>
  </w:footnote>
  <w:footnote w:id="3">
    <w:p w14:paraId="573476F3" w14:textId="77777777" w:rsidR="009D0BE4" w:rsidRDefault="00175C32">
      <w:r>
        <w:rPr>
          <w:rStyle w:val="FootnoteReference"/>
        </w:rPr>
        <w:footnoteRef/>
      </w:r>
      <w:hyperlink r:id="rId3" w:history="1">
        <w:r>
          <w:rPr>
            <w:rStyle w:val="Hyperlink"/>
          </w:rPr>
          <w:t>https://www.geotab.com/resources/ebook/2026-state-of-ai-field-service/</w:t>
        </w:r>
      </w:hyperlink>
    </w:p>
  </w:footnote>
  <w:footnote w:id="4">
    <w:p w14:paraId="573476F4" w14:textId="77777777" w:rsidR="009D0BE4" w:rsidRDefault="00175C32">
      <w:r>
        <w:rPr>
          <w:rStyle w:val="FootnoteReference"/>
        </w:rPr>
        <w:footnoteRef/>
      </w:r>
      <w:hyperlink r:id="rId4" w:history="1">
        <w:r>
          <w:rPr>
            <w:rStyle w:val="Hyperlink"/>
          </w:rPr>
          <w:t>https://www.ibm.com/thought-leadership/institute-business-value/en-us/report/state-of-salesforce-2025</w:t>
        </w:r>
      </w:hyperlink>
    </w:p>
  </w:footnote>
  <w:footnote w:id="5">
    <w:p w14:paraId="573476F5" w14:textId="77777777" w:rsidR="009D0BE4" w:rsidRDefault="00175C32">
      <w:r>
        <w:rPr>
          <w:rStyle w:val="FootnoteReference"/>
        </w:rPr>
        <w:footnoteRef/>
      </w:r>
      <w:hyperlink r:id="rId5" w:history="1">
        <w:r>
          <w:rPr>
            <w:rStyle w:val="Hyperlink"/>
          </w:rPr>
          <w:t>https://thetechnicalseller-my.sharepoint.com/personal/pierre_thetechnicalseller_com/_layouts/15/Doc.aspx?sourcedoc=%7B006BE373-0A58-49F3-9872-A9ECD7BD2E25%7D\&amp;file=Alithya%20Field%20Service%20Practice%20-%20ABM%20Landing%20Page.docx\&amp;action=default\&amp;mobileredirect=true\&amp;DefaultItemOpen=1</w:t>
        </w:r>
      </w:hyperlink>
    </w:p>
  </w:footnote>
  <w:footnote w:id="6">
    <w:p w14:paraId="573476F6" w14:textId="77777777" w:rsidR="009D0BE4" w:rsidRDefault="00175C32">
      <w:r>
        <w:rPr>
          <w:rStyle w:val="FootnoteReference"/>
        </w:rPr>
        <w:footnoteRef/>
      </w:r>
      <w:hyperlink r:id="rId6" w:history="1">
        <w:r>
          <w:rPr>
            <w:rStyle w:val="Hyperlink"/>
          </w:rPr>
          <w:t>https://thetechnicalseller-my.sharepoint.com/personal/pierre_thetechnicalseller_com/_layouts/15/Doc.aspx?sourcedoc=%7B006BE373-0A58-49F3-9872-A9ECD7BD2E25%7D\&amp;file=Alithya%20Field%20Service%20Practice%20-%20ABM%20Landing%20Page.docx\&amp;action=default\&amp;mobileredirect=true\&amp;DefaultItemOpen=1</w:t>
        </w:r>
      </w:hyperlink>
    </w:p>
  </w:footnote>
  <w:footnote w:id="7">
    <w:p w14:paraId="573476F7" w14:textId="77777777" w:rsidR="009D0BE4" w:rsidRDefault="00175C32">
      <w:r>
        <w:rPr>
          <w:rStyle w:val="FootnoteReference"/>
        </w:rPr>
        <w:footnoteRef/>
      </w:r>
      <w:hyperlink r:id="rId7" w:history="1">
        <w:r>
          <w:rPr>
            <w:rStyle w:val="Hyperlink"/>
          </w:rPr>
          <w:t>https://thetechnicalseller-my.sharepoint.com/personal/pierre_thetechnicalseller_com/_layouts/15/Doc.aspx?sourcedoc=%7B409A5283-BE69-4F23-9B00-F31B0B34E2D6%7D\&amp;file=Field%20Service%20Data%20Model.pptx\&amp;action=edit\&amp;mobileredirect=true\&amp;DefaultItemOpen=1</w:t>
        </w:r>
      </w:hyperlink>
    </w:p>
  </w:footnote>
  <w:footnote w:id="8">
    <w:p w14:paraId="573476F8" w14:textId="77777777" w:rsidR="009D0BE4" w:rsidRDefault="00175C32">
      <w:r>
        <w:rPr>
          <w:rStyle w:val="FootnoteReference"/>
        </w:rPr>
        <w:footnoteRef/>
      </w:r>
      <w:hyperlink r:id="rId8" w:history="1">
        <w:r>
          <w:rPr>
            <w:rStyle w:val="Hyperlink"/>
          </w:rPr>
          <w:t>https://outlook.office365.com/owa/?ItemID=AAMkADFiODRjZjdkLWRiODUtNDVkYS1iYzc3LWY3OWIxMzRmZWFmYwBGAAAAAACw26wrAUSVR6ALM7wpJnJnBwD9ohCLIdWtTr1bxcTu8ET1AAAAAAEJAAD9ohCLIdWtTr1bxcTu8ET1AAFyqbVSAAA%3d\&amp;exvsurl=1\&amp;viewmodel=ReadMessageItem</w:t>
        </w:r>
      </w:hyperlink>
    </w:p>
  </w:footnote>
  <w:footnote w:id="9">
    <w:p w14:paraId="573476F9" w14:textId="77777777" w:rsidR="009D0BE4" w:rsidRDefault="00175C32">
      <w:r>
        <w:rPr>
          <w:rStyle w:val="FootnoteReference"/>
        </w:rPr>
        <w:footnoteRef/>
      </w:r>
      <w:hyperlink r:id="rId9" w:history="1">
        <w:r>
          <w:rPr>
            <w:rStyle w:val="Hyperlink"/>
          </w:rPr>
          <w:t>https://outlook.office365.com/owa/?ItemID=AAMkADFiODRjZjdkLWRiODUtNDVkYS1iYzc3LWY3OWIxMzRmZWFmYwBGAAAAAACw26wrAUSVR6ALM7wpJnJnBwD9ohCLIdWtTr1bxcTu8ET1AAAAAAEJAAD9ohCLIdWtTr1bxcTu8ET1AAFyqbVSAAA%3d\&amp;exvsurl=1\&amp;viewmodel=ReadMessageItem</w:t>
        </w:r>
      </w:hyperlink>
    </w:p>
  </w:footnote>
  <w:footnote w:id="10">
    <w:p w14:paraId="573476FA" w14:textId="77777777" w:rsidR="009D0BE4" w:rsidRDefault="00175C32">
      <w:r>
        <w:rPr>
          <w:rStyle w:val="FootnoteReference"/>
        </w:rPr>
        <w:footnoteRef/>
      </w:r>
      <w:hyperlink r:id="rId10" w:history="1">
        <w:r>
          <w:rPr>
            <w:rStyle w:val="Hyperlink"/>
          </w:rPr>
          <w:t>https://thetechnicalseller-my.sharepoint.com/personal/pierre_thetechnicalseller_com/_layouts/15/Doc.aspx?sourcedoc=%7B006BE373-0A58-49F3-9872-A9ECD7BD2E25%7D\&amp;file=Alithya%20Field%20Service%20Practice%20-%20ABM%20Landing%20Page.docx\&amp;action=default\&amp;mobileredirect=true\&amp;DefaultItemOpen=1</w:t>
        </w:r>
      </w:hyperlink>
    </w:p>
  </w:footnote>
  <w:footnote w:id="11">
    <w:p w14:paraId="573476FB" w14:textId="77777777" w:rsidR="009D0BE4" w:rsidRDefault="00175C32">
      <w:r>
        <w:rPr>
          <w:rStyle w:val="FootnoteReference"/>
        </w:rPr>
        <w:footnoteRef/>
      </w:r>
      <w:hyperlink r:id="rId11" w:history="1">
        <w:r>
          <w:rPr>
            <w:rStyle w:val="Hyperlink"/>
          </w:rPr>
          <w:t>https://www.tsia.com/blog/tsia-benchmarking-boost-field-services-performance</w:t>
        </w:r>
      </w:hyperlink>
    </w:p>
  </w:footnote>
  <w:footnote w:id="12">
    <w:p w14:paraId="573476FC" w14:textId="77777777" w:rsidR="009D0BE4" w:rsidRDefault="00175C32">
      <w:r>
        <w:rPr>
          <w:rStyle w:val="FootnoteReference"/>
        </w:rPr>
        <w:footnoteRef/>
      </w:r>
      <w:hyperlink r:id="rId12" w:history="1">
        <w:r>
          <w:rPr>
            <w:rStyle w:val="Hyperlink"/>
          </w:rPr>
          <w:t>https://www.advfn.com/stock-market/stock-news/97872103/aquant-s-2026-field-service-benchmark-companies</w:t>
        </w:r>
      </w:hyperlink>
    </w:p>
  </w:footnote>
  <w:footnote w:id="13">
    <w:p w14:paraId="573476FD" w14:textId="77777777" w:rsidR="009D0BE4" w:rsidRDefault="00175C32">
      <w:r>
        <w:rPr>
          <w:rStyle w:val="FootnoteReference"/>
        </w:rPr>
        <w:footnoteRef/>
      </w:r>
      <w:hyperlink r:id="rId13" w:history="1">
        <w:r>
          <w:rPr>
            <w:rStyle w:val="Hyperlink"/>
          </w:rPr>
          <w:t>https://www.fieldproxy.ai/benchmarks</w:t>
        </w:r>
      </w:hyperlink>
    </w:p>
  </w:footnote>
  <w:footnote w:id="14">
    <w:p w14:paraId="573476FE" w14:textId="77777777" w:rsidR="009D0BE4" w:rsidRDefault="00175C32">
      <w:r>
        <w:rPr>
          <w:rStyle w:val="FootnoteReference"/>
        </w:rPr>
        <w:footnoteRef/>
      </w:r>
      <w:hyperlink r:id="rId14" w:history="1">
        <w:r>
          <w:rPr>
            <w:rStyle w:val="Hyperlink"/>
          </w:rPr>
          <w:t>https://www.advfn.com/stock-market/stock-news/97872103/aquant-s-2026-field-service-benchmark-companies</w:t>
        </w:r>
      </w:hyperlink>
    </w:p>
  </w:footnote>
  <w:footnote w:id="15">
    <w:p w14:paraId="573476FF" w14:textId="77777777" w:rsidR="009D0BE4" w:rsidRDefault="00175C32">
      <w:r>
        <w:rPr>
          <w:rStyle w:val="FootnoteReference"/>
        </w:rPr>
        <w:footnoteRef/>
      </w:r>
      <w:hyperlink r:id="rId15" w:history="1">
        <w:r>
          <w:rPr>
            <w:rStyle w:val="Hyperlink"/>
          </w:rPr>
          <w:t>https://www.advfn.com/stock-market/stock-news/97872103/aquant-s-2026-field-service-benchmark-companies</w:t>
        </w:r>
      </w:hyperlink>
    </w:p>
  </w:footnote>
  <w:footnote w:id="16">
    <w:p w14:paraId="57347700" w14:textId="77777777" w:rsidR="009D0BE4" w:rsidRDefault="00175C32">
      <w:r>
        <w:rPr>
          <w:rStyle w:val="FootnoteReference"/>
        </w:rPr>
        <w:footnoteRef/>
      </w:r>
      <w:hyperlink r:id="rId16" w:history="1">
        <w:r>
          <w:rPr>
            <w:rStyle w:val="Hyperlink"/>
          </w:rPr>
          <w:t>https://www.advfn.com/stock-market/stock-news/97872103/aquant-s-2026-field-service-benchmark-companies</w:t>
        </w:r>
      </w:hyperlink>
    </w:p>
  </w:footnote>
  <w:footnote w:id="17">
    <w:p w14:paraId="57347701" w14:textId="77777777" w:rsidR="009D0BE4" w:rsidRDefault="00175C32">
      <w:r>
        <w:rPr>
          <w:rStyle w:val="FootnoteReference"/>
        </w:rPr>
        <w:footnoteRef/>
      </w:r>
      <w:hyperlink r:id="rId17" w:history="1">
        <w:r>
          <w:rPr>
            <w:rStyle w:val="Hyperlink"/>
          </w:rPr>
          <w:t>https://www.fieldproxy.ai/benchmarks</w:t>
        </w:r>
      </w:hyperlink>
    </w:p>
  </w:footnote>
  <w:footnote w:id="18">
    <w:p w14:paraId="57347702" w14:textId="77777777" w:rsidR="009D0BE4" w:rsidRDefault="00175C32">
      <w:r>
        <w:rPr>
          <w:rStyle w:val="FootnoteReference"/>
        </w:rPr>
        <w:footnoteRef/>
      </w:r>
      <w:hyperlink r:id="rId18" w:history="1">
        <w:r>
          <w:rPr>
            <w:rStyle w:val="Hyperlink"/>
          </w:rPr>
          <w:t>https://jobcamp.co/blog/key-field-service-kpis-in-2025/</w:t>
        </w:r>
      </w:hyperlink>
    </w:p>
  </w:footnote>
  <w:footnote w:id="19">
    <w:p w14:paraId="57347703" w14:textId="77777777" w:rsidR="009D0BE4" w:rsidRDefault="00175C32">
      <w:r>
        <w:rPr>
          <w:rStyle w:val="FootnoteReference"/>
        </w:rPr>
        <w:footnoteRef/>
      </w:r>
      <w:hyperlink r:id="rId19" w:history="1">
        <w:r>
          <w:rPr>
            <w:rStyle w:val="Hyperlink"/>
          </w:rPr>
          <w:t>https://www.ibm.com/products/maximo/ai-asset-management</w:t>
        </w:r>
      </w:hyperlink>
    </w:p>
  </w:footnote>
  <w:footnote w:id="20">
    <w:p w14:paraId="57347704" w14:textId="77777777" w:rsidR="009D0BE4" w:rsidRDefault="00175C32">
      <w:r>
        <w:rPr>
          <w:rStyle w:val="FootnoteReference"/>
        </w:rPr>
        <w:footnoteRef/>
      </w:r>
      <w:hyperlink r:id="rId20" w:history="1">
        <w:r>
          <w:rPr>
            <w:rStyle w:val="Hyperlink"/>
          </w:rPr>
          <w:t>https://jobcamp.co/blog/key-field-service-kpis-in-2025/</w:t>
        </w:r>
      </w:hyperlink>
    </w:p>
  </w:footnote>
  <w:footnote w:id="21">
    <w:p w14:paraId="57347705" w14:textId="77777777" w:rsidR="009D0BE4" w:rsidRDefault="00175C32">
      <w:r>
        <w:rPr>
          <w:rStyle w:val="FootnoteReference"/>
        </w:rPr>
        <w:footnoteRef/>
      </w:r>
      <w:hyperlink r:id="rId21" w:history="1">
        <w:r>
          <w:rPr>
            <w:rStyle w:val="Hyperlink"/>
          </w:rPr>
          <w:t>https://www.microsoft.com/en-us/dynamics-365/blog/business-leader/2024/09/26/harnessing-transformative-ai-for-field-service-excellence/</w:t>
        </w:r>
      </w:hyperlink>
    </w:p>
  </w:footnote>
  <w:footnote w:id="22">
    <w:p w14:paraId="57347706" w14:textId="77777777" w:rsidR="009D0BE4" w:rsidRDefault="00175C32">
      <w:r>
        <w:rPr>
          <w:rStyle w:val="FootnoteReference"/>
        </w:rPr>
        <w:footnoteRef/>
      </w:r>
      <w:hyperlink r:id="rId22" w:history="1">
        <w:r>
          <w:rPr>
            <w:rStyle w:val="Hyperlink"/>
          </w:rPr>
          <w:t>https://www.ibm.com/products/maximo/field-service-management</w:t>
        </w:r>
      </w:hyperlink>
    </w:p>
  </w:footnote>
  <w:footnote w:id="23">
    <w:p w14:paraId="57347707" w14:textId="77777777" w:rsidR="009D0BE4" w:rsidRDefault="00175C32">
      <w:r>
        <w:rPr>
          <w:rStyle w:val="FootnoteReference"/>
        </w:rPr>
        <w:footnoteRef/>
      </w:r>
      <w:hyperlink r:id="rId23" w:history="1">
        <w:r>
          <w:rPr>
            <w:rStyle w:val="Hyperlink"/>
          </w:rPr>
          <w:t>https://www.advfn.com/stock-market/stock-news/97872103/aquant-s-2026-field-service-benchmark-companies</w:t>
        </w:r>
      </w:hyperlink>
    </w:p>
  </w:footnote>
  <w:footnote w:id="24">
    <w:p w14:paraId="57347708" w14:textId="77777777" w:rsidR="009D0BE4" w:rsidRDefault="00175C32">
      <w:r>
        <w:rPr>
          <w:rStyle w:val="FootnoteReference"/>
        </w:rPr>
        <w:footnoteRef/>
      </w:r>
      <w:hyperlink r:id="rId24" w:history="1">
        <w:r>
          <w:rPr>
            <w:rStyle w:val="Hyperlink"/>
          </w:rPr>
          <w:t>https://www.advfn.com/stock-market/stock-news/97872103/aquant-s-2026-field-service-benchmark-companies</w:t>
        </w:r>
      </w:hyperlink>
    </w:p>
  </w:footnote>
  <w:footnote w:id="25">
    <w:p w14:paraId="57347709" w14:textId="77777777" w:rsidR="009D0BE4" w:rsidRDefault="00175C32">
      <w:r>
        <w:rPr>
          <w:rStyle w:val="FootnoteReference"/>
        </w:rPr>
        <w:footnoteRef/>
      </w:r>
      <w:hyperlink r:id="rId25" w:history="1">
        <w:r>
          <w:rPr>
            <w:rStyle w:val="Hyperlink"/>
          </w:rPr>
          <w:t>https://www.geotab.com/CMS-GeneralFiles-production/NA/brochures/2025/field-service-operations/StateofFieldService2025%28ec%29RPT7Geotab.pdf</w:t>
        </w:r>
      </w:hyperlink>
    </w:p>
  </w:footnote>
  <w:footnote w:id="26">
    <w:p w14:paraId="5734770A" w14:textId="77777777" w:rsidR="009D0BE4" w:rsidRDefault="00175C32">
      <w:r>
        <w:rPr>
          <w:rStyle w:val="FootnoteReference"/>
        </w:rPr>
        <w:footnoteRef/>
      </w:r>
      <w:hyperlink r:id="rId26" w:history="1">
        <w:r>
          <w:rPr>
            <w:rStyle w:val="Hyperlink"/>
          </w:rPr>
          <w:t>https://www.weforum.org/stories/2024/10/ai-transforming-factory-floor-artificial-intelligence/</w:t>
        </w:r>
      </w:hyperlink>
    </w:p>
  </w:footnote>
  <w:footnote w:id="27">
    <w:p w14:paraId="5734770B" w14:textId="77777777" w:rsidR="009D0BE4" w:rsidRDefault="00175C32">
      <w:r>
        <w:rPr>
          <w:rStyle w:val="FootnoteReference"/>
        </w:rPr>
        <w:footnoteRef/>
      </w:r>
      <w:hyperlink r:id="rId27" w:history="1">
        <w:r>
          <w:rPr>
            <w:rStyle w:val="Hyperlink"/>
          </w:rPr>
          <w:t>https://jobcamp.co/blog/key-field-service-kpis-in-2025/</w:t>
        </w:r>
      </w:hyperlink>
    </w:p>
  </w:footnote>
  <w:footnote w:id="28">
    <w:p w14:paraId="5734770C" w14:textId="77777777" w:rsidR="009D0BE4" w:rsidRDefault="00175C32">
      <w:r>
        <w:rPr>
          <w:rStyle w:val="FootnoteReference"/>
        </w:rPr>
        <w:footnoteRef/>
      </w:r>
      <w:hyperlink r:id="rId28" w:history="1">
        <w:r>
          <w:rPr>
            <w:rStyle w:val="Hyperlink"/>
          </w:rPr>
          <w:t>https://www.geotab.com/CMS-GeneralFiles-production/NA/brochures/2025/field-service-operations/StateofFieldService2025%28ec%29RPT7Geotab.pdf</w:t>
        </w:r>
      </w:hyperlink>
    </w:p>
  </w:footnote>
  <w:footnote w:id="29">
    <w:p w14:paraId="5734770D" w14:textId="77777777" w:rsidR="009D0BE4" w:rsidRDefault="00175C32">
      <w:r>
        <w:rPr>
          <w:rStyle w:val="FootnoteReference"/>
        </w:rPr>
        <w:footnoteRef/>
      </w:r>
      <w:hyperlink r:id="rId29" w:history="1">
        <w:r>
          <w:rPr>
            <w:rStyle w:val="Hyperlink"/>
          </w:rPr>
          <w:t>https://www.salesforce.com/service/field-service-management/ai-field-service-management-guide/</w:t>
        </w:r>
      </w:hyperlink>
    </w:p>
  </w:footnote>
  <w:footnote w:id="30">
    <w:p w14:paraId="5734770E" w14:textId="77777777" w:rsidR="009D0BE4" w:rsidRDefault="00175C32">
      <w:r>
        <w:rPr>
          <w:rStyle w:val="FootnoteReference"/>
        </w:rPr>
        <w:footnoteRef/>
      </w:r>
      <w:hyperlink r:id="rId30" w:history="1">
        <w:r>
          <w:rPr>
            <w:rStyle w:val="Hyperlink"/>
          </w:rPr>
          <w:t>https://www.advfn.com/stock-market/stock-news/97872103/aquant-s-2026-field-service-benchmark-companies</w:t>
        </w:r>
      </w:hyperlink>
    </w:p>
  </w:footnote>
  <w:footnote w:id="31">
    <w:p w14:paraId="5734770F" w14:textId="77777777" w:rsidR="009D0BE4" w:rsidRDefault="00175C32">
      <w:r>
        <w:rPr>
          <w:rStyle w:val="FootnoteReference"/>
        </w:rPr>
        <w:footnoteRef/>
      </w:r>
      <w:hyperlink r:id="rId31" w:history="1">
        <w:r>
          <w:rPr>
            <w:rStyle w:val="Hyperlink"/>
          </w:rPr>
          <w:t>https://benchmark.aquant.ai/</w:t>
        </w:r>
      </w:hyperlink>
    </w:p>
  </w:footnote>
  <w:footnote w:id="32">
    <w:p w14:paraId="57347710" w14:textId="77777777" w:rsidR="009D0BE4" w:rsidRDefault="00175C32">
      <w:r>
        <w:rPr>
          <w:rStyle w:val="FootnoteReference"/>
        </w:rPr>
        <w:footnoteRef/>
      </w:r>
      <w:hyperlink r:id="rId32" w:history="1">
        <w:r>
          <w:rPr>
            <w:rStyle w:val="Hyperlink"/>
          </w:rPr>
          <w:t>https://benchmark.aquant.ai/</w:t>
        </w:r>
      </w:hyperlink>
    </w:p>
  </w:footnote>
  <w:footnote w:id="33">
    <w:p w14:paraId="57347711" w14:textId="77777777" w:rsidR="009D0BE4" w:rsidRDefault="00175C32">
      <w:r>
        <w:rPr>
          <w:rStyle w:val="FootnoteReference"/>
        </w:rPr>
        <w:footnoteRef/>
      </w:r>
      <w:hyperlink r:id="rId33" w:history="1">
        <w:r>
          <w:rPr>
            <w:rStyle w:val="Hyperlink"/>
          </w:rPr>
          <w:t>https://www.advfn.com/stock-market/stock-news/97872103/aquant-s-2026-field-service-benchmark-companies</w:t>
        </w:r>
      </w:hyperlink>
    </w:p>
  </w:footnote>
  <w:footnote w:id="34">
    <w:p w14:paraId="57347712" w14:textId="77777777" w:rsidR="009D0BE4" w:rsidRDefault="00175C32">
      <w:r>
        <w:rPr>
          <w:rStyle w:val="FootnoteReference"/>
        </w:rPr>
        <w:footnoteRef/>
      </w:r>
      <w:hyperlink r:id="rId34" w:history="1">
        <w:r>
          <w:rPr>
            <w:rStyle w:val="Hyperlink"/>
          </w:rPr>
          <w:t>https://www.advfn.com/stock-market/stock-news/97872103/aquant-s-2026-field-service-benchmark-companies</w:t>
        </w:r>
      </w:hyperlink>
    </w:p>
  </w:footnote>
  <w:footnote w:id="35">
    <w:p w14:paraId="57347713" w14:textId="77777777" w:rsidR="009D0BE4" w:rsidRDefault="00175C32">
      <w:r>
        <w:rPr>
          <w:rStyle w:val="FootnoteReference"/>
        </w:rPr>
        <w:footnoteRef/>
      </w:r>
      <w:hyperlink r:id="rId35" w:history="1">
        <w:r>
          <w:rPr>
            <w:rStyle w:val="Hyperlink"/>
          </w:rPr>
          <w:t>https://www.geotab.com/CMS-GeneralFiles-production/NA/brochures/2025/field-service-operations/StateofFieldService2025%28ec%29RPT7Geotab.pdf</w:t>
        </w:r>
      </w:hyperlink>
    </w:p>
  </w:footnote>
  <w:footnote w:id="36">
    <w:p w14:paraId="57347714" w14:textId="77777777" w:rsidR="009D0BE4" w:rsidRDefault="00175C32">
      <w:r>
        <w:rPr>
          <w:rStyle w:val="FootnoteReference"/>
        </w:rPr>
        <w:footnoteRef/>
      </w:r>
      <w:hyperlink r:id="rId36" w:history="1">
        <w:r>
          <w:rPr>
            <w:rStyle w:val="Hyperlink"/>
          </w:rPr>
          <w:t>https://www.salesforce.com/service/field-service-management/ai-field-service-management-guide/</w:t>
        </w:r>
      </w:hyperlink>
    </w:p>
  </w:footnote>
  <w:footnote w:id="37">
    <w:p w14:paraId="57347715" w14:textId="77777777" w:rsidR="009D0BE4" w:rsidRDefault="00175C32">
      <w:r>
        <w:rPr>
          <w:rStyle w:val="FootnoteReference"/>
        </w:rPr>
        <w:footnoteRef/>
      </w:r>
      <w:hyperlink r:id="rId37" w:history="1">
        <w:r>
          <w:rPr>
            <w:rStyle w:val="Hyperlink"/>
          </w:rPr>
          <w:t>https://www.microsoft.com/en-us/dynamics-365/blog/business-leader/2024/09/26/harnessing-transformative-ai-for-field-service-excellence/</w:t>
        </w:r>
      </w:hyperlink>
    </w:p>
  </w:footnote>
  <w:footnote w:id="38">
    <w:p w14:paraId="57347716" w14:textId="77777777" w:rsidR="009D0BE4" w:rsidRDefault="00175C32">
      <w:r>
        <w:rPr>
          <w:rStyle w:val="FootnoteReference"/>
        </w:rPr>
        <w:footnoteRef/>
      </w:r>
      <w:hyperlink r:id="rId38" w:history="1">
        <w:r>
          <w:rPr>
            <w:rStyle w:val="Hyperlink"/>
          </w:rPr>
          <w:t>https://www.advfn.com/stock-market/stock-news/97872103/aquant-s-2026-field-service-benchmark-companies</w:t>
        </w:r>
      </w:hyperlink>
    </w:p>
  </w:footnote>
  <w:footnote w:id="39">
    <w:p w14:paraId="57347717" w14:textId="77777777" w:rsidR="009D0BE4" w:rsidRDefault="00175C32">
      <w:r>
        <w:rPr>
          <w:rStyle w:val="FootnoteReference"/>
        </w:rPr>
        <w:footnoteRef/>
      </w:r>
      <w:hyperlink r:id="rId39" w:history="1">
        <w:r>
          <w:rPr>
            <w:rStyle w:val="Hyperlink"/>
          </w:rPr>
          <w:t>https://www.advfn.com/stock-market/stock-news/97872103/aquant-s-2026-field-service-benchmark-companies</w:t>
        </w:r>
      </w:hyperlink>
    </w:p>
  </w:footnote>
  <w:footnote w:id="40">
    <w:p w14:paraId="57347718" w14:textId="77777777" w:rsidR="009D0BE4" w:rsidRDefault="00175C32">
      <w:r>
        <w:rPr>
          <w:rStyle w:val="FootnoteReference"/>
        </w:rPr>
        <w:footnoteRef/>
      </w:r>
      <w:hyperlink r:id="rId40" w:history="1">
        <w:r>
          <w:rPr>
            <w:rStyle w:val="Hyperlink"/>
          </w:rPr>
          <w:t>https://www.advfn.com/stock-market/stock-news/97872103/aquant-s-2026-field-service-benchmark-companies</w:t>
        </w:r>
      </w:hyperlink>
    </w:p>
  </w:footnote>
  <w:footnote w:id="41">
    <w:p w14:paraId="57347719" w14:textId="77777777" w:rsidR="009D0BE4" w:rsidRDefault="00175C32">
      <w:r>
        <w:rPr>
          <w:rStyle w:val="FootnoteReference"/>
        </w:rPr>
        <w:footnoteRef/>
      </w:r>
      <w:hyperlink r:id="rId41" w:history="1">
        <w:r>
          <w:rPr>
            <w:rStyle w:val="Hyperlink"/>
          </w:rPr>
          <w:t>https://discover.aquant.ai/field-service-benchmark-report</w:t>
        </w:r>
      </w:hyperlink>
    </w:p>
  </w:footnote>
  <w:footnote w:id="42">
    <w:p w14:paraId="5734771A" w14:textId="77777777" w:rsidR="009D0BE4" w:rsidRDefault="00175C32">
      <w:r>
        <w:rPr>
          <w:rStyle w:val="FootnoteReference"/>
        </w:rPr>
        <w:footnoteRef/>
      </w:r>
      <w:hyperlink r:id="rId42" w:history="1">
        <w:r>
          <w:rPr>
            <w:rStyle w:val="Hyperlink"/>
          </w:rPr>
          <w:t>https://discover.aquant.ai/field-service-benchmark-report</w:t>
        </w:r>
      </w:hyperlink>
    </w:p>
  </w:footnote>
  <w:footnote w:id="43">
    <w:p w14:paraId="5734771B" w14:textId="77777777" w:rsidR="009D0BE4" w:rsidRDefault="00175C32">
      <w:r>
        <w:rPr>
          <w:rStyle w:val="FootnoteReference"/>
        </w:rPr>
        <w:footnoteRef/>
      </w:r>
      <w:hyperlink r:id="rId43" w:history="1">
        <w:r>
          <w:rPr>
            <w:rStyle w:val="Hyperlink"/>
          </w:rPr>
          <w:t>https://www.salesforce.com/service/field-service-management/ai-field-service-management-guide/</w:t>
        </w:r>
      </w:hyperlink>
    </w:p>
  </w:footnote>
  <w:footnote w:id="44">
    <w:p w14:paraId="5734771C" w14:textId="77777777" w:rsidR="009D0BE4" w:rsidRDefault="00175C32">
      <w:r>
        <w:rPr>
          <w:rStyle w:val="FootnoteReference"/>
        </w:rPr>
        <w:footnoteRef/>
      </w:r>
      <w:hyperlink r:id="rId44" w:history="1">
        <w:r>
          <w:rPr>
            <w:rStyle w:val="Hyperlink"/>
          </w:rPr>
          <w:t>https://jobcamp.co/blog/key-field-service-kpis-in-2025/</w:t>
        </w:r>
      </w:hyperlink>
    </w:p>
  </w:footnote>
  <w:footnote w:id="45">
    <w:p w14:paraId="5734771D" w14:textId="77777777" w:rsidR="009D0BE4" w:rsidRDefault="00175C32">
      <w:r>
        <w:rPr>
          <w:rStyle w:val="FootnoteReference"/>
        </w:rPr>
        <w:footnoteRef/>
      </w:r>
      <w:hyperlink r:id="rId45" w:history="1">
        <w:r>
          <w:rPr>
            <w:rStyle w:val="Hyperlink"/>
          </w:rPr>
          <w:t>https://www.salesforce.com/service/field-service-management/ai-field-service-management-guide/</w:t>
        </w:r>
      </w:hyperlink>
    </w:p>
  </w:footnote>
  <w:footnote w:id="46">
    <w:p w14:paraId="5734771E" w14:textId="77777777" w:rsidR="009D0BE4" w:rsidRDefault="00175C32">
      <w:r>
        <w:rPr>
          <w:rStyle w:val="FootnoteReference"/>
        </w:rPr>
        <w:footnoteRef/>
      </w:r>
      <w:hyperlink r:id="rId46" w:history="1">
        <w:r>
          <w:rPr>
            <w:rStyle w:val="Hyperlink"/>
          </w:rPr>
          <w:t>https://www.salesforce.com/service/field-service-management/ai-field-service-management-guide/</w:t>
        </w:r>
      </w:hyperlink>
    </w:p>
  </w:footnote>
  <w:footnote w:id="47">
    <w:p w14:paraId="5734771F" w14:textId="77777777" w:rsidR="009D0BE4" w:rsidRDefault="00175C32">
      <w:r>
        <w:rPr>
          <w:rStyle w:val="FootnoteReference"/>
        </w:rPr>
        <w:footnoteRef/>
      </w:r>
      <w:hyperlink r:id="rId47" w:history="1">
        <w:r>
          <w:rPr>
            <w:rStyle w:val="Hyperlink"/>
          </w:rPr>
          <w:t>https://www.microsoft.com/en-us/dynamics-365/blog/business-leader/2024/09/26/harnessing-transformative-ai-for-field-service-excellence/</w:t>
        </w:r>
      </w:hyperlink>
    </w:p>
  </w:footnote>
  <w:footnote w:id="48">
    <w:p w14:paraId="57347720" w14:textId="77777777" w:rsidR="009D0BE4" w:rsidRDefault="00175C32">
      <w:r>
        <w:rPr>
          <w:rStyle w:val="FootnoteReference"/>
        </w:rPr>
        <w:footnoteRef/>
      </w:r>
      <w:hyperlink r:id="rId48" w:history="1">
        <w:r>
          <w:rPr>
            <w:rStyle w:val="Hyperlink"/>
          </w:rPr>
          <w:t>https://www.geotab.com/CMS-GeneralFiles-production/NA/brochures/2025/field-service-operations/StateofFieldService2025%28ec%29RPT7Geotab.pdf</w:t>
        </w:r>
      </w:hyperlink>
    </w:p>
  </w:footnote>
  <w:footnote w:id="49">
    <w:p w14:paraId="57347721" w14:textId="77777777" w:rsidR="009D0BE4" w:rsidRDefault="00175C32">
      <w:r>
        <w:rPr>
          <w:rStyle w:val="FootnoteReference"/>
        </w:rPr>
        <w:footnoteRef/>
      </w:r>
      <w:hyperlink r:id="rId49" w:history="1">
        <w:r>
          <w:rPr>
            <w:rStyle w:val="Hyperlink"/>
          </w:rPr>
          <w:t>https://www.microsoft.com/en-us/dynamics-365/blog/business-leader/2024/09/26/harnessing-transformative-ai-for-field-service-excellence/</w:t>
        </w:r>
      </w:hyperlink>
    </w:p>
  </w:footnote>
  <w:footnote w:id="50">
    <w:p w14:paraId="57347722" w14:textId="77777777" w:rsidR="009D0BE4" w:rsidRDefault="00175C32">
      <w:r>
        <w:rPr>
          <w:rStyle w:val="FootnoteReference"/>
        </w:rPr>
        <w:footnoteRef/>
      </w:r>
      <w:hyperlink r:id="rId50" w:history="1">
        <w:r>
          <w:rPr>
            <w:rStyle w:val="Hyperlink"/>
          </w:rPr>
          <w:t>https://www.deloitte.com/global/en/Industries/consumer/analysis/using-ai-in-predictive-maintenance-to-forecast-the-future.html</w:t>
        </w:r>
      </w:hyperlink>
    </w:p>
  </w:footnote>
  <w:footnote w:id="51">
    <w:p w14:paraId="57347723" w14:textId="77777777" w:rsidR="009D0BE4" w:rsidRDefault="00175C32">
      <w:r>
        <w:rPr>
          <w:rStyle w:val="FootnoteReference"/>
        </w:rPr>
        <w:footnoteRef/>
      </w:r>
      <w:hyperlink r:id="rId51" w:history="1">
        <w:r>
          <w:rPr>
            <w:rStyle w:val="Hyperlink"/>
          </w:rPr>
          <w:t>https://www.mckinsey.com/capabilities/operations/our-insights/prediction-at-scale-how-industry-can-get-more-value-out-of-maintenance</w:t>
        </w:r>
      </w:hyperlink>
    </w:p>
  </w:footnote>
  <w:footnote w:id="52">
    <w:p w14:paraId="57347724" w14:textId="77777777" w:rsidR="009D0BE4" w:rsidRDefault="00175C32">
      <w:r>
        <w:rPr>
          <w:rStyle w:val="FootnoteReference"/>
        </w:rPr>
        <w:footnoteRef/>
      </w:r>
      <w:hyperlink r:id="rId52" w:history="1">
        <w:r>
          <w:rPr>
            <w:rStyle w:val="Hyperlink"/>
          </w:rPr>
          <w:t>https://www.tsia.com/blog/state-of-field-services-2026-ai</w:t>
        </w:r>
      </w:hyperlink>
    </w:p>
  </w:footnote>
  <w:footnote w:id="53">
    <w:p w14:paraId="57347725" w14:textId="77777777" w:rsidR="009D0BE4" w:rsidRDefault="00175C32">
      <w:r>
        <w:rPr>
          <w:rStyle w:val="FootnoteReference"/>
        </w:rPr>
        <w:footnoteRef/>
      </w:r>
      <w:hyperlink r:id="rId53" w:history="1">
        <w:r>
          <w:rPr>
            <w:rStyle w:val="Hyperlink"/>
          </w:rPr>
          <w:t>https://www.advfn.com/stock-market/stock-news/97872103/aquant-s-2026-field-service-benchmark-companies</w:t>
        </w:r>
      </w:hyperlink>
    </w:p>
  </w:footnote>
  <w:footnote w:id="54">
    <w:p w14:paraId="57347726" w14:textId="77777777" w:rsidR="009D0BE4" w:rsidRDefault="00175C32">
      <w:r>
        <w:rPr>
          <w:rStyle w:val="FootnoteReference"/>
        </w:rPr>
        <w:footnoteRef/>
      </w:r>
      <w:hyperlink r:id="rId54" w:history="1">
        <w:r>
          <w:rPr>
            <w:rStyle w:val="Hyperlink"/>
          </w:rPr>
          <w:t>https://www.fieldproxy.ai/benchmarks</w:t>
        </w:r>
      </w:hyperlink>
    </w:p>
  </w:footnote>
  <w:footnote w:id="55">
    <w:p w14:paraId="57347727" w14:textId="77777777" w:rsidR="009D0BE4" w:rsidRDefault="00175C32">
      <w:r>
        <w:rPr>
          <w:rStyle w:val="FootnoteReference"/>
        </w:rPr>
        <w:footnoteRef/>
      </w:r>
      <w:hyperlink r:id="rId55" w:history="1">
        <w:r>
          <w:rPr>
            <w:rStyle w:val="Hyperlink"/>
          </w:rPr>
          <w:t>https://www.advfn.com/stock-market/stock-news/97872103/aquant-s-2026-field-service-benchmark-companies</w:t>
        </w:r>
      </w:hyperlink>
    </w:p>
  </w:footnote>
  <w:footnote w:id="56">
    <w:p w14:paraId="57347728" w14:textId="77777777" w:rsidR="009D0BE4" w:rsidRDefault="00175C32">
      <w:r>
        <w:rPr>
          <w:rStyle w:val="FootnoteReference"/>
        </w:rPr>
        <w:footnoteRef/>
      </w:r>
      <w:hyperlink r:id="rId56" w:history="1">
        <w:r>
          <w:rPr>
            <w:rStyle w:val="Hyperlink"/>
          </w:rPr>
          <w:t>https://www.advfn.com/stock-market/stock-news/97872103/aquant-s-2026-field-service-benchmark-companies</w:t>
        </w:r>
      </w:hyperlink>
    </w:p>
  </w:footnote>
  <w:footnote w:id="57">
    <w:p w14:paraId="57347729" w14:textId="77777777" w:rsidR="009D0BE4" w:rsidRDefault="00175C32">
      <w:r>
        <w:rPr>
          <w:rStyle w:val="FootnoteReference"/>
        </w:rPr>
        <w:footnoteRef/>
      </w:r>
      <w:hyperlink r:id="rId57" w:history="1">
        <w:r>
          <w:rPr>
            <w:rStyle w:val="Hyperlink"/>
          </w:rPr>
          <w:t>https://www.advfn.com/stock-market/stock-news/97872103/aquant-s-2026-field-service-benchmark-companies</w:t>
        </w:r>
      </w:hyperlink>
    </w:p>
  </w:footnote>
  <w:footnote w:id="58">
    <w:p w14:paraId="5734772A" w14:textId="77777777" w:rsidR="009D0BE4" w:rsidRDefault="00175C32">
      <w:r>
        <w:rPr>
          <w:rStyle w:val="FootnoteReference"/>
        </w:rPr>
        <w:footnoteRef/>
      </w:r>
      <w:hyperlink r:id="rId58" w:history="1">
        <w:r>
          <w:rPr>
            <w:rStyle w:val="Hyperlink"/>
          </w:rPr>
          <w:t>https://benchmark.aquant.ai/</w:t>
        </w:r>
      </w:hyperlink>
    </w:p>
  </w:footnote>
  <w:footnote w:id="59">
    <w:p w14:paraId="5734772B" w14:textId="77777777" w:rsidR="009D0BE4" w:rsidRDefault="00175C32">
      <w:r>
        <w:rPr>
          <w:rStyle w:val="FootnoteReference"/>
        </w:rPr>
        <w:footnoteRef/>
      </w:r>
      <w:hyperlink r:id="rId59" w:history="1">
        <w:r>
          <w:rPr>
            <w:rStyle w:val="Hyperlink"/>
          </w:rPr>
          <w:t>https://www.advfn.com/stock-market/stock-news/97872103/aquant-s-2026-field-service-benchmark-companies</w:t>
        </w:r>
      </w:hyperlink>
    </w:p>
  </w:footnote>
  <w:footnote w:id="60">
    <w:p w14:paraId="5734772C" w14:textId="77777777" w:rsidR="009D0BE4" w:rsidRDefault="00175C32">
      <w:r>
        <w:rPr>
          <w:rStyle w:val="FootnoteReference"/>
        </w:rPr>
        <w:footnoteRef/>
      </w:r>
      <w:hyperlink r:id="rId60" w:history="1">
        <w:r>
          <w:rPr>
            <w:rStyle w:val="Hyperlink"/>
          </w:rPr>
          <w:t>https://www.advfn.com/stock-market/stock-news/97872103/aquant-s-2026-field-service-benchmark-companies</w:t>
        </w:r>
      </w:hyperlink>
    </w:p>
  </w:footnote>
  <w:footnote w:id="61">
    <w:p w14:paraId="5734772D" w14:textId="77777777" w:rsidR="009D0BE4" w:rsidRDefault="00175C32">
      <w:r>
        <w:rPr>
          <w:rStyle w:val="FootnoteReference"/>
        </w:rPr>
        <w:footnoteRef/>
      </w:r>
      <w:hyperlink r:id="rId61" w:history="1">
        <w:r>
          <w:rPr>
            <w:rStyle w:val="Hyperlink"/>
          </w:rPr>
          <w:t>https://www.advfn.com/stock-market/stock-news/97872103/aquant-s-2026-field-service-benchmark-companies</w:t>
        </w:r>
      </w:hyperlink>
    </w:p>
  </w:footnote>
  <w:footnote w:id="62">
    <w:p w14:paraId="5734772E" w14:textId="77777777" w:rsidR="009D0BE4" w:rsidRDefault="00175C32">
      <w:r>
        <w:rPr>
          <w:rStyle w:val="FootnoteReference"/>
        </w:rPr>
        <w:footnoteRef/>
      </w:r>
      <w:hyperlink r:id="rId62" w:history="1">
        <w:r>
          <w:rPr>
            <w:rStyle w:val="Hyperlink"/>
          </w:rPr>
          <w:t>https://discover.aquant.ai/field-service-benchmark-report</w:t>
        </w:r>
      </w:hyperlink>
    </w:p>
  </w:footnote>
  <w:footnote w:id="63">
    <w:p w14:paraId="5734772F" w14:textId="77777777" w:rsidR="009D0BE4" w:rsidRDefault="00175C32">
      <w:r>
        <w:rPr>
          <w:rStyle w:val="FootnoteReference"/>
        </w:rPr>
        <w:footnoteRef/>
      </w:r>
      <w:hyperlink r:id="rId63" w:history="1">
        <w:r>
          <w:rPr>
            <w:rStyle w:val="Hyperlink"/>
          </w:rPr>
          <w:t>https://www.advfn.com/stock-market/stock-news/97872103/aquant-s-2026-field-service-benchmark-companies</w:t>
        </w:r>
      </w:hyperlink>
    </w:p>
  </w:footnote>
  <w:footnote w:id="64">
    <w:p w14:paraId="57347730" w14:textId="77777777" w:rsidR="009D0BE4" w:rsidRDefault="00175C32">
      <w:r>
        <w:rPr>
          <w:rStyle w:val="FootnoteReference"/>
        </w:rPr>
        <w:footnoteRef/>
      </w:r>
      <w:hyperlink r:id="rId64" w:history="1">
        <w:r>
          <w:rPr>
            <w:rStyle w:val="Hyperlink"/>
          </w:rPr>
          <w:t>https://www.fieldproxy.ai/benchmarks</w:t>
        </w:r>
      </w:hyperlink>
    </w:p>
  </w:footnote>
  <w:footnote w:id="65">
    <w:p w14:paraId="57347731" w14:textId="77777777" w:rsidR="009D0BE4" w:rsidRDefault="00175C32">
      <w:r>
        <w:rPr>
          <w:rStyle w:val="FootnoteReference"/>
        </w:rPr>
        <w:footnoteRef/>
      </w:r>
      <w:hyperlink r:id="rId65" w:history="1">
        <w:r>
          <w:rPr>
            <w:rStyle w:val="Hyperlink"/>
          </w:rPr>
          <w:t>https://www.ibm.com/products/maximo/ai-asset-management</w:t>
        </w:r>
      </w:hyperlink>
    </w:p>
  </w:footnote>
  <w:footnote w:id="66">
    <w:p w14:paraId="57347732" w14:textId="77777777" w:rsidR="009D0BE4" w:rsidRDefault="00175C32">
      <w:r>
        <w:rPr>
          <w:rStyle w:val="FootnoteReference"/>
        </w:rPr>
        <w:footnoteRef/>
      </w:r>
      <w:hyperlink r:id="rId66" w:history="1">
        <w:r>
          <w:rPr>
            <w:rStyle w:val="Hyperlink"/>
          </w:rPr>
          <w:t>https://www.fieldproxy.ai/benchmarks</w:t>
        </w:r>
      </w:hyperlink>
    </w:p>
  </w:footnote>
  <w:footnote w:id="67">
    <w:p w14:paraId="57347733" w14:textId="77777777" w:rsidR="009D0BE4" w:rsidRDefault="00175C32">
      <w:r>
        <w:rPr>
          <w:rStyle w:val="FootnoteReference"/>
        </w:rPr>
        <w:footnoteRef/>
      </w:r>
      <w:hyperlink r:id="rId67" w:history="1">
        <w:r>
          <w:rPr>
            <w:rStyle w:val="Hyperlink"/>
          </w:rPr>
          <w:t>https://www.tsia.com/blog/state-of-field-services-2026-ai</w:t>
        </w:r>
      </w:hyperlink>
    </w:p>
  </w:footnote>
  <w:footnote w:id="68">
    <w:p w14:paraId="57347734" w14:textId="77777777" w:rsidR="009D0BE4" w:rsidRDefault="00175C32">
      <w:r>
        <w:rPr>
          <w:rStyle w:val="FootnoteReference"/>
        </w:rPr>
        <w:footnoteRef/>
      </w:r>
      <w:hyperlink r:id="rId68" w:history="1">
        <w:r>
          <w:rPr>
            <w:rStyle w:val="Hyperlink"/>
          </w:rPr>
          <w:t>https://www.geotab.com/CMS-GeneralFiles-production/NA/brochures/2025/field-service-operations/StateofFieldService2025%28ec%29RPT7Geotab.pdf</w:t>
        </w:r>
      </w:hyperlink>
    </w:p>
  </w:footnote>
  <w:footnote w:id="69">
    <w:p w14:paraId="57347735" w14:textId="77777777" w:rsidR="009D0BE4" w:rsidRDefault="00175C32">
      <w:r>
        <w:rPr>
          <w:rStyle w:val="FootnoteReference"/>
        </w:rPr>
        <w:footnoteRef/>
      </w:r>
      <w:hyperlink r:id="rId69" w:history="1">
        <w:r>
          <w:rPr>
            <w:rStyle w:val="Hyperlink"/>
          </w:rPr>
          <w:t>https://www.salesforce.com/service/field-service-management/ai-field-service-management-guide/</w:t>
        </w:r>
      </w:hyperlink>
    </w:p>
  </w:footnote>
  <w:footnote w:id="70">
    <w:p w14:paraId="57347736" w14:textId="77777777" w:rsidR="009D0BE4" w:rsidRDefault="00175C32">
      <w:r>
        <w:rPr>
          <w:rStyle w:val="FootnoteReference"/>
        </w:rPr>
        <w:footnoteRef/>
      </w:r>
      <w:hyperlink r:id="rId70" w:history="1">
        <w:r>
          <w:rPr>
            <w:rStyle w:val="Hyperlink"/>
          </w:rPr>
          <w:t>https://www.ibm.com/products/maximo/field-service-management</w:t>
        </w:r>
      </w:hyperlink>
    </w:p>
  </w:footnote>
  <w:footnote w:id="71">
    <w:p w14:paraId="57347737" w14:textId="77777777" w:rsidR="009D0BE4" w:rsidRDefault="00175C32">
      <w:r>
        <w:rPr>
          <w:rStyle w:val="FootnoteReference"/>
        </w:rPr>
        <w:footnoteRef/>
      </w:r>
      <w:hyperlink r:id="rId71" w:history="1">
        <w:r>
          <w:rPr>
            <w:rStyle w:val="Hyperlink"/>
          </w:rPr>
          <w:t>https://www.ibm.com/products/maximo/ai-asset-management</w:t>
        </w:r>
      </w:hyperlink>
    </w:p>
  </w:footnote>
  <w:footnote w:id="72">
    <w:p w14:paraId="57347738" w14:textId="77777777" w:rsidR="009D0BE4" w:rsidRDefault="00175C32">
      <w:r>
        <w:rPr>
          <w:rStyle w:val="FootnoteReference"/>
        </w:rPr>
        <w:footnoteRef/>
      </w:r>
      <w:hyperlink r:id="rId72" w:history="1">
        <w:r>
          <w:rPr>
            <w:rStyle w:val="Hyperlink"/>
          </w:rPr>
          <w:t>https://www.ibm.com/products/maximo/ai-asset-management</w:t>
        </w:r>
      </w:hyperlink>
    </w:p>
  </w:footnote>
  <w:footnote w:id="73">
    <w:p w14:paraId="57347739" w14:textId="77777777" w:rsidR="009D0BE4" w:rsidRDefault="00175C32">
      <w:r>
        <w:rPr>
          <w:rStyle w:val="FootnoteReference"/>
        </w:rPr>
        <w:footnoteRef/>
      </w:r>
      <w:hyperlink r:id="rId73" w:history="1">
        <w:r>
          <w:rPr>
            <w:rStyle w:val="Hyperlink"/>
          </w:rPr>
          <w:t>https://learn.microsoft.com/en-us/dynamics365/release-plan/2025wave1/service/dynamics365-field-service/</w:t>
        </w:r>
      </w:hyperlink>
    </w:p>
  </w:footnote>
  <w:footnote w:id="74">
    <w:p w14:paraId="5734773A" w14:textId="77777777" w:rsidR="009D0BE4" w:rsidRDefault="00175C32">
      <w:r>
        <w:rPr>
          <w:rStyle w:val="FootnoteReference"/>
        </w:rPr>
        <w:footnoteRef/>
      </w:r>
      <w:hyperlink r:id="rId74" w:history="1">
        <w:r>
          <w:rPr>
            <w:rStyle w:val="Hyperlink"/>
          </w:rPr>
          <w:t>https://www.microsoft.com/en-us/dynamics-365/blog/business-leader/2024/09/26/harnessing-transformative-ai-for-field-service-excellence/</w:t>
        </w:r>
      </w:hyperlink>
    </w:p>
  </w:footnote>
  <w:footnote w:id="75">
    <w:p w14:paraId="5734773B" w14:textId="77777777" w:rsidR="009D0BE4" w:rsidRDefault="00175C32">
      <w:r>
        <w:rPr>
          <w:rStyle w:val="FootnoteReference"/>
        </w:rPr>
        <w:footnoteRef/>
      </w:r>
      <w:hyperlink r:id="rId75" w:history="1">
        <w:r>
          <w:rPr>
            <w:rStyle w:val="Hyperlink"/>
          </w:rPr>
          <w:t>https://thetechnicalseller-my.sharepoint.com/personal/pierre_thetechnicalseller_com/_layouts/15/Doc.aspx?sourcedoc=%7B006BE373-0A58-49F3-9872-A9ECD7BD2E25%7D\&amp;file=Alithya%20Field%20Service%20Practice%20-%20ABM%20Landing%20Page.docx\&amp;action=default\&amp;mobileredirect=true\&amp;DefaultItemOpen=1</w:t>
        </w:r>
      </w:hyperlink>
    </w:p>
  </w:footnote>
  <w:footnote w:id="76">
    <w:p w14:paraId="5734773C" w14:textId="77777777" w:rsidR="009D0BE4" w:rsidRDefault="00175C32">
      <w:r>
        <w:rPr>
          <w:rStyle w:val="FootnoteReference"/>
        </w:rPr>
        <w:footnoteRef/>
      </w:r>
      <w:hyperlink r:id="rId76" w:history="1">
        <w:r>
          <w:rPr>
            <w:rStyle w:val="Hyperlink"/>
          </w:rPr>
          <w:t>https://www.salesforce.com/service/field-service-management/ai-field-service-management-guide/</w:t>
        </w:r>
      </w:hyperlink>
    </w:p>
  </w:footnote>
  <w:footnote w:id="77">
    <w:p w14:paraId="5734773D" w14:textId="77777777" w:rsidR="009D0BE4" w:rsidRDefault="00175C32">
      <w:r>
        <w:rPr>
          <w:rStyle w:val="FootnoteReference"/>
        </w:rPr>
        <w:footnoteRef/>
      </w:r>
      <w:hyperlink r:id="rId77" w:history="1">
        <w:r>
          <w:rPr>
            <w:rStyle w:val="Hyperlink"/>
          </w:rPr>
          <w:t>https://www.salesforce.com/service/field-service-management/ai-field-service-management-guide/</w:t>
        </w:r>
      </w:hyperlink>
    </w:p>
  </w:footnote>
  <w:footnote w:id="78">
    <w:p w14:paraId="5734773E" w14:textId="77777777" w:rsidR="009D0BE4" w:rsidRDefault="00175C32">
      <w:r>
        <w:rPr>
          <w:rStyle w:val="FootnoteReference"/>
        </w:rPr>
        <w:footnoteRef/>
      </w:r>
      <w:hyperlink r:id="rId78" w:history="1">
        <w:r>
          <w:rPr>
            <w:rStyle w:val="Hyperlink"/>
          </w:rPr>
          <w:t>https://www.salesforce.com/service/field-service-management/ai-field-service-management-guide/</w:t>
        </w:r>
      </w:hyperlink>
    </w:p>
  </w:footnote>
  <w:footnote w:id="79">
    <w:p w14:paraId="5734773F" w14:textId="77777777" w:rsidR="009D0BE4" w:rsidRDefault="00175C32">
      <w:r>
        <w:rPr>
          <w:rStyle w:val="FootnoteReference"/>
        </w:rPr>
        <w:footnoteRef/>
      </w:r>
      <w:hyperlink r:id="rId79" w:history="1">
        <w:r>
          <w:rPr>
            <w:rStyle w:val="Hyperlink"/>
          </w:rPr>
          <w:t>https://www.weforum.org/stories/2024/10/ai-transforming-factory-floor-artificial-intelligence/</w:t>
        </w:r>
      </w:hyperlink>
    </w:p>
  </w:footnote>
  <w:footnote w:id="80">
    <w:p w14:paraId="57347740" w14:textId="77777777" w:rsidR="009D0BE4" w:rsidRDefault="00175C32">
      <w:r>
        <w:rPr>
          <w:rStyle w:val="FootnoteReference"/>
        </w:rPr>
        <w:footnoteRef/>
      </w:r>
      <w:hyperlink r:id="rId80" w:history="1">
        <w:r>
          <w:rPr>
            <w:rStyle w:val="Hyperlink"/>
          </w:rPr>
          <w:t>https://m365.cloud.microsoft/chat/pages/eyJ1IjoiaHR0cHM6Ly90aGV0ZWNobmljYWxzZWxsZXIuc2hhcmVwb2ludC5jb20vY29udGVudHN0b3JhZ2UveDhGTk8teHRza3VDUlgyX2ZNVEhMWVpOaTJsUW91ZEx2SS1mbGo4aENvZz9uYXY9Y3owbE1rWmpiMjUwWlc1MGMzUnZjbUZuWlNVeVJuZzRSazVQSlRKRWVIUnphM1ZEVWxneUpUVkdaazFVU0V4WldrNXBNbXhSYjNWa1RIWkpKVEpFWm14cU9HaERiMmNtWkQxaUpUSXhkVTFEV0d4RGFteFBWV2xEUTBaMFlrZDNiMUZtZFdFelVqSlVkVEp5VWt4dlMwZDBOMDA1V25weGRscDNiRlZDWld0MmRsTlpNVmg1T1hBMVdtVktOU1ptUFRBeFFrWXpXa1F5TlUwM1dVaFROa2xPU0ZNMVFscFVOa2d6VWpkWVJWSldOMUltWXow</w:t>
        </w:r>
        <w:r>
          <w:rPr>
            <w:rStyle w:val="Hyperlink"/>
          </w:rPr>
          <w:t>bE1rWSJ9?auth=2</w:t>
        </w:r>
      </w:hyperlink>
    </w:p>
  </w:footnote>
  <w:footnote w:id="81">
    <w:p w14:paraId="57347741" w14:textId="77777777" w:rsidR="009D0BE4" w:rsidRDefault="00175C32">
      <w:r>
        <w:rPr>
          <w:rStyle w:val="FootnoteReference"/>
        </w:rPr>
        <w:footnoteRef/>
      </w:r>
      <w:hyperlink r:id="rId81" w:history="1">
        <w:r>
          <w:rPr>
            <w:rStyle w:val="Hyperlink"/>
          </w:rPr>
          <w:t>https://www.ibm.com/products/maximo/ai-asset-management</w:t>
        </w:r>
      </w:hyperlink>
    </w:p>
  </w:footnote>
  <w:footnote w:id="82">
    <w:p w14:paraId="57347742" w14:textId="77777777" w:rsidR="009D0BE4" w:rsidRDefault="00175C32">
      <w:r>
        <w:rPr>
          <w:rStyle w:val="FootnoteReference"/>
        </w:rPr>
        <w:footnoteRef/>
      </w:r>
      <w:hyperlink r:id="rId82" w:history="1">
        <w:r>
          <w:rPr>
            <w:rStyle w:val="Hyperlink"/>
          </w:rPr>
          <w:t>https://thetechnicalseller-my.sharepoint.com/personal/pierre_thetechnicalseller_com/_layouts/15/Doc.aspx?sourcedoc=%7B14198B87-92B3-4B6C-AE4F-ADE05A2E13CE%7D\&amp;file=Field_Service_Transition_Roadmap.pptx\&amp;action=edit\&amp;mobileredirect=true\&amp;DefaultItemOpen=1</w:t>
        </w:r>
      </w:hyperlink>
    </w:p>
  </w:footnote>
  <w:footnote w:id="83">
    <w:p w14:paraId="57347743" w14:textId="77777777" w:rsidR="009D0BE4" w:rsidRDefault="00175C32">
      <w:r>
        <w:rPr>
          <w:rStyle w:val="FootnoteReference"/>
        </w:rPr>
        <w:footnoteRef/>
      </w:r>
      <w:hyperlink r:id="rId83" w:history="1">
        <w:r>
          <w:rPr>
            <w:rStyle w:val="Hyperlink"/>
          </w:rPr>
          <w:t>https://21176235.fs1.hubspotusercontent-na1.net/hubfs/21176235/2025%20General%20BMR%20010824.pdf</w:t>
        </w:r>
      </w:hyperlink>
    </w:p>
  </w:footnote>
  <w:footnote w:id="84">
    <w:p w14:paraId="57347744" w14:textId="77777777" w:rsidR="009D0BE4" w:rsidRDefault="00175C32">
      <w:r>
        <w:rPr>
          <w:rStyle w:val="FootnoteReference"/>
        </w:rPr>
        <w:footnoteRef/>
      </w:r>
      <w:hyperlink r:id="rId84" w:history="1">
        <w:r>
          <w:rPr>
            <w:rStyle w:val="Hyperlink"/>
          </w:rPr>
          <w:t>https://www.advfn.com/stock-market/stock-news/97872103/aquant-s-2026-field-service-benchmark-companies</w:t>
        </w:r>
      </w:hyperlink>
    </w:p>
  </w:footnote>
  <w:footnote w:id="85">
    <w:p w14:paraId="57347745" w14:textId="77777777" w:rsidR="009D0BE4" w:rsidRDefault="00175C32">
      <w:r>
        <w:rPr>
          <w:rStyle w:val="FootnoteReference"/>
        </w:rPr>
        <w:footnoteRef/>
      </w:r>
      <w:hyperlink r:id="rId85" w:history="1">
        <w:r>
          <w:rPr>
            <w:rStyle w:val="Hyperlink"/>
          </w:rPr>
          <w:t>https://m365.cloud.microsoft/chat/pages/eyJ1IjoiaHR0cHM6Ly90aGV0ZWNobmljYWxzZWxsZXIuc2hhcmVwb2ludC5jb20vY29udGVudHN0b3JhZ2UveDhGTk8teHRza3VDUlgyX2ZNVEhMWVpOaTJsUW91ZEx2SS1mbGo4aENvZz9uYXY9Y3owbE1rWmpiMjUwWlc1MGMzUnZjbUZuWlNVeVJuZzRSazVQSlRKRWVIUnphM1ZEVWxneUpUVkdaazFVU0V4WldrNXBNbXhSYjNWa1RIWkpKVEpFWm14cU9HaERiMmNtWkQxaUpUSXhkVTFEV0d4RGFteFBWV2xEUTBaMFlrZDNiMUZtZFdFelVqSlVkVEp5VWt4dlMwZDBOMDA1V25weGRscDNiRlZDWld0MmRsTlpNVmg1T1hBMVdtVktOU1ptUFRBeFFrWXpXa1F5TlUwM1dVaFROa2xPU0ZNMVFscFVOa2d6VWpkWVJWSldOMUltWXow</w:t>
        </w:r>
        <w:r>
          <w:rPr>
            <w:rStyle w:val="Hyperlink"/>
          </w:rPr>
          <w:t>bE1rWSJ9?auth=2</w:t>
        </w:r>
      </w:hyperlink>
    </w:p>
  </w:footnote>
  <w:footnote w:id="86">
    <w:p w14:paraId="57347746" w14:textId="77777777" w:rsidR="009D0BE4" w:rsidRDefault="00175C32">
      <w:r>
        <w:rPr>
          <w:rStyle w:val="FootnoteReference"/>
        </w:rPr>
        <w:footnoteRef/>
      </w:r>
      <w:hyperlink r:id="rId86" w:history="1">
        <w:r>
          <w:rPr>
            <w:rStyle w:val="Hyperlink"/>
          </w:rPr>
          <w:t>https://www.advfn.com/stock-market/stock-news/97872103/aquant-s-2026-field-service-benchmark-companies</w:t>
        </w:r>
      </w:hyperlink>
    </w:p>
  </w:footnote>
  <w:footnote w:id="87">
    <w:p w14:paraId="57347747" w14:textId="77777777" w:rsidR="009D0BE4" w:rsidRDefault="00175C32">
      <w:r>
        <w:rPr>
          <w:rStyle w:val="FootnoteReference"/>
        </w:rPr>
        <w:footnoteRef/>
      </w:r>
      <w:hyperlink r:id="rId87" w:history="1">
        <w:r>
          <w:rPr>
            <w:rStyle w:val="Hyperlink"/>
          </w:rPr>
          <w:t>https://www.salesforce.com/service/field-service-management/ai-field-service-management-guide/</w:t>
        </w:r>
      </w:hyperlink>
    </w:p>
  </w:footnote>
  <w:footnote w:id="88">
    <w:p w14:paraId="57347748" w14:textId="77777777" w:rsidR="009D0BE4" w:rsidRDefault="00175C32">
      <w:r>
        <w:rPr>
          <w:rStyle w:val="FootnoteReference"/>
        </w:rPr>
        <w:footnoteRef/>
      </w:r>
      <w:hyperlink r:id="rId88" w:history="1">
        <w:r>
          <w:rPr>
            <w:rStyle w:val="Hyperlink"/>
          </w:rPr>
          <w:t>https://learn.microsoft.com/en-us/dynamics365/release-plan/2025wave1/service/dynamics365-field-service/</w:t>
        </w:r>
      </w:hyperlink>
    </w:p>
  </w:footnote>
  <w:footnote w:id="89">
    <w:p w14:paraId="57347749" w14:textId="77777777" w:rsidR="009D0BE4" w:rsidRDefault="00175C32">
      <w:r>
        <w:rPr>
          <w:rStyle w:val="FootnoteReference"/>
        </w:rPr>
        <w:footnoteRef/>
      </w:r>
      <w:hyperlink r:id="rId89" w:history="1">
        <w:r>
          <w:rPr>
            <w:rStyle w:val="Hyperlink"/>
          </w:rPr>
          <w:t>https://www.ibm.com/products/maximo/ai-asset-management</w:t>
        </w:r>
      </w:hyperlink>
    </w:p>
  </w:footnote>
  <w:footnote w:id="90">
    <w:p w14:paraId="5734774A" w14:textId="77777777" w:rsidR="009D0BE4" w:rsidRDefault="00175C32">
      <w:r>
        <w:rPr>
          <w:rStyle w:val="FootnoteReference"/>
        </w:rPr>
        <w:footnoteRef/>
      </w:r>
      <w:hyperlink r:id="rId90" w:history="1">
        <w:r>
          <w:rPr>
            <w:rStyle w:val="Hyperlink"/>
          </w:rPr>
          <w:t>https://www.microsoft.com/en-us/dynamics-365/blog/business-leader/2024/09/26/harnessing-transformative-ai-for-field-service-excellence/</w:t>
        </w:r>
      </w:hyperlink>
    </w:p>
  </w:footnote>
  <w:footnote w:id="91">
    <w:p w14:paraId="5734774B" w14:textId="77777777" w:rsidR="009D0BE4" w:rsidRDefault="00175C32">
      <w:r>
        <w:rPr>
          <w:rStyle w:val="FootnoteReference"/>
        </w:rPr>
        <w:footnoteRef/>
      </w:r>
      <w:hyperlink r:id="rId91" w:history="1">
        <w:r>
          <w:rPr>
            <w:rStyle w:val="Hyperlink"/>
          </w:rPr>
          <w:t>https://www.deloitte.com/global/en/Industries/consumer/analysis/using-ai-in-predictive-maintenance-to-forecast-the-future.html</w:t>
        </w:r>
      </w:hyperlink>
    </w:p>
  </w:footnote>
  <w:footnote w:id="92">
    <w:p w14:paraId="5734774C" w14:textId="77777777" w:rsidR="009D0BE4" w:rsidRDefault="00175C32">
      <w:r>
        <w:rPr>
          <w:rStyle w:val="FootnoteReference"/>
        </w:rPr>
        <w:footnoteRef/>
      </w:r>
      <w:hyperlink r:id="rId92" w:history="1">
        <w:r>
          <w:rPr>
            <w:rStyle w:val="Hyperlink"/>
          </w:rPr>
          <w:t>https://www.mckinsey.com/capabilities/operations/our-insights/prediction-at-scale-how-industry-can-get-more-value-out-of-maintenance</w:t>
        </w:r>
      </w:hyperlink>
    </w:p>
  </w:footnote>
  <w:footnote w:id="93">
    <w:p w14:paraId="5734774D" w14:textId="77777777" w:rsidR="009D0BE4" w:rsidRDefault="00175C32">
      <w:r>
        <w:rPr>
          <w:rStyle w:val="FootnoteReference"/>
        </w:rPr>
        <w:footnoteRef/>
      </w:r>
      <w:hyperlink r:id="rId93" w:history="1">
        <w:r>
          <w:rPr>
            <w:rStyle w:val="Hyperlink"/>
          </w:rPr>
          <w:t>https://www.salesforce.com/service/field-service-management/ai-field-service-management-guide/</w:t>
        </w:r>
      </w:hyperlink>
    </w:p>
  </w:footnote>
  <w:footnote w:id="94">
    <w:p w14:paraId="5734774E" w14:textId="77777777" w:rsidR="009D0BE4" w:rsidRDefault="00175C32">
      <w:r>
        <w:rPr>
          <w:rStyle w:val="FootnoteReference"/>
        </w:rPr>
        <w:footnoteRef/>
      </w:r>
      <w:hyperlink r:id="rId94" w:history="1">
        <w:r>
          <w:rPr>
            <w:rStyle w:val="Hyperlink"/>
          </w:rPr>
          <w:t>https://www.geotab.com/CMS-GeneralFiles-production/NA/brochures/2025/field-service-operations/StateofFieldService2025%28ec%29RPT7Geotab.pdf</w:t>
        </w:r>
      </w:hyperlink>
    </w:p>
  </w:footnote>
  <w:footnote w:id="95">
    <w:p w14:paraId="5734774F" w14:textId="77777777" w:rsidR="009D0BE4" w:rsidRDefault="00175C32">
      <w:r>
        <w:rPr>
          <w:rStyle w:val="FootnoteReference"/>
        </w:rPr>
        <w:footnoteRef/>
      </w:r>
      <w:hyperlink r:id="rId95" w:history="1">
        <w:r>
          <w:rPr>
            <w:rStyle w:val="Hyperlink"/>
          </w:rPr>
          <w:t>https://truecontext.com/lp/resources/2026-state-of-field-service-wbr-report/</w:t>
        </w:r>
      </w:hyperlink>
    </w:p>
  </w:footnote>
  <w:footnote w:id="96">
    <w:p w14:paraId="57347750" w14:textId="77777777" w:rsidR="009D0BE4" w:rsidRDefault="00175C32">
      <w:r>
        <w:rPr>
          <w:rStyle w:val="FootnoteReference"/>
        </w:rPr>
        <w:footnoteRef/>
      </w:r>
      <w:hyperlink r:id="rId96" w:history="1">
        <w:r>
          <w:rPr>
            <w:rStyle w:val="Hyperlink"/>
          </w:rPr>
          <w:t>https://www.tsia.com/blog/tsia-benchmarking-boost-field-services-performance</w:t>
        </w:r>
      </w:hyperlink>
    </w:p>
  </w:footnote>
  <w:footnote w:id="97">
    <w:p w14:paraId="57347751" w14:textId="77777777" w:rsidR="009D0BE4" w:rsidRDefault="00175C32">
      <w:r>
        <w:rPr>
          <w:rStyle w:val="FootnoteReference"/>
        </w:rPr>
        <w:footnoteRef/>
      </w:r>
      <w:hyperlink r:id="rId97" w:history="1">
        <w:r>
          <w:rPr>
            <w:rStyle w:val="Hyperlink"/>
          </w:rPr>
          <w:t>https://www.tsia.com/blog/state-of-field-services-2026-ai</w:t>
        </w:r>
      </w:hyperlink>
    </w:p>
  </w:footnote>
  <w:footnote w:id="98">
    <w:p w14:paraId="57347752" w14:textId="77777777" w:rsidR="009D0BE4" w:rsidRDefault="00175C32">
      <w:r>
        <w:rPr>
          <w:rStyle w:val="FootnoteReference"/>
        </w:rPr>
        <w:footnoteRef/>
      </w:r>
      <w:hyperlink r:id="rId98" w:history="1">
        <w:r>
          <w:rPr>
            <w:rStyle w:val="Hyperlink"/>
          </w:rPr>
          <w:t>https://www.advfn.com/stock-market/stock-news/97872103/aquant-s-2026-field-service-benchmark-companies</w:t>
        </w:r>
      </w:hyperlink>
    </w:p>
  </w:footnote>
  <w:footnote w:id="99">
    <w:p w14:paraId="57347753" w14:textId="77777777" w:rsidR="009D0BE4" w:rsidRDefault="00175C32">
      <w:r>
        <w:rPr>
          <w:rStyle w:val="FootnoteReference"/>
        </w:rPr>
        <w:footnoteRef/>
      </w:r>
      <w:hyperlink r:id="rId99" w:history="1">
        <w:r>
          <w:rPr>
            <w:rStyle w:val="Hyperlink"/>
          </w:rPr>
          <w:t>https://www.geotab.com/resources/ebook/2026-state-of-ai-field-service/</w:t>
        </w:r>
      </w:hyperlink>
    </w:p>
  </w:footnote>
  <w:footnote w:id="100">
    <w:p w14:paraId="57347754" w14:textId="77777777" w:rsidR="009D0BE4" w:rsidRDefault="00175C32">
      <w:r>
        <w:rPr>
          <w:rStyle w:val="FootnoteReference"/>
        </w:rPr>
        <w:footnoteRef/>
      </w:r>
      <w:hyperlink r:id="rId100" w:history="1">
        <w:r>
          <w:rPr>
            <w:rStyle w:val="Hyperlink"/>
          </w:rPr>
          <w:t>https://www.salesforce.com/service/field-service-management/ai-field-service-management-guide/</w:t>
        </w:r>
      </w:hyperlink>
    </w:p>
  </w:footnote>
  <w:footnote w:id="101">
    <w:p w14:paraId="57347755" w14:textId="77777777" w:rsidR="009D0BE4" w:rsidRDefault="00175C32">
      <w:r>
        <w:rPr>
          <w:rStyle w:val="FootnoteReference"/>
        </w:rPr>
        <w:footnoteRef/>
      </w:r>
      <w:hyperlink r:id="rId101" w:history="1">
        <w:r>
          <w:rPr>
            <w:rStyle w:val="Hyperlink"/>
          </w:rPr>
          <w:t>https://www.ibm.com/products/maximo/field-service-management</w:t>
        </w:r>
      </w:hyperlink>
    </w:p>
  </w:footnote>
  <w:footnote w:id="102">
    <w:p w14:paraId="57347756" w14:textId="77777777" w:rsidR="009D0BE4" w:rsidRDefault="00175C32">
      <w:r>
        <w:rPr>
          <w:rStyle w:val="FootnoteReference"/>
        </w:rPr>
        <w:footnoteRef/>
      </w:r>
      <w:hyperlink r:id="rId102" w:history="1">
        <w:r>
          <w:rPr>
            <w:rStyle w:val="Hyperlink"/>
          </w:rPr>
          <w:t>https://truecontext.com/lp/resources/2026-state-of-field-service-wbr-report/</w:t>
        </w:r>
      </w:hyperlink>
    </w:p>
  </w:footnote>
  <w:footnote w:id="103">
    <w:p w14:paraId="57347757" w14:textId="77777777" w:rsidR="009D0BE4" w:rsidRDefault="00175C32">
      <w:r>
        <w:rPr>
          <w:rStyle w:val="FootnoteReference"/>
        </w:rPr>
        <w:footnoteRef/>
      </w:r>
      <w:hyperlink r:id="rId103" w:history="1">
        <w:r>
          <w:rPr>
            <w:rStyle w:val="Hyperlink"/>
          </w:rPr>
          <w:t>https://www.fieldproxy.ai/benchmarks</w:t>
        </w:r>
      </w:hyperlink>
    </w:p>
  </w:footnote>
  <w:footnote w:id="104">
    <w:p w14:paraId="57347758" w14:textId="77777777" w:rsidR="009D0BE4" w:rsidRDefault="00175C32">
      <w:r>
        <w:rPr>
          <w:rStyle w:val="FootnoteReference"/>
        </w:rPr>
        <w:footnoteRef/>
      </w:r>
      <w:hyperlink r:id="rId104" w:history="1">
        <w:r>
          <w:rPr>
            <w:rStyle w:val="Hyperlink"/>
          </w:rPr>
          <w:t>https://www.tsia.com/blog/tsia-benchmarking-boost-field-services-performance</w:t>
        </w:r>
      </w:hyperlink>
    </w:p>
  </w:footnote>
  <w:footnote w:id="105">
    <w:p w14:paraId="57347759" w14:textId="77777777" w:rsidR="009D0BE4" w:rsidRDefault="00175C32">
      <w:r>
        <w:rPr>
          <w:rStyle w:val="FootnoteReference"/>
        </w:rPr>
        <w:footnoteRef/>
      </w:r>
      <w:hyperlink r:id="rId105" w:history="1">
        <w:r>
          <w:rPr>
            <w:rStyle w:val="Hyperlink"/>
          </w:rPr>
          <w:t>https://www.mckinsey.com/capabilities/operations/our-insights/prediction-at-scale-how-industry-can-get-more-value-out-of-maintenance</w:t>
        </w:r>
      </w:hyperlink>
    </w:p>
  </w:footnote>
  <w:footnote w:id="106">
    <w:p w14:paraId="5734775A" w14:textId="77777777" w:rsidR="009D0BE4" w:rsidRDefault="00175C32">
      <w:r>
        <w:rPr>
          <w:rStyle w:val="FootnoteReference"/>
        </w:rPr>
        <w:footnoteRef/>
      </w:r>
      <w:hyperlink r:id="rId106" w:history="1">
        <w:r>
          <w:rPr>
            <w:rStyle w:val="Hyperlink"/>
          </w:rPr>
          <w:t>https://www.geotab.com/CMS-GeneralFiles-production/NA/brochures/2025/field-service-operations/StateofFieldService2025%28ec%29RPT7Geotab.pdf</w:t>
        </w:r>
      </w:hyperlink>
    </w:p>
  </w:footnote>
  <w:footnote w:id="107">
    <w:p w14:paraId="5734775B" w14:textId="77777777" w:rsidR="009D0BE4" w:rsidRDefault="00175C32">
      <w:r>
        <w:rPr>
          <w:rStyle w:val="FootnoteReference"/>
        </w:rPr>
        <w:footnoteRef/>
      </w:r>
      <w:hyperlink r:id="rId107" w:history="1">
        <w:r>
          <w:rPr>
            <w:rStyle w:val="Hyperlink"/>
          </w:rPr>
          <w:t>https://www.ibm.com/products/maximo/ai-asset-management</w:t>
        </w:r>
      </w:hyperlink>
    </w:p>
  </w:footnote>
  <w:footnote w:id="108">
    <w:p w14:paraId="5734775C" w14:textId="77777777" w:rsidR="009D0BE4" w:rsidRDefault="00175C32">
      <w:r>
        <w:rPr>
          <w:rStyle w:val="FootnoteReference"/>
        </w:rPr>
        <w:footnoteRef/>
      </w:r>
      <w:hyperlink r:id="rId108" w:history="1">
        <w:r>
          <w:rPr>
            <w:rStyle w:val="Hyperlink"/>
          </w:rPr>
          <w:t>https://www.ibm.com/thought-leadership/institute-business-value/en-us/report/state-of-salesforce-2025</w:t>
        </w:r>
      </w:hyperlink>
    </w:p>
  </w:footnote>
  <w:footnote w:id="109">
    <w:p w14:paraId="5734775D" w14:textId="77777777" w:rsidR="009D0BE4" w:rsidRDefault="00175C32">
      <w:r>
        <w:rPr>
          <w:rStyle w:val="FootnoteReference"/>
        </w:rPr>
        <w:footnoteRef/>
      </w:r>
      <w:hyperlink r:id="rId109" w:history="1">
        <w:r>
          <w:rPr>
            <w:rStyle w:val="Hyperlink"/>
          </w:rPr>
          <w:t>https://www.advfn.com/stock-market/stock-news/97872103/aquant-s-2026-field-service-benchmark-companies</w:t>
        </w:r>
      </w:hyperlink>
    </w:p>
  </w:footnote>
  <w:footnote w:id="110">
    <w:p w14:paraId="5734775E" w14:textId="77777777" w:rsidR="009D0BE4" w:rsidRDefault="00175C32">
      <w:r>
        <w:rPr>
          <w:rStyle w:val="FootnoteReference"/>
        </w:rPr>
        <w:footnoteRef/>
      </w:r>
      <w:hyperlink r:id="rId110" w:history="1">
        <w:r>
          <w:rPr>
            <w:rStyle w:val="Hyperlink"/>
          </w:rPr>
          <w:t>https://www.fieldproxy.ai/benchmarks</w:t>
        </w:r>
      </w:hyperlink>
    </w:p>
  </w:footnote>
  <w:footnote w:id="111">
    <w:p w14:paraId="5734775F" w14:textId="77777777" w:rsidR="009D0BE4" w:rsidRDefault="00175C32">
      <w:r>
        <w:rPr>
          <w:rStyle w:val="FootnoteReference"/>
        </w:rPr>
        <w:footnoteRef/>
      </w:r>
      <w:hyperlink r:id="rId111" w:history="1">
        <w:r>
          <w:rPr>
            <w:rStyle w:val="Hyperlink"/>
          </w:rPr>
          <w:t>https://jobcamp.co/blog/key-field-service-kpis-in-2025/</w:t>
        </w:r>
      </w:hyperlink>
    </w:p>
  </w:footnote>
  <w:footnote w:id="112">
    <w:p w14:paraId="57347760" w14:textId="77777777" w:rsidR="009D0BE4" w:rsidRDefault="00175C32">
      <w:r>
        <w:rPr>
          <w:rStyle w:val="FootnoteReference"/>
        </w:rPr>
        <w:footnoteRef/>
      </w:r>
      <w:hyperlink r:id="rId112" w:history="1">
        <w:r>
          <w:rPr>
            <w:rStyle w:val="Hyperlink"/>
          </w:rPr>
          <w:t>https://www.geotab.com/resources/ebook/2026-state-of-ai-field-service/</w:t>
        </w:r>
      </w:hyperlink>
    </w:p>
  </w:footnote>
  <w:footnote w:id="113">
    <w:p w14:paraId="57347761" w14:textId="77777777" w:rsidR="009D0BE4" w:rsidRDefault="00175C32">
      <w:r>
        <w:rPr>
          <w:rStyle w:val="FootnoteReference"/>
        </w:rPr>
        <w:footnoteRef/>
      </w:r>
      <w:hyperlink r:id="rId113" w:history="1">
        <w:r>
          <w:rPr>
            <w:rStyle w:val="Hyperlink"/>
          </w:rPr>
          <w:t>https://truecontext.com/lp/resources/2026-state-of-field-service-wbr-report/</w:t>
        </w:r>
      </w:hyperlink>
    </w:p>
  </w:footnote>
  <w:footnote w:id="114">
    <w:p w14:paraId="57347762" w14:textId="77777777" w:rsidR="009D0BE4" w:rsidRDefault="00175C32">
      <w:r>
        <w:rPr>
          <w:rStyle w:val="FootnoteReference"/>
        </w:rPr>
        <w:footnoteRef/>
      </w:r>
      <w:hyperlink r:id="rId114" w:history="1">
        <w:r>
          <w:rPr>
            <w:rStyle w:val="Hyperlink"/>
          </w:rPr>
          <w:t>https://thetechnicalseller-my.sharepoint.com/personal/pierre_thetechnicalseller_com/_layouts/15/Doc.aspx?sourcedoc=%7B409A5283-BE69-4F23-9B00-F31B0B34E2D6%7D\&amp;file=Field%20Service%20Data%20Model.pptx\&amp;action=edit\&amp;mobileredirect=true\&amp;DefaultItemOpen=1</w:t>
        </w:r>
      </w:hyperlink>
    </w:p>
  </w:footnote>
  <w:footnote w:id="115">
    <w:p w14:paraId="57347763" w14:textId="77777777" w:rsidR="009D0BE4" w:rsidRDefault="00175C32">
      <w:r>
        <w:rPr>
          <w:rStyle w:val="FootnoteReference"/>
        </w:rPr>
        <w:footnoteRef/>
      </w:r>
      <w:hyperlink r:id="rId115" w:history="1">
        <w:r>
          <w:rPr>
            <w:rStyle w:val="Hyperlink"/>
          </w:rPr>
          <w:t>https://thetechnicalseller-my.sharepoint.com/personal/pierre_thetechnicalseller_com/_layouts/15/Doc.aspx?sourcedoc=%7B006BE373-0A58-49F3-9872-A9ECD7BD2E25%7D\&amp;file=Alithya%20Field%20Service%20Practice%20-%20ABM%20Landing%20Page.docx\&amp;action=default\&amp;mobileredirect=true\&amp;DefaultItemOpen=1</w:t>
        </w:r>
      </w:hyperlink>
    </w:p>
  </w:footnote>
  <w:footnote w:id="116">
    <w:p w14:paraId="57347764" w14:textId="77777777" w:rsidR="009D0BE4" w:rsidRDefault="00175C32">
      <w:r>
        <w:rPr>
          <w:rStyle w:val="FootnoteReference"/>
        </w:rPr>
        <w:footnoteRef/>
      </w:r>
      <w:hyperlink r:id="rId116" w:history="1">
        <w:r>
          <w:rPr>
            <w:rStyle w:val="Hyperlink"/>
          </w:rPr>
          <w:t>https://www.advfn.com/stock-market/stock-news/97872103/aquant-s-2026-field-service-benchmark-companies</w:t>
        </w:r>
      </w:hyperlink>
    </w:p>
  </w:footnote>
  <w:footnote w:id="117">
    <w:p w14:paraId="57347765" w14:textId="77777777" w:rsidR="009D0BE4" w:rsidRDefault="00175C32">
      <w:r>
        <w:rPr>
          <w:rStyle w:val="FootnoteReference"/>
        </w:rPr>
        <w:footnoteRef/>
      </w:r>
      <w:hyperlink r:id="rId117" w:history="1">
        <w:r>
          <w:rPr>
            <w:rStyle w:val="Hyperlink"/>
          </w:rPr>
          <w:t>https://discover.aquant.ai/field-service-benchmark-report</w:t>
        </w:r>
      </w:hyperlink>
    </w:p>
  </w:footnote>
  <w:footnote w:id="118">
    <w:p w14:paraId="57347766" w14:textId="77777777" w:rsidR="009D0BE4" w:rsidRDefault="00175C32">
      <w:r>
        <w:rPr>
          <w:rStyle w:val="FootnoteReference"/>
        </w:rPr>
        <w:footnoteRef/>
      </w:r>
      <w:hyperlink r:id="rId118" w:history="1">
        <w:r>
          <w:rPr>
            <w:rStyle w:val="Hyperlink"/>
          </w:rPr>
          <w:t>https://www.tsia.com/blog/state-of-field-services-2026-ai</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308E"/>
    <w:multiLevelType w:val="hybridMultilevel"/>
    <w:tmpl w:val="79A08EDE"/>
    <w:lvl w:ilvl="0" w:tplc="6236342C">
      <w:start w:val="1"/>
      <w:numFmt w:val="bullet"/>
      <w:lvlText w:val="●"/>
      <w:lvlJc w:val="left"/>
      <w:pPr>
        <w:ind w:left="720" w:hanging="360"/>
      </w:pPr>
    </w:lvl>
    <w:lvl w:ilvl="1" w:tplc="0D5CF94C">
      <w:start w:val="1"/>
      <w:numFmt w:val="bullet"/>
      <w:lvlText w:val="○"/>
      <w:lvlJc w:val="left"/>
      <w:pPr>
        <w:ind w:left="1440" w:hanging="360"/>
      </w:pPr>
    </w:lvl>
    <w:lvl w:ilvl="2" w:tplc="7676F6E2">
      <w:start w:val="1"/>
      <w:numFmt w:val="bullet"/>
      <w:lvlText w:val="■"/>
      <w:lvlJc w:val="left"/>
      <w:pPr>
        <w:ind w:left="2160" w:hanging="360"/>
      </w:pPr>
    </w:lvl>
    <w:lvl w:ilvl="3" w:tplc="BD30586E">
      <w:start w:val="1"/>
      <w:numFmt w:val="bullet"/>
      <w:lvlText w:val="●"/>
      <w:lvlJc w:val="left"/>
      <w:pPr>
        <w:ind w:left="2880" w:hanging="360"/>
      </w:pPr>
    </w:lvl>
    <w:lvl w:ilvl="4" w:tplc="E4F08220">
      <w:start w:val="1"/>
      <w:numFmt w:val="bullet"/>
      <w:lvlText w:val="○"/>
      <w:lvlJc w:val="left"/>
      <w:pPr>
        <w:ind w:left="3600" w:hanging="360"/>
      </w:pPr>
    </w:lvl>
    <w:lvl w:ilvl="5" w:tplc="9AC4C776">
      <w:start w:val="1"/>
      <w:numFmt w:val="bullet"/>
      <w:lvlText w:val="■"/>
      <w:lvlJc w:val="left"/>
      <w:pPr>
        <w:ind w:left="4320" w:hanging="360"/>
      </w:pPr>
    </w:lvl>
    <w:lvl w:ilvl="6" w:tplc="B15A35C8">
      <w:start w:val="1"/>
      <w:numFmt w:val="bullet"/>
      <w:lvlText w:val="●"/>
      <w:lvlJc w:val="left"/>
      <w:pPr>
        <w:ind w:left="5040" w:hanging="360"/>
      </w:pPr>
    </w:lvl>
    <w:lvl w:ilvl="7" w:tplc="CB0AEC28">
      <w:start w:val="1"/>
      <w:numFmt w:val="bullet"/>
      <w:lvlText w:val="●"/>
      <w:lvlJc w:val="left"/>
      <w:pPr>
        <w:ind w:left="5760" w:hanging="360"/>
      </w:pPr>
    </w:lvl>
    <w:lvl w:ilvl="8" w:tplc="48A2C6FE">
      <w:start w:val="1"/>
      <w:numFmt w:val="bullet"/>
      <w:lvlText w:val="●"/>
      <w:lvlJc w:val="left"/>
      <w:pPr>
        <w:ind w:left="6480" w:hanging="360"/>
      </w:pPr>
    </w:lvl>
  </w:abstractNum>
  <w:abstractNum w:abstractNumId="1" w15:restartNumberingAfterBreak="0">
    <w:nsid w:val="2D8E56D4"/>
    <w:multiLevelType w:val="hybridMultilevel"/>
    <w:tmpl w:val="79A65DEC"/>
    <w:lvl w:ilvl="0" w:tplc="7B18DB60">
      <w:start w:val="1"/>
      <w:numFmt w:val="decimal"/>
      <w:lvlText w:val="%1."/>
      <w:lvlJc w:val="left"/>
      <w:pPr>
        <w:ind w:left="720" w:hanging="360"/>
      </w:pPr>
    </w:lvl>
    <w:lvl w:ilvl="1" w:tplc="A2FAD79E">
      <w:start w:val="1"/>
      <w:numFmt w:val="lowerLetter"/>
      <w:lvlText w:val="%2."/>
      <w:lvlJc w:val="left"/>
      <w:pPr>
        <w:ind w:left="1440" w:hanging="360"/>
      </w:pPr>
    </w:lvl>
    <w:lvl w:ilvl="2" w:tplc="664858DE">
      <w:start w:val="1"/>
      <w:numFmt w:val="lowerRoman"/>
      <w:lvlText w:val="%3."/>
      <w:lvlJc w:val="right"/>
      <w:pPr>
        <w:ind w:left="2160" w:hanging="180"/>
      </w:pPr>
    </w:lvl>
    <w:lvl w:ilvl="3" w:tplc="BABAE050">
      <w:start w:val="1"/>
      <w:numFmt w:val="decimal"/>
      <w:lvlText w:val="%4."/>
      <w:lvlJc w:val="left"/>
      <w:pPr>
        <w:ind w:left="2880" w:hanging="360"/>
      </w:pPr>
    </w:lvl>
    <w:lvl w:ilvl="4" w:tplc="FC2A8318">
      <w:start w:val="1"/>
      <w:numFmt w:val="lowerLetter"/>
      <w:lvlText w:val="%5."/>
      <w:lvlJc w:val="left"/>
      <w:pPr>
        <w:ind w:left="3600" w:hanging="360"/>
      </w:pPr>
    </w:lvl>
    <w:lvl w:ilvl="5" w:tplc="AFA4929C">
      <w:start w:val="1"/>
      <w:numFmt w:val="lowerRoman"/>
      <w:lvlText w:val="%6."/>
      <w:lvlJc w:val="right"/>
      <w:pPr>
        <w:ind w:left="4320" w:hanging="180"/>
      </w:pPr>
    </w:lvl>
    <w:lvl w:ilvl="6" w:tplc="118A1D28">
      <w:start w:val="1"/>
      <w:numFmt w:val="decimal"/>
      <w:lvlText w:val="%7."/>
      <w:lvlJc w:val="left"/>
      <w:pPr>
        <w:ind w:left="5040" w:hanging="360"/>
      </w:pPr>
    </w:lvl>
    <w:lvl w:ilvl="7" w:tplc="105A969A">
      <w:start w:val="1"/>
      <w:numFmt w:val="lowerLetter"/>
      <w:lvlText w:val="%8."/>
      <w:lvlJc w:val="left"/>
      <w:pPr>
        <w:ind w:left="5760" w:hanging="360"/>
      </w:pPr>
    </w:lvl>
    <w:lvl w:ilvl="8" w:tplc="07A24DB6">
      <w:start w:val="1"/>
      <w:numFmt w:val="lowerRoman"/>
      <w:lvlText w:val="%9."/>
      <w:lvlJc w:val="right"/>
      <w:pPr>
        <w:ind w:left="6480" w:hanging="180"/>
      </w:pPr>
    </w:lvl>
  </w:abstractNum>
  <w:num w:numId="1" w16cid:durableId="677852667">
    <w:abstractNumId w:val="0"/>
    <w:lvlOverride w:ilvl="0">
      <w:startOverride w:val="1"/>
    </w:lvlOverride>
  </w:num>
  <w:num w:numId="2" w16cid:durableId="271790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BE4"/>
    <w:rsid w:val="00175C32"/>
    <w:rsid w:val="002439ED"/>
    <w:rsid w:val="009D0BE4"/>
    <w:rsid w:val="00AE1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47647"/>
  <w15:docId w15:val="{04389E31-2ABF-48A2-83C7-E6C2AB5FF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amp;EntityRepresentationId=e7ef16a1-7c5f-4b4b-bf9b-83758733842c" TargetMode="External"/><Relationship Id="rId13" Type="http://schemas.openxmlformats.org/officeDocument/2006/relationships/hyperlink" Target="https://thetechnicalseller-my.sharepoint.com/personal/pierre_thetechnicalseller_com/_layouts/15/Doc.aspx?sourcedoc=%7B14198B87-92B3-4B6C-AE4F-ADE05A2E13CE%7D&amp;file=Field_Service_Transition_Roadmap.pptx&amp;action=edit&amp;mobileredirect=true&amp;DefaultItemOpen=1&amp;EntityRepresentationId=5308328c-04eb-4355-900a-5be50c0b9096"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365.cloud.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?auth=2&amp;EntityRepresentationId=210908b5-f6fc-479e-aa45-e7a21026a65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amp;EntityRepresentationId=e7ef16a1-7c5f-4b4b-bf9b-83758733842c" TargetMode="External"/><Relationship Id="rId5" Type="http://schemas.openxmlformats.org/officeDocument/2006/relationships/footnotes" Target="footnotes.xml"/><Relationship Id="rId15"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amp;EntityRepresentationId=e7ef16a1-7c5f-4b4b-bf9b-83758733842c" TargetMode="External"/><Relationship Id="rId10" Type="http://schemas.openxmlformats.org/officeDocument/2006/relationships/hyperlink" Target="https://outlook.office365.com/owa/?ItemID=AAMkADFiODRjZjdkLWRiODUtNDVkYS1iYzc3LWY3OWIxMzRmZWFmYwBGAAAAAACw26wrAUSVR6ALM7wpJnJnBwD9ohCLIdWtTr1bxcTu8ET1AAAAAAEJAAD9ohCLIdWtTr1bxcTu8ET1AAFyqbVSAAA%3d&amp;exvsurl=1&amp;viewmodel=ReadMessageItem&amp;EntityRepresentationId=05f1630e-57a7-40bc-81d2-da097509a147" TargetMode="External"/><Relationship Id="rId4" Type="http://schemas.openxmlformats.org/officeDocument/2006/relationships/webSettings" Target="webSettings.xml"/><Relationship Id="rId9" Type="http://schemas.openxmlformats.org/officeDocument/2006/relationships/hyperlink" Target="https://thetechnicalseller-my.sharepoint.com/personal/pierre_thetechnicalseller_com/_layouts/15/Doc.aspx?sourcedoc=%7B409A5283-BE69-4F23-9B00-F31B0B34E2D6%7D&amp;file=Field%20Service%20Data%20Model.pptx&amp;action=edit&amp;mobileredirect=true&amp;DefaultItemOpen=1&amp;EntityRepresentationId=beb5727f-ba01-4f72-9eff-2c678a233b84" TargetMode="External"/><Relationship Id="rId14" Type="http://schemas.openxmlformats.org/officeDocument/2006/relationships/hyperlink" Target="https://thetechnicalseller-my.sharepoint.com/personal/pierre_thetechnicalseller_com/_layouts/15/Doc.aspx?sourcedoc=%7B409A5283-BE69-4F23-9B00-F31B0B34E2D6%7D&amp;file=Field%20Service%20Data%20Model.pptx&amp;action=edit&amp;mobileredirect=true&amp;DefaultItemOpen=1&amp;EntityRepresentationId=beb5727f-ba01-4f72-9eff-2c678a233b84"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www.weforum.org/stories/2024/10/ai-transforming-factory-floor-artificial-intelligence/" TargetMode="External"/><Relationship Id="rId117" Type="http://schemas.openxmlformats.org/officeDocument/2006/relationships/hyperlink" Target="https://discover.aquant.ai/field-service-benchmark-report" TargetMode="External"/><Relationship Id="rId21" Type="http://schemas.openxmlformats.org/officeDocument/2006/relationships/hyperlink" Target="https://www.microsoft.com/en-us/dynamics-365/blog/business-leader/2024/09/26/harnessing-transformative-ai-for-field-service-excellence/" TargetMode="External"/><Relationship Id="rId42" Type="http://schemas.openxmlformats.org/officeDocument/2006/relationships/hyperlink" Target="https://discover.aquant.ai/field-service-benchmark-report" TargetMode="External"/><Relationship Id="rId47" Type="http://schemas.openxmlformats.org/officeDocument/2006/relationships/hyperlink" Target="https://www.microsoft.com/en-us/dynamics-365/blog/business-leader/2024/09/26/harnessing-transformative-ai-for-field-service-excellence/" TargetMode="External"/><Relationship Id="rId63" Type="http://schemas.openxmlformats.org/officeDocument/2006/relationships/hyperlink" Target="https://www.advfn.com/stock-market/stock-news/97872103/aquant-s-2026-field-service-benchmark-companies" TargetMode="External"/><Relationship Id="rId68" Type="http://schemas.openxmlformats.org/officeDocument/2006/relationships/hyperlink" Target="https://www.geotab.com/CMS-GeneralFiles-production/NA/brochures/2025/field-service-operations/StateofFieldService2025%28ec%29RPT7Geotab.pdf" TargetMode="External"/><Relationship Id="rId84" Type="http://schemas.openxmlformats.org/officeDocument/2006/relationships/hyperlink" Target="https://www.advfn.com/stock-market/stock-news/97872103/aquant-s-2026-field-service-benchmark-companies" TargetMode="External"/><Relationship Id="rId89" Type="http://schemas.openxmlformats.org/officeDocument/2006/relationships/hyperlink" Target="https://www.ibm.com/products/maximo/ai-asset-management" TargetMode="External"/><Relationship Id="rId112" Type="http://schemas.openxmlformats.org/officeDocument/2006/relationships/hyperlink" Target="https://www.geotab.com/resources/ebook/2026-state-of-ai-field-service/" TargetMode="External"/><Relationship Id="rId16" Type="http://schemas.openxmlformats.org/officeDocument/2006/relationships/hyperlink" Target="https://www.advfn.com/stock-market/stock-news/97872103/aquant-s-2026-field-service-benchmark-companies" TargetMode="External"/><Relationship Id="rId107" Type="http://schemas.openxmlformats.org/officeDocument/2006/relationships/hyperlink" Target="https://www.ibm.com/products/maximo/ai-asset-management" TargetMode="External"/><Relationship Id="rId11" Type="http://schemas.openxmlformats.org/officeDocument/2006/relationships/hyperlink" Target="https://www.tsia.com/blog/tsia-benchmarking-boost-field-services-performance" TargetMode="External"/><Relationship Id="rId32" Type="http://schemas.openxmlformats.org/officeDocument/2006/relationships/hyperlink" Target="https://benchmark.aquant.ai/" TargetMode="External"/><Relationship Id="rId37" Type="http://schemas.openxmlformats.org/officeDocument/2006/relationships/hyperlink" Target="https://www.microsoft.com/en-us/dynamics-365/blog/business-leader/2024/09/26/harnessing-transformative-ai-for-field-service-excellence/" TargetMode="External"/><Relationship Id="rId53" Type="http://schemas.openxmlformats.org/officeDocument/2006/relationships/hyperlink" Target="https://www.advfn.com/stock-market/stock-news/97872103/aquant-s-2026-field-service-benchmark-companies" TargetMode="External"/><Relationship Id="rId58" Type="http://schemas.openxmlformats.org/officeDocument/2006/relationships/hyperlink" Target="https://benchmark.aquant.ai/" TargetMode="External"/><Relationship Id="rId74" Type="http://schemas.openxmlformats.org/officeDocument/2006/relationships/hyperlink" Target="https://www.microsoft.com/en-us/dynamics-365/blog/business-leader/2024/09/26/harnessing-transformative-ai-for-field-service-excellence/" TargetMode="External"/><Relationship Id="rId79" Type="http://schemas.openxmlformats.org/officeDocument/2006/relationships/hyperlink" Target="https://www.weforum.org/stories/2024/10/ai-transforming-factory-floor-artificial-intelligence/" TargetMode="External"/><Relationship Id="rId102" Type="http://schemas.openxmlformats.org/officeDocument/2006/relationships/hyperlink" Target="https://truecontext.com/lp/resources/2026-state-of-field-service-wbr-report/" TargetMode="External"/><Relationship Id="rId5"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 TargetMode="External"/><Relationship Id="rId90" Type="http://schemas.openxmlformats.org/officeDocument/2006/relationships/hyperlink" Target="https://www.microsoft.com/en-us/dynamics-365/blog/business-leader/2024/09/26/harnessing-transformative-ai-for-field-service-excellence/" TargetMode="External"/><Relationship Id="rId95" Type="http://schemas.openxmlformats.org/officeDocument/2006/relationships/hyperlink" Target="https://truecontext.com/lp/resources/2026-state-of-field-service-wbr-report/" TargetMode="External"/><Relationship Id="rId22" Type="http://schemas.openxmlformats.org/officeDocument/2006/relationships/hyperlink" Target="https://www.ibm.com/products/maximo/field-service-management" TargetMode="External"/><Relationship Id="rId27" Type="http://schemas.openxmlformats.org/officeDocument/2006/relationships/hyperlink" Target="https://jobcamp.co/blog/key-field-service-kpis-in-2025/" TargetMode="External"/><Relationship Id="rId43" Type="http://schemas.openxmlformats.org/officeDocument/2006/relationships/hyperlink" Target="https://www.salesforce.com/service/field-service-management/ai-field-service-management-guide/" TargetMode="External"/><Relationship Id="rId48" Type="http://schemas.openxmlformats.org/officeDocument/2006/relationships/hyperlink" Target="https://www.geotab.com/CMS-GeneralFiles-production/NA/brochures/2025/field-service-operations/StateofFieldService2025%28ec%29RPT7Geotab.pdf" TargetMode="External"/><Relationship Id="rId64" Type="http://schemas.openxmlformats.org/officeDocument/2006/relationships/hyperlink" Target="https://www.fieldproxy.ai/benchmarks" TargetMode="External"/><Relationship Id="rId69" Type="http://schemas.openxmlformats.org/officeDocument/2006/relationships/hyperlink" Target="https://www.salesforce.com/service/field-service-management/ai-field-service-management-guide/" TargetMode="External"/><Relationship Id="rId113" Type="http://schemas.openxmlformats.org/officeDocument/2006/relationships/hyperlink" Target="https://truecontext.com/lp/resources/2026-state-of-field-service-wbr-report/" TargetMode="External"/><Relationship Id="rId118" Type="http://schemas.openxmlformats.org/officeDocument/2006/relationships/hyperlink" Target="https://www.tsia.com/blog/state-of-field-services-2026-ai" TargetMode="External"/><Relationship Id="rId80" Type="http://schemas.openxmlformats.org/officeDocument/2006/relationships/hyperlink" Target="https://m365.cloud.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?auth=2" TargetMode="External"/><Relationship Id="rId85" Type="http://schemas.openxmlformats.org/officeDocument/2006/relationships/hyperlink" Target="https://m365.cloud.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?auth=2" TargetMode="External"/><Relationship Id="rId12" Type="http://schemas.openxmlformats.org/officeDocument/2006/relationships/hyperlink" Target="https://www.advfn.com/stock-market/stock-news/97872103/aquant-s-2026-field-service-benchmark-companies" TargetMode="External"/><Relationship Id="rId17" Type="http://schemas.openxmlformats.org/officeDocument/2006/relationships/hyperlink" Target="https://www.fieldproxy.ai/benchmarks" TargetMode="External"/><Relationship Id="rId33" Type="http://schemas.openxmlformats.org/officeDocument/2006/relationships/hyperlink" Target="https://www.advfn.com/stock-market/stock-news/97872103/aquant-s-2026-field-service-benchmark-companies" TargetMode="External"/><Relationship Id="rId38" Type="http://schemas.openxmlformats.org/officeDocument/2006/relationships/hyperlink" Target="https://www.advfn.com/stock-market/stock-news/97872103/aquant-s-2026-field-service-benchmark-companies" TargetMode="External"/><Relationship Id="rId59" Type="http://schemas.openxmlformats.org/officeDocument/2006/relationships/hyperlink" Target="https://www.advfn.com/stock-market/stock-news/97872103/aquant-s-2026-field-service-benchmark-companies" TargetMode="External"/><Relationship Id="rId103" Type="http://schemas.openxmlformats.org/officeDocument/2006/relationships/hyperlink" Target="https://www.fieldproxy.ai/benchmarks" TargetMode="External"/><Relationship Id="rId108" Type="http://schemas.openxmlformats.org/officeDocument/2006/relationships/hyperlink" Target="https://www.ibm.com/thought-leadership/institute-business-value/en-us/report/state-of-salesforce-2025" TargetMode="External"/><Relationship Id="rId54" Type="http://schemas.openxmlformats.org/officeDocument/2006/relationships/hyperlink" Target="https://www.fieldproxy.ai/benchmarks" TargetMode="External"/><Relationship Id="rId70" Type="http://schemas.openxmlformats.org/officeDocument/2006/relationships/hyperlink" Target="https://www.ibm.com/products/maximo/field-service-management" TargetMode="External"/><Relationship Id="rId75"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 TargetMode="External"/><Relationship Id="rId91" Type="http://schemas.openxmlformats.org/officeDocument/2006/relationships/hyperlink" Target="https://www.deloitte.com/global/en/Industries/consumer/analysis/using-ai-in-predictive-maintenance-to-forecast-the-future.html" TargetMode="External"/><Relationship Id="rId96" Type="http://schemas.openxmlformats.org/officeDocument/2006/relationships/hyperlink" Target="https://www.tsia.com/blog/tsia-benchmarking-boost-field-services-performance" TargetMode="External"/><Relationship Id="rId1" Type="http://schemas.openxmlformats.org/officeDocument/2006/relationships/hyperlink" Target="https://www.advfn.com/stock-market/stock-news/97872103/aquant-s-2026-field-service-benchmark-companies" TargetMode="External"/><Relationship Id="rId6"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 TargetMode="External"/><Relationship Id="rId23" Type="http://schemas.openxmlformats.org/officeDocument/2006/relationships/hyperlink" Target="https://www.advfn.com/stock-market/stock-news/97872103/aquant-s-2026-field-service-benchmark-companies" TargetMode="External"/><Relationship Id="rId28" Type="http://schemas.openxmlformats.org/officeDocument/2006/relationships/hyperlink" Target="https://www.geotab.com/CMS-GeneralFiles-production/NA/brochures/2025/field-service-operations/StateofFieldService2025%28ec%29RPT7Geotab.pdf" TargetMode="External"/><Relationship Id="rId49" Type="http://schemas.openxmlformats.org/officeDocument/2006/relationships/hyperlink" Target="https://www.microsoft.com/en-us/dynamics-365/blog/business-leader/2024/09/26/harnessing-transformative-ai-for-field-service-excellence/" TargetMode="External"/><Relationship Id="rId114" Type="http://schemas.openxmlformats.org/officeDocument/2006/relationships/hyperlink" Target="https://thetechnicalseller-my.sharepoint.com/personal/pierre_thetechnicalseller_com/_layouts/15/Doc.aspx?sourcedoc=%7B409A5283-BE69-4F23-9B00-F31B0B34E2D6%7D\&amp;file=Field%20Service%20Data%20Model.pptx\&amp;action=edit\&amp;mobileredirect=true\&amp;DefaultItemOpen=1" TargetMode="External"/><Relationship Id="rId10"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 TargetMode="External"/><Relationship Id="rId31" Type="http://schemas.openxmlformats.org/officeDocument/2006/relationships/hyperlink" Target="https://benchmark.aquant.ai/" TargetMode="External"/><Relationship Id="rId44" Type="http://schemas.openxmlformats.org/officeDocument/2006/relationships/hyperlink" Target="https://jobcamp.co/blog/key-field-service-kpis-in-2025/" TargetMode="External"/><Relationship Id="rId52" Type="http://schemas.openxmlformats.org/officeDocument/2006/relationships/hyperlink" Target="https://www.tsia.com/blog/state-of-field-services-2026-ai" TargetMode="External"/><Relationship Id="rId60" Type="http://schemas.openxmlformats.org/officeDocument/2006/relationships/hyperlink" Target="https://www.advfn.com/stock-market/stock-news/97872103/aquant-s-2026-field-service-benchmark-companies" TargetMode="External"/><Relationship Id="rId65" Type="http://schemas.openxmlformats.org/officeDocument/2006/relationships/hyperlink" Target="https://www.ibm.com/products/maximo/ai-asset-management" TargetMode="External"/><Relationship Id="rId73" Type="http://schemas.openxmlformats.org/officeDocument/2006/relationships/hyperlink" Target="https://learn.microsoft.com/en-us/dynamics365/release-plan/2025wave1/service/dynamics365-field-service/" TargetMode="External"/><Relationship Id="rId78" Type="http://schemas.openxmlformats.org/officeDocument/2006/relationships/hyperlink" Target="https://www.salesforce.com/service/field-service-management/ai-field-service-management-guide/" TargetMode="External"/><Relationship Id="rId81" Type="http://schemas.openxmlformats.org/officeDocument/2006/relationships/hyperlink" Target="https://www.ibm.com/products/maximo/ai-asset-management" TargetMode="External"/><Relationship Id="rId86" Type="http://schemas.openxmlformats.org/officeDocument/2006/relationships/hyperlink" Target="https://www.advfn.com/stock-market/stock-news/97872103/aquant-s-2026-field-service-benchmark-companies" TargetMode="External"/><Relationship Id="rId94" Type="http://schemas.openxmlformats.org/officeDocument/2006/relationships/hyperlink" Target="https://www.geotab.com/CMS-GeneralFiles-production/NA/brochures/2025/field-service-operations/StateofFieldService2025%28ec%29RPT7Geotab.pdf" TargetMode="External"/><Relationship Id="rId99" Type="http://schemas.openxmlformats.org/officeDocument/2006/relationships/hyperlink" Target="https://www.geotab.com/resources/ebook/2026-state-of-ai-field-service/" TargetMode="External"/><Relationship Id="rId101" Type="http://schemas.openxmlformats.org/officeDocument/2006/relationships/hyperlink" Target="https://www.ibm.com/products/maximo/field-service-management" TargetMode="External"/><Relationship Id="rId4" Type="http://schemas.openxmlformats.org/officeDocument/2006/relationships/hyperlink" Target="https://www.ibm.com/thought-leadership/institute-business-value/en-us/report/state-of-salesforce-2025" TargetMode="External"/><Relationship Id="rId9" Type="http://schemas.openxmlformats.org/officeDocument/2006/relationships/hyperlink" Target="https://outlook.office365.com/owa/?ItemID=AAMkADFiODRjZjdkLWRiODUtNDVkYS1iYzc3LWY3OWIxMzRmZWFmYwBGAAAAAACw26wrAUSVR6ALM7wpJnJnBwD9ohCLIdWtTr1bxcTu8ET1AAAAAAEJAAD9ohCLIdWtTr1bxcTu8ET1AAFyqbVSAAA%3d\&amp;exvsurl=1\&amp;viewmodel=ReadMessageItem" TargetMode="External"/><Relationship Id="rId13" Type="http://schemas.openxmlformats.org/officeDocument/2006/relationships/hyperlink" Target="https://www.fieldproxy.ai/benchmarks" TargetMode="External"/><Relationship Id="rId18" Type="http://schemas.openxmlformats.org/officeDocument/2006/relationships/hyperlink" Target="https://jobcamp.co/blog/key-field-service-kpis-in-2025/" TargetMode="External"/><Relationship Id="rId39" Type="http://schemas.openxmlformats.org/officeDocument/2006/relationships/hyperlink" Target="https://www.advfn.com/stock-market/stock-news/97872103/aquant-s-2026-field-service-benchmark-companies" TargetMode="External"/><Relationship Id="rId109" Type="http://schemas.openxmlformats.org/officeDocument/2006/relationships/hyperlink" Target="https://www.advfn.com/stock-market/stock-news/97872103/aquant-s-2026-field-service-benchmark-companies" TargetMode="External"/><Relationship Id="rId34" Type="http://schemas.openxmlformats.org/officeDocument/2006/relationships/hyperlink" Target="https://www.advfn.com/stock-market/stock-news/97872103/aquant-s-2026-field-service-benchmark-companies" TargetMode="External"/><Relationship Id="rId50" Type="http://schemas.openxmlformats.org/officeDocument/2006/relationships/hyperlink" Target="https://www.deloitte.com/global/en/Industries/consumer/analysis/using-ai-in-predictive-maintenance-to-forecast-the-future.html" TargetMode="External"/><Relationship Id="rId55" Type="http://schemas.openxmlformats.org/officeDocument/2006/relationships/hyperlink" Target="https://www.advfn.com/stock-market/stock-news/97872103/aquant-s-2026-field-service-benchmark-companies" TargetMode="External"/><Relationship Id="rId76" Type="http://schemas.openxmlformats.org/officeDocument/2006/relationships/hyperlink" Target="https://www.salesforce.com/service/field-service-management/ai-field-service-management-guide/" TargetMode="External"/><Relationship Id="rId97" Type="http://schemas.openxmlformats.org/officeDocument/2006/relationships/hyperlink" Target="https://www.tsia.com/blog/state-of-field-services-2026-ai" TargetMode="External"/><Relationship Id="rId104" Type="http://schemas.openxmlformats.org/officeDocument/2006/relationships/hyperlink" Target="https://www.tsia.com/blog/tsia-benchmarking-boost-field-services-performance" TargetMode="External"/><Relationship Id="rId7" Type="http://schemas.openxmlformats.org/officeDocument/2006/relationships/hyperlink" Target="https://thetechnicalseller-my.sharepoint.com/personal/pierre_thetechnicalseller_com/_layouts/15/Doc.aspx?sourcedoc=%7B409A5283-BE69-4F23-9B00-F31B0B34E2D6%7D\&amp;file=Field%20Service%20Data%20Model.pptx\&amp;action=edit\&amp;mobileredirect=true\&amp;DefaultItemOpen=1" TargetMode="External"/><Relationship Id="rId71" Type="http://schemas.openxmlformats.org/officeDocument/2006/relationships/hyperlink" Target="https://www.ibm.com/products/maximo/ai-asset-management" TargetMode="External"/><Relationship Id="rId92" Type="http://schemas.openxmlformats.org/officeDocument/2006/relationships/hyperlink" Target="https://www.mckinsey.com/capabilities/operations/our-insights/prediction-at-scale-how-industry-can-get-more-value-out-of-maintenance" TargetMode="External"/><Relationship Id="rId2" Type="http://schemas.openxmlformats.org/officeDocument/2006/relationships/hyperlink" Target="https://www.advfn.com/stock-market/stock-news/97872103/aquant-s-2026-field-service-benchmark-companies" TargetMode="External"/><Relationship Id="rId29" Type="http://schemas.openxmlformats.org/officeDocument/2006/relationships/hyperlink" Target="https://www.salesforce.com/service/field-service-management/ai-field-service-management-guide/" TargetMode="External"/><Relationship Id="rId24" Type="http://schemas.openxmlformats.org/officeDocument/2006/relationships/hyperlink" Target="https://www.advfn.com/stock-market/stock-news/97872103/aquant-s-2026-field-service-benchmark-companies" TargetMode="External"/><Relationship Id="rId40" Type="http://schemas.openxmlformats.org/officeDocument/2006/relationships/hyperlink" Target="https://www.advfn.com/stock-market/stock-news/97872103/aquant-s-2026-field-service-benchmark-companies" TargetMode="External"/><Relationship Id="rId45" Type="http://schemas.openxmlformats.org/officeDocument/2006/relationships/hyperlink" Target="https://www.salesforce.com/service/field-service-management/ai-field-service-management-guide/" TargetMode="External"/><Relationship Id="rId66" Type="http://schemas.openxmlformats.org/officeDocument/2006/relationships/hyperlink" Target="https://www.fieldproxy.ai/benchmarks" TargetMode="External"/><Relationship Id="rId87" Type="http://schemas.openxmlformats.org/officeDocument/2006/relationships/hyperlink" Target="https://www.salesforce.com/service/field-service-management/ai-field-service-management-guide/" TargetMode="External"/><Relationship Id="rId110" Type="http://schemas.openxmlformats.org/officeDocument/2006/relationships/hyperlink" Target="https://www.fieldproxy.ai/benchmarks" TargetMode="External"/><Relationship Id="rId115" Type="http://schemas.openxmlformats.org/officeDocument/2006/relationships/hyperlink" Target="https://thetechnicalseller-my.sharepoint.com/personal/pierre_thetechnicalseller_com/_layouts/15/Doc.aspx?sourcedoc=%7B006BE373-0A58-49F3-9872-A9ECD7BD2E25%7D\&amp;file=Alithya%20Field%20Service%20Practice%20-%20ABM%20Landing%20Page.docx\&amp;action=default\&amp;mobileredirect=true\&amp;DefaultItemOpen=1" TargetMode="External"/><Relationship Id="rId61" Type="http://schemas.openxmlformats.org/officeDocument/2006/relationships/hyperlink" Target="https://www.advfn.com/stock-market/stock-news/97872103/aquant-s-2026-field-service-benchmark-companies" TargetMode="External"/><Relationship Id="rId82" Type="http://schemas.openxmlformats.org/officeDocument/2006/relationships/hyperlink" Target="https://thetechnicalseller-my.sharepoint.com/personal/pierre_thetechnicalseller_com/_layouts/15/Doc.aspx?sourcedoc=%7B14198B87-92B3-4B6C-AE4F-ADE05A2E13CE%7D\&amp;file=Field_Service_Transition_Roadmap.pptx\&amp;action=edit\&amp;mobileredirect=true\&amp;DefaultItemOpen=1" TargetMode="External"/><Relationship Id="rId19" Type="http://schemas.openxmlformats.org/officeDocument/2006/relationships/hyperlink" Target="https://www.ibm.com/products/maximo/ai-asset-management" TargetMode="External"/><Relationship Id="rId14" Type="http://schemas.openxmlformats.org/officeDocument/2006/relationships/hyperlink" Target="https://www.advfn.com/stock-market/stock-news/97872103/aquant-s-2026-field-service-benchmark-companies" TargetMode="External"/><Relationship Id="rId30" Type="http://schemas.openxmlformats.org/officeDocument/2006/relationships/hyperlink" Target="https://www.advfn.com/stock-market/stock-news/97872103/aquant-s-2026-field-service-benchmark-companies" TargetMode="External"/><Relationship Id="rId35" Type="http://schemas.openxmlformats.org/officeDocument/2006/relationships/hyperlink" Target="https://www.geotab.com/CMS-GeneralFiles-production/NA/brochures/2025/field-service-operations/StateofFieldService2025%28ec%29RPT7Geotab.pdf" TargetMode="External"/><Relationship Id="rId56" Type="http://schemas.openxmlformats.org/officeDocument/2006/relationships/hyperlink" Target="https://www.advfn.com/stock-market/stock-news/97872103/aquant-s-2026-field-service-benchmark-companies" TargetMode="External"/><Relationship Id="rId77" Type="http://schemas.openxmlformats.org/officeDocument/2006/relationships/hyperlink" Target="https://www.salesforce.com/service/field-service-management/ai-field-service-management-guide/" TargetMode="External"/><Relationship Id="rId100" Type="http://schemas.openxmlformats.org/officeDocument/2006/relationships/hyperlink" Target="https://www.salesforce.com/service/field-service-management/ai-field-service-management-guide/" TargetMode="External"/><Relationship Id="rId105" Type="http://schemas.openxmlformats.org/officeDocument/2006/relationships/hyperlink" Target="https://www.mckinsey.com/capabilities/operations/our-insights/prediction-at-scale-how-industry-can-get-more-value-out-of-maintenance" TargetMode="External"/><Relationship Id="rId8" Type="http://schemas.openxmlformats.org/officeDocument/2006/relationships/hyperlink" Target="https://outlook.office365.com/owa/?ItemID=AAMkADFiODRjZjdkLWRiODUtNDVkYS1iYzc3LWY3OWIxMzRmZWFmYwBGAAAAAACw26wrAUSVR6ALM7wpJnJnBwD9ohCLIdWtTr1bxcTu8ET1AAAAAAEJAAD9ohCLIdWtTr1bxcTu8ET1AAFyqbVSAAA%3d\&amp;exvsurl=1\&amp;viewmodel=ReadMessageItem" TargetMode="External"/><Relationship Id="rId51" Type="http://schemas.openxmlformats.org/officeDocument/2006/relationships/hyperlink" Target="https://www.mckinsey.com/capabilities/operations/our-insights/prediction-at-scale-how-industry-can-get-more-value-out-of-maintenance" TargetMode="External"/><Relationship Id="rId72" Type="http://schemas.openxmlformats.org/officeDocument/2006/relationships/hyperlink" Target="https://www.ibm.com/products/maximo/ai-asset-management" TargetMode="External"/><Relationship Id="rId93" Type="http://schemas.openxmlformats.org/officeDocument/2006/relationships/hyperlink" Target="https://www.salesforce.com/service/field-service-management/ai-field-service-management-guide/" TargetMode="External"/><Relationship Id="rId98" Type="http://schemas.openxmlformats.org/officeDocument/2006/relationships/hyperlink" Target="https://www.advfn.com/stock-market/stock-news/97872103/aquant-s-2026-field-service-benchmark-companies" TargetMode="External"/><Relationship Id="rId3" Type="http://schemas.openxmlformats.org/officeDocument/2006/relationships/hyperlink" Target="https://www.geotab.com/resources/ebook/2026-state-of-ai-field-service/" TargetMode="External"/><Relationship Id="rId25" Type="http://schemas.openxmlformats.org/officeDocument/2006/relationships/hyperlink" Target="https://www.geotab.com/CMS-GeneralFiles-production/NA/brochures/2025/field-service-operations/StateofFieldService2025%28ec%29RPT7Geotab.pdf" TargetMode="External"/><Relationship Id="rId46" Type="http://schemas.openxmlformats.org/officeDocument/2006/relationships/hyperlink" Target="https://www.salesforce.com/service/field-service-management/ai-field-service-management-guide/" TargetMode="External"/><Relationship Id="rId67" Type="http://schemas.openxmlformats.org/officeDocument/2006/relationships/hyperlink" Target="https://www.tsia.com/blog/state-of-field-services-2026-ai" TargetMode="External"/><Relationship Id="rId116" Type="http://schemas.openxmlformats.org/officeDocument/2006/relationships/hyperlink" Target="https://www.advfn.com/stock-market/stock-news/97872103/aquant-s-2026-field-service-benchmark-companies" TargetMode="External"/><Relationship Id="rId20" Type="http://schemas.openxmlformats.org/officeDocument/2006/relationships/hyperlink" Target="https://jobcamp.co/blog/key-field-service-kpis-in-2025/" TargetMode="External"/><Relationship Id="rId41" Type="http://schemas.openxmlformats.org/officeDocument/2006/relationships/hyperlink" Target="https://discover.aquant.ai/field-service-benchmark-report" TargetMode="External"/><Relationship Id="rId62" Type="http://schemas.openxmlformats.org/officeDocument/2006/relationships/hyperlink" Target="https://discover.aquant.ai/field-service-benchmark-report" TargetMode="External"/><Relationship Id="rId83" Type="http://schemas.openxmlformats.org/officeDocument/2006/relationships/hyperlink" Target="https://21176235.fs1.hubspotusercontent-na1.net/hubfs/21176235/2025%20General%20BMR%20010824.pdf" TargetMode="External"/><Relationship Id="rId88" Type="http://schemas.openxmlformats.org/officeDocument/2006/relationships/hyperlink" Target="https://learn.microsoft.com/en-us/dynamics365/release-plan/2025wave1/service/dynamics365-field-service/" TargetMode="External"/><Relationship Id="rId111" Type="http://schemas.openxmlformats.org/officeDocument/2006/relationships/hyperlink" Target="https://jobcamp.co/blog/key-field-service-kpis-in-2025/" TargetMode="External"/><Relationship Id="rId15" Type="http://schemas.openxmlformats.org/officeDocument/2006/relationships/hyperlink" Target="https://www.advfn.com/stock-market/stock-news/97872103/aquant-s-2026-field-service-benchmark-companies" TargetMode="External"/><Relationship Id="rId36" Type="http://schemas.openxmlformats.org/officeDocument/2006/relationships/hyperlink" Target="https://www.salesforce.com/service/field-service-management/ai-field-service-management-guide/" TargetMode="External"/><Relationship Id="rId57" Type="http://schemas.openxmlformats.org/officeDocument/2006/relationships/hyperlink" Target="https://www.advfn.com/stock-market/stock-news/97872103/aquant-s-2026-field-service-benchmark-companies" TargetMode="External"/><Relationship Id="rId106" Type="http://schemas.openxmlformats.org/officeDocument/2006/relationships/hyperlink" Target="https://www.geotab.com/CMS-GeneralFiles-production/NA/brochures/2025/field-service-operations/StateofFieldService2025%28ec%29RPT7Geota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2991</Words>
  <Characters>19417</Characters>
  <Application>Microsoft Office Word</Application>
  <DocSecurity>0</DocSecurity>
  <Lines>809</Lines>
  <Paragraphs>173</Paragraphs>
  <ScaleCrop>false</ScaleCrop>
  <Company/>
  <LinksUpToDate>false</LinksUpToDate>
  <CharactersWithSpaces>22235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Pierre Hulsebus</cp:lastModifiedBy>
  <cp:revision>2</cp:revision>
  <dcterms:created xsi:type="dcterms:W3CDTF">2026-07-15T18:18:00Z</dcterms:created>
  <dcterms:modified xsi:type="dcterms:W3CDTF">2026-07-15T18:18:00Z</dcterms:modified>
</cp:coreProperties>
</file>