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4"/>
        </w:rPr>
        <w:t xml:space="preserve">Table </w:t>
      </w:r>
      <w:r>
        <w:fldChar w:fldCharType="begin" w:dirty="true"/>
      </w:r>
      <w:r>
        <w:instrText xml:space="preserve" w:dirty="true"> SEQ Table \* ARABIC </w:instrText>
      </w:r>
      <w:r>
        <w:fldChar w:fldCharType="separate" w:dirty="true"/>
      </w:r>
      <w:r>
        <w:rPr>
          <w:noProof/>
          <w:rFonts w:ascii="Calibri" w:hAnsi="Calibri"/>
          <w:sz w:val="24"/>
        </w:rPr>
        <w:t xml:space="default">1</w:t>
      </w:r>
      <w:r>
        <w:fldChar w:fldCharType="end" w:dirty="true"/>
      </w:r>
      <w:r>
        <w:rPr>
          <w:rFonts w:ascii="Calibri" w:hAnsi="Calibri"/>
          <w:sz w:val="24"/>
        </w:rPr>
        <w:t xml:space="preserve">: </w:t>
      </w:r>
      <w:r>
        <w:rPr>
          <w:rFonts w:ascii="Calibri" w:hAnsi="Calibri"/>
          <w:sz w:val="24"/>
          <w:color w:val="333333"/>
        </w:rPr>
        <w:t xml:space="default">Summer - Shared GO Terms Between Host and Symbiont</w:t>
      </w:r>
    </w:p>
    <w:p>
      <w:pPr>
        <w:spacing w:before="0" w:after="60"/>
        <w:keepNext/>
        <w:jc w:val="start"/>
        <w:pStyle w:val="caption"/>
      </w:pPr>
      <w:r>
        <w:rPr>
          <w:rFonts w:ascii="Calibri" w:hAnsi="Calibri"/>
          <w:sz w:val="20"/>
          <w:color w:val="333333"/>
        </w:rPr>
        <w:t xml:space="default">n = 18 shared significant GO terms (p.adj &lt; 0.05)</w:t>
      </w:r>
    </w:p>
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tblPr>
        <w:tblCellMar>
          <w:top w:w="0" w:type="dxa"/>
          <w:bottom w:w="0" w:type="dxa"/>
          <w:start w:w="60" w:type="dxa"/>
          <w:end w:w="60" w:type="dxa"/>
        </w:tblCellMar>
        <w:tblW w:type="auto" w:w="0"/>
        <w:tblLook w:firstRow="0" w:lastRow="0" w:firstColumn="0" w:lastColumn="0" w:noHBand="0" w:noVBand="0"/>
        <w:jc w:val="center"/>
      </w:tblPr>
      <w:tr>
        <w:trPr>
          <w:cantSplit/>
          <w:tblHeader/>
        </w:trPr>
        <w:tc>
          <w:tcPr>
            <w:tcBorders>
              <w:top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</w:tcBorders>
          </w:tcPr>
          <w:p>
            <w:pPr>
              <w:spacing w:before="0" w:after="60"/>
              <w:keepNext/>
            </w:pPr>
            <w:r>
              <w:rPr>
                <w:rFonts w:ascii="Calibri" w:hAnsi="Calibri"/>
                <w:sz w:val="20"/>
              </w:rPr>
              <w:t xml:space="default"/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Host (M. capitata)</w:t>
            </w:r>
          </w:p>
        </w:tc>
        <w:tc>
          <w:tcPr>
            <w:tcBorders>
              <w:top w:val="single" w:sz="16" w:space="0" w:color="D3D3D3"/>
              <w:bottom w:val="single" w:sz="16" w:space="0" w:color="D3D3D3"/>
              <w:end w:val="single" w:space="0" w:color="D3D3D3"/>
            </w:tcBorders>
            <w:gridSpan w:val="4"/>
          </w:tcPr>
          <w:p>
            <w:pPr>
              <w:spacing w:before="0" w:after="60"/>
              <w:keepNext/>
              <w:jc w:val="center"/>
            </w:pPr>
            <w:r>
              <w:rPr>
                <w:rFonts w:ascii="Calibri" w:hAnsi="Calibri"/>
                <w:sz w:val="20"/>
              </w:rPr>
              <w:t xml:space="default">Symbiont (D. trenchii)</w:t>
            </w:r>
          </w:p>
        </w:tc>
      </w:tr>
      <w:tr>
        <w:trPr>
          <w:cantSplit/>
          <w:tblHeader/>
        </w:trPr>
        <w:tc>
          <w:tcPr>
            <w:tcBorders>
              <w:bottom w:val="single" w:sz="16" w:space="0" w:color="D3D3D3"/>
              <w:start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 ID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Term Name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Interaction Type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Host Division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Host Direction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Host DEGs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Host p.adj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Symbiont Division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Symbiont Direction</w:t>
            </w:r>
          </w:p>
        </w:tc>
        <w:tc>
          <w:tcPr>
            <w:tcBorders>
              <w:bottom w:val="single" w:sz="16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Symbiont DEGs</w:t>
            </w:r>
          </w:p>
        </w:tc>
        <w:tc>
          <w:tcPr>
            <w:tcBorders>
              <w:bottom w:val="single" w:sz="16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Symbiont p.adj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GO:0008574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plus-end-directed microtubule motor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Synergistic 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4.04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up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9.69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GO:0000028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ribosomal small subunit assembly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Synergistic 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3.95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1.09 × 10^-2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GO:0000184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nuclear-transcribed mRNA catabolic process, nonsense-mediated decay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Synergistic 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7.35 × 10^-6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2.35 × 10^-12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GO:0002181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cytoplasmic translation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Synergistic 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1.10 × 10^-15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275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1.86 × 10^-21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GO:0006364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rRNA metabolic process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Synergistic 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195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3.78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333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4.47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GO:0006413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translational initiation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Synergistic 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107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1.90 × 10^-11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212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2.05 × 10^-13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GO:0022613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ribonucleoprotein complex biogenesis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Synergistic 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2.17 × 10^-5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610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4.47 × 10^-3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GO:0042254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ribosome biogenesis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Synergistic 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4.09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3.34 × 10^-4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GO:0042255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ribosome assembly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Synergistic 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3.95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118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3.18 × 10^-4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GO:0051668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localization within membrane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Synergistic 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2.68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2.71 × 10^-10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GO:0090150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establishment of protein localization to membrane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Synergistic 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164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1.20 × 10^-4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BP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8.89 × 10^-13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GO:0005791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rough endoplasmic reticulum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Synergistic 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1.54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86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4.32 × 10^-5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GO:0005844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obsolete polysome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Synergistic 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60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4.83 × 10^-3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4.67 × 10^-14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GO:0042788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obsolete polysomal ribosome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Synergistic 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8.03 × 10^-5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7.36 × 10^-21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GO:0044445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obsolete cytosolic part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Synergistic 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172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4.40 × 10^-9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CC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2.73 × 10^-21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GO:0003735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structural constituent of ribosome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Synergistic 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124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5.35 × 10^-15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201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6.09 × 10^-39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GO:0005198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structural molecule activity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Synergistic 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314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1.76 × 10^-4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341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1.73 × 10^-30</w:t>
            </w:r>
          </w:p>
        </w:tc>
      </w:tr>
      <w:tr>
        <w:trPr>
          <w:cantSplit/>
        </w:trPr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GO:0019843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rRNA binding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Synergistic 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43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1.34 × 10^-2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MF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start"/>
            </w:pPr>
            <w:r>
              <w:rPr>
                <w:rFonts w:ascii="Calibri" w:hAnsi="Calibri"/>
                <w:sz w:val="20"/>
              </w:rPr>
              <w:t xml:space="default">down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62</w:t>
            </w:r>
          </w:p>
        </w:tc>
        <w:tc>
          <w:tcPr>
            <w:tcBorders>
              <w:top w:val="single" w:space="0" w:color="D3D3D3"/>
              <w:bottom w:val="single" w:space="0" w:color="D3D3D3"/>
              <w:start w:val="single" w:space="0" w:color="D3D3D3"/>
              <w:end w:val="single" w:space="0" w:color="D3D3D3"/>
            </w:tcBorders>
          </w:tcPr>
          <w:p>
            <w:pPr>
              <w:spacing w:before="0" w:after="60"/>
              <w:keepNext/>
              <w:jc w:val="end"/>
            </w:pPr>
            <w:r>
              <w:rPr>
                <w:rFonts w:ascii="Calibri" w:hAnsi="Calibri"/>
                <w:sz w:val="20"/>
              </w:rPr>
              <w:t xml:space="default">2.52 × 10^-4</w:t>
            </w:r>
          </w:p>
        </w:tc>
      </w:tr>
    </w:tbl>
    <w:p>
      <w:pPr>
        <w:pStyle w:val="FirstParagraph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2026-02-17T18:58:48Z</dcterms:created>
  <dcterms:modified xsi:type="dcterms:W3CDTF">2026-02-17T18:58:48Z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