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Montipora capitata (Host) - Representative GOs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Top 20 Significant GO Terms per Season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default">#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0px"/>
              </w:rPr>
              <w:t xml:space="default">Div.</w:t>
            </w:r>
            <w:r>
              <w:rPr>
                <w:vertAlign w:val="superscript"/>
                <w:i/>
                <w:rFonts w:ascii="Calibri" w:hAnsi="Calibri"/>
                <w:sz w:val="10px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0px"/>
              </w:rPr>
              <w:t xml:space="default">GO Term Description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preserve">p~adj~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default">Z-score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0px"/>
              </w:rPr>
              <w:t xml:space="default">Dir.</w:t>
            </w:r>
            <w:r>
              <w:rPr>
                <w:vertAlign w:val="superscript"/>
                <w:i/>
                <w:rFonts w:ascii="Calibri" w:hAnsi="Calibri"/>
                <w:sz w:val="10px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default">Genes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Summer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cytoplasmic translation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2.10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structural constituent of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6.35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cytosolic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1.06 × 10^-13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plasma membrane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1.57 × 10^-10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respiratory chain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2.74 × 10^-8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oxidative phosphorylation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8.30 × 10^-8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oxidoreduction-driven active transmembrane transporter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3.71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response to topologically incorrect protein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5.69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endoplasmic reticulum protein-containing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1.69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actin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4.51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G protein-coupled receptor signaling pathway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5.15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peptidase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9.53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myosin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4.49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spliceosomal tri-snRNP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1.57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gated channel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2.75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intraciliary transport particle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2.84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oxidoreductase activity, acting on a sulfur group of donors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4.34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unfolded protein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4.74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nucleoside-triphosphatase regulator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5.02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intraciliary transport involved in cilium assembly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8.50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Winter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mitochondrial envelope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8.99 × 10^-12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cilium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9.70 × 10^-11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anchoring junction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2.94 × 10^-8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cell projection assembly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5.35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ribonucleoprotein complex biogenesis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5.35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gated channel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3.82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dynein light intermediate chain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5.52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RNA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6.24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oxidoreduction-driven active transmembrane transporter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1.07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nucleoside triphosphate metabolic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1.23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ribonucleoprotein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2.64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ATPase regulator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1.48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protein folding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4.62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guanylate cyclase complex, soluble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6.82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actin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1.86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guanylate cyclase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2.40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DNA metabolic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2.98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single-stranded DNA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5.08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histone deacetylase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1.22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protein serine/threonine kinase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1.73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Div: BP = Biological Process, CC = Cellular Component, MF = Molecular Function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Direction indicates regulation in OA treatment vs control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2026-02-05T22:37:17Z</dcterms:created>
  <dcterms:modified xsi:type="dcterms:W3CDTF">2026-02-05T22:37:17Z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