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Konda Mukesh (23EG106C31)</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i w:val="0"/>
          <w:sz w:val="24"/>
        </w:rP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Konda Mukesh</w:t>
            </w:r>
          </w:p>
        </w:tc>
        <w:tc>
          <w:tcPr>
            <w:tcW w:type="dxa" w:w="2304"/>
          </w:tcPr>
          <w:p>
            <w:pPr>
              <w:jc w:val="left"/>
            </w:pPr>
            <w:r/>
            <w:r>
              <w:rPr>
                <w:rFonts w:ascii="Times New Roman" w:hAnsi="Times New Roman"/>
                <w:sz w:val="22"/>
              </w:rPr>
              <w:t>23EG106C31</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i w:val="0"/>
          <w:sz w:val="24"/>
        </w:rPr>
        <w:t>This is to certify that the Mini Project report entitled "Plant Doctor: A Multilingual Voice-Enabled Dual-Index RAG Chatbot for Agricultural Advisory and Government Scheme Assistance" is a bonafide record of the work carried out by Konda Mukesh (23EG106C31)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Konda Mukesh (23EG106C31)</w:t>
      </w:r>
    </w:p>
    <w:p>
      <w:pPr>
        <w:sectPr>
          <w:footerReference w:type="default" r:id="rId11"/>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31</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36</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37</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25</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29</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31</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32</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0"/>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are framed as concrete, verifiable goals, each of which is mapped to a specific method in Chapter 4 and to a measured outcome in Chapter 6, so that the work can be judged against what it set out to do. The project set out to achieve the following goals. (i) To construct a domain-isolated dual-index retrieval-augmented generation architecture that keeps agricultural advisory knowledge and government-scheme knowledge in separate indices, so that a query is answered only from its own domain and the two bodies of knowledge cannot contaminate each other. (ii) To develop a hybrid retrieval mechanism that combines dense semantic search with sparse BM25 keyword search, and to fuse and diversify their results so that both the meaning of a question and its exact terms contribute to the passages that are retrieved. (iii) To apply cross-encoder reranking that reads each query and candidate passage jointly and improves the ordering of the retrieved evidence before it is passed to the language model. (iv) To support English, Hindi, Telugu and Tamil through adaptive multilingual query processing, so that a farmer can ask a question and receive an answer in a familiar language. (v) To provide voice input through speech recognition and voice output through speech synthesis, so that the service is usable by a person who prefers speaking to typing. (vi) To establish an evaluation framework that measures faithfulness, context precision, context recall, answer relevance and system latency, so that the contribution of each component can be reported honestly against reproducible numbers rather than a single headline figure.</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3" name="Picture 3"/>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906588"/>
            <wp:docPr id="4" name="Picture 4"/>
            <wp:cNvGraphicFramePr>
              <a:graphicFrameLocks noChangeAspect="1"/>
            </wp:cNvGraphicFramePr>
            <a:graphic>
              <a:graphicData uri="http://schemas.openxmlformats.org/drawingml/2006/picture">
                <pic:pic>
                  <pic:nvPicPr>
                    <pic:cNvPr id="0" name="fig_dualindex.png"/>
                    <pic:cNvPicPr/>
                  </pic:nvPicPr>
                  <pic:blipFill>
                    <a:blip r:embed="rId15"/>
                    <a:stretch>
                      <a:fillRect/>
                    </a:stretch>
                  </pic:blipFill>
                  <pic:spPr>
                    <a:xfrm>
                      <a:off x="0" y="0"/>
                      <a:ext cx="4754880" cy="2906588"/>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(i)</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(ii)</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(iii)</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(iv)</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(v)</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(vi)</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8886"/>
            <wp:docPr id="5" name="Picture 5"/>
            <wp:cNvGraphicFramePr>
              <a:graphicFrameLocks noChangeAspect="1"/>
            </wp:cNvGraphicFramePr>
            <a:graphic>
              <a:graphicData uri="http://schemas.openxmlformats.org/drawingml/2006/picture">
                <pic:pic>
                  <pic:nvPicPr>
                    <pic:cNvPr id="0" name="fig_retrieval_ablation.png"/>
                    <pic:cNvPicPr/>
                  </pic:nvPicPr>
                  <pic:blipFill>
                    <a:blip r:embed="rId16"/>
                    <a:stretch>
                      <a:fillRect/>
                    </a:stretch>
                  </pic:blipFill>
                  <pic:spPr>
                    <a:xfrm>
                      <a:off x="0" y="0"/>
                      <a:ext cx="5120640" cy="2738886"/>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21195"/>
            <wp:docPr id="6" name="Picture 6"/>
            <wp:cNvGraphicFramePr>
              <a:graphicFrameLocks noChangeAspect="1"/>
            </wp:cNvGraphicFramePr>
            <a:graphic>
              <a:graphicData uri="http://schemas.openxmlformats.org/drawingml/2006/picture">
                <pic:pic>
                  <pic:nvPicPr>
                    <pic:cNvPr id="0" name="fig_generation.png"/>
                    <pic:cNvPicPr/>
                  </pic:nvPicPr>
                  <pic:blipFill>
                    <a:blip r:embed="rId17"/>
                    <a:stretch>
                      <a:fillRect/>
                    </a:stretch>
                  </pic:blipFill>
                  <pic:spPr>
                    <a:xfrm>
                      <a:off x="0" y="0"/>
                      <a:ext cx="4206240" cy="2521195"/>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913"/>
            <wp:docPr id="7" name="Picture 7"/>
            <wp:cNvGraphicFramePr>
              <a:graphicFrameLocks noChangeAspect="1"/>
            </wp:cNvGraphicFramePr>
            <a:graphic>
              <a:graphicData uri="http://schemas.openxmlformats.org/drawingml/2006/picture">
                <pic:pic>
                  <pic:nvPicPr>
                    <pic:cNvPr id="0" name="fig_latency.png"/>
                    <pic:cNvPicPr/>
                  </pic:nvPicPr>
                  <pic:blipFill>
                    <a:blip r:embed="rId18"/>
                    <a:stretch>
                      <a:fillRect/>
                    </a:stretch>
                  </pic:blipFill>
                  <pic:spPr>
                    <a:xfrm>
                      <a:off x="0" y="0"/>
                      <a:ext cx="4572000" cy="2658913"/>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8" name="Picture 8"/>
            <wp:cNvGraphicFramePr>
              <a:graphicFrameLocks noChangeAspect="1"/>
            </wp:cNvGraphicFramePr>
            <a:graphic>
              <a:graphicData uri="http://schemas.openxmlformats.org/drawingml/2006/picture">
                <pic:pic>
                  <pic:nvPicPr>
                    <pic:cNvPr id="0" name="shot_chat_en.png"/>
                    <pic:cNvPicPr/>
                  </pic:nvPicPr>
                  <pic:blipFill>
                    <a:blip r:embed="rId19"/>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9" name="Picture 9"/>
            <wp:cNvGraphicFramePr>
              <a:graphicFrameLocks noChangeAspect="1"/>
            </wp:cNvGraphicFramePr>
            <a:graphic>
              <a:graphicData uri="http://schemas.openxmlformats.org/drawingml/2006/picture">
                <pic:pic>
                  <pic:nvPicPr>
                    <pic:cNvPr id="0" name="shot_schemes.png"/>
                    <pic:cNvPicPr/>
                  </pic:nvPicPr>
                  <pic:blipFill>
                    <a:blip r:embed="rId20"/>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0" name="Picture 10"/>
            <wp:cNvGraphicFramePr>
              <a:graphicFrameLocks noChangeAspect="1"/>
            </wp:cNvGraphicFramePr>
            <a:graphic>
              <a:graphicData uri="http://schemas.openxmlformats.org/drawingml/2006/picture">
                <pic:pic>
                  <pic:nvPicPr>
                    <pic:cNvPr id="0" name="shot_library.png"/>
                    <pic:cNvPicPr/>
                  </pic:nvPicPr>
                  <pic:blipFill>
                    <a:blip r:embed="rId21"/>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(i); hybrid dense-plus-sparse retrieval with MMR improves candidate quality (ii); Cross-Encoder reranking reorders the evidence (iii); an adaptive pipeline serves English, Hindi, Telugu and Tamil (iv); Faster-Whisper and Edge-TTS provide voice input and output (v); and a semantic evaluation framework with latency instrumentation was established (vi).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2"/>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