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Konda Mukesh (23EG106C31)</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sz w:val="24"/>
        </w:rPr>
        <w:t>We hereby declare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Konda Mukesh</w:t>
            </w:r>
          </w:p>
        </w:tc>
        <w:tc>
          <w:tcPr>
            <w:tcW w:type="dxa" w:w="2304"/>
          </w:tcPr>
          <w:p>
            <w:pPr>
              <w:jc w:val="left"/>
            </w:pPr>
            <w:r/>
            <w:r>
              <w:rPr>
                <w:rFonts w:ascii="Times New Roman" w:hAnsi="Times New Roman"/>
                <w:sz w:val="22"/>
              </w:rPr>
              <w:t>23EG106C31</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160"/>
        <w:jc w:val="center"/>
      </w:pPr>
      <w:r>
        <w:drawing>
          <wp:inline xmlns:a="http://schemas.openxmlformats.org/drawingml/2006/main" xmlns:pic="http://schemas.openxmlformats.org/drawingml/2006/picture">
            <wp:extent cx="3931920" cy="666580"/>
            <wp:docPr id="2" name="Picture 2"/>
            <wp:cNvGraphicFramePr>
              <a:graphicFrameLocks noChangeAspect="1"/>
            </wp:cNvGraphicFramePr>
            <a:graphic>
              <a:graphicData uri="http://schemas.openxmlformats.org/drawingml/2006/picture">
                <pic:pic>
                  <pic:nvPicPr>
                    <pic:cNvPr id="0" name="header_logo.png"/>
                    <pic:cNvPicPr/>
                  </pic:nvPicPr>
                  <pic:blipFill>
                    <a:blip r:embed="rId10"/>
                    <a:stretch>
                      <a:fillRect/>
                    </a:stretch>
                  </pic:blipFill>
                  <pic:spPr>
                    <a:xfrm>
                      <a:off x="0" y="0"/>
                      <a:ext cx="3931920" cy="666580"/>
                    </a:xfrm>
                    <a:prstGeom prst="rect"/>
                  </pic:spPr>
                </pic:pic>
              </a:graphicData>
            </a:graphic>
          </wp:inline>
        </w:drawing>
      </w:r>
    </w:p>
    <w:p>
      <w:pPr>
        <w:spacing w:after="200"/>
      </w:pPr>
      <w:r>
        <w:rPr>
          <w:rFonts w:ascii="Times New Roman" w:hAnsi="Times New Roman" w:cs="Times New Roman"/>
          <w:b w:val="0"/>
          <w:i w:val="0"/>
          <w:sz w:val="24"/>
        </w:rPr>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sz w:val="24"/>
        </w:rPr>
        <w:t>This is to certify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is a bonafide record of the work carried out by Konda Mukesh (23EG106C31)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Konda Mukesh (23EG106C31)</w:t>
      </w:r>
    </w:p>
    <w:p>
      <w:pPr>
        <w:sectPr>
          <w:footerReference w:type="default" r:id="rId12"/>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pPr>
        <w:tabs>
          <w:tab w:pos="8309" w:val="right" w:leader="dot"/>
        </w:tabs>
        <w:spacing w:after="80" w:line="240" w:lineRule="auto"/>
      </w:pPr>
      <w:r>
        <w:rPr>
          <w:rFonts w:ascii="Times New Roman" w:hAnsi="Times New Roman" w:cs="Times New Roman"/>
          <w:sz w:val="24"/>
        </w:rPr>
        <w:t>Abstract</w:t>
        <w:tab/>
        <w:t>i</w:t>
      </w:r>
    </w:p>
    <w:p>
      <w:pPr>
        <w:tabs>
          <w:tab w:pos="8309" w:val="right" w:leader="dot"/>
        </w:tabs>
        <w:spacing w:after="80" w:line="240" w:lineRule="auto"/>
      </w:pPr>
      <w:r>
        <w:rPr>
          <w:rFonts w:ascii="Times New Roman" w:hAnsi="Times New Roman" w:cs="Times New Roman"/>
          <w:sz w:val="24"/>
        </w:rPr>
        <w:t>List of Figures</w:t>
        <w:tab/>
        <w:t>v</w:t>
      </w:r>
    </w:p>
    <w:p>
      <w:pPr>
        <w:tabs>
          <w:tab w:pos="8309" w:val="right" w:leader="dot"/>
        </w:tabs>
        <w:spacing w:after="80" w:line="240" w:lineRule="auto"/>
      </w:pPr>
      <w:r>
        <w:rPr>
          <w:rFonts w:ascii="Times New Roman" w:hAnsi="Times New Roman" w:cs="Times New Roman"/>
          <w:sz w:val="24"/>
        </w:rPr>
        <w:t>List of Tables</w:t>
        <w:tab/>
        <w:t>vi</w:t>
      </w:r>
    </w:p>
    <w:p>
      <w:pPr>
        <w:tabs>
          <w:tab w:pos="8309" w:val="right" w:leader="dot"/>
        </w:tabs>
        <w:spacing w:after="80" w:line="240" w:lineRule="auto"/>
      </w:pPr>
      <w:r>
        <w:rPr>
          <w:rFonts w:ascii="Times New Roman" w:hAnsi="Times New Roman" w:cs="Times New Roman"/>
          <w:sz w:val="24"/>
        </w:rPr>
        <w:t>List of Abbreviations</w:t>
        <w:tab/>
        <w:t>vii</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4.3</w:t>
            </w:r>
          </w:p>
        </w:tc>
        <w:tc>
          <w:tcPr>
            <w:tcW w:type="dxa" w:w="6480"/>
          </w:tcPr>
          <w:p>
            <w:pPr>
              <w:jc w:val="left"/>
            </w:pPr>
            <w:r/>
            <w:r>
              <w:rPr>
                <w:rFonts w:ascii="Times New Roman" w:hAnsi="Times New Roman"/>
                <w:sz w:val="22"/>
              </w:rPr>
              <w:t>Retrieval and Ranking Methodology</w:t>
            </w:r>
          </w:p>
        </w:tc>
        <w:tc>
          <w:tcPr>
            <w:tcW w:type="dxa" w:w="1296"/>
          </w:tcPr>
          <w:p>
            <w:pPr>
              <w:jc w:val="left"/>
            </w:pPr>
            <w:r/>
            <w:r>
              <w:rPr>
                <w:rFonts w:ascii="Times New Roman" w:hAnsi="Times New Roman"/>
                <w:sz w:val="22"/>
              </w:rPr>
              <w:t>20</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34</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38</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26</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32</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33</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1"/>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follow directly from the problem statement. They cover the way the knowledge base is prepared, the way evidence is retrieved, the way answers are generated and translated, and the way the whole system is evaluated. Each objective is mapped to a concrete method in Chapter 4 (Table 4.2) and assessed against a measured outcome in Chapter 6. The six research objectives are stated below.</w:t>
      </w:r>
    </w:p>
    <w:p>
      <w:pPr>
        <w:pStyle w:val="ListNumber"/>
        <w:spacing w:after="60"/>
      </w:pPr>
      <w:r>
        <w:rPr>
          <w:rFonts w:ascii="Times New Roman" w:hAnsi="Times New Roman"/>
          <w:sz w:val="24"/>
        </w:rPr>
        <w:t>To construct a domain-isolated dual-index retrieval-augmented generation architecture that keeps agricultural advisory knowledge and government-scheme knowledge in separate indices, so that a query is answered only from its own domain.</w:t>
      </w:r>
    </w:p>
    <w:p>
      <w:pPr>
        <w:pStyle w:val="ListNumber"/>
        <w:spacing w:after="60"/>
      </w:pPr>
      <w:r>
        <w:rPr>
          <w:rFonts w:ascii="Times New Roman" w:hAnsi="Times New Roman"/>
          <w:sz w:val="24"/>
        </w:rPr>
        <w:t>To develop a hybrid retrieval mechanism that combines dense semantic search with sparse BM25 keyword search, fused and diversified with Maximal Marginal Relevance.</w:t>
      </w:r>
    </w:p>
    <w:p>
      <w:pPr>
        <w:pStyle w:val="ListNumber"/>
        <w:spacing w:after="60"/>
      </w:pPr>
      <w:r>
        <w:rPr>
          <w:rFonts w:ascii="Times New Roman" w:hAnsi="Times New Roman"/>
          <w:sz w:val="24"/>
        </w:rPr>
        <w:t>To apply cross-encoder reranking that reads each query and candidate passage jointly and improves the ordering of the retrieved evidence before generation.</w:t>
      </w:r>
    </w:p>
    <w:p>
      <w:pPr>
        <w:pStyle w:val="ListNumber"/>
        <w:spacing w:after="60"/>
      </w:pPr>
      <w:r>
        <w:rPr>
          <w:rFonts w:ascii="Times New Roman" w:hAnsi="Times New Roman"/>
          <w:sz w:val="24"/>
        </w:rPr>
        <w:t>To support English, Hindi, Telugu and Tamil through adaptive multilingual query processing, so that a farmer can ask and receive answers in a familiar language.</w:t>
      </w:r>
    </w:p>
    <w:p>
      <w:pPr>
        <w:pStyle w:val="ListNumber"/>
        <w:spacing w:after="60"/>
      </w:pPr>
      <w:r>
        <w:rPr>
          <w:rFonts w:ascii="Times New Roman" w:hAnsi="Times New Roman"/>
          <w:sz w:val="24"/>
        </w:rPr>
        <w:t>To provide voice input through speech recognition and voice output through speech synthesis, so that the service is usable by a person who prefers speaking to typing.</w:t>
      </w:r>
    </w:p>
    <w:p>
      <w:pPr>
        <w:pStyle w:val="ListNumber"/>
        <w:spacing w:after="60"/>
      </w:pPr>
      <w:r>
        <w:rPr>
          <w:rFonts w:ascii="Times New Roman" w:hAnsi="Times New Roman"/>
          <w:sz w:val="24"/>
        </w:rPr>
        <w:t>To establish an evaluation framework that measures faithfulness, context precision, context recall, answer relevance and system latency against reproducible numbers.</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4" name="Picture 4"/>
            <wp:cNvGraphicFramePr>
              <a:graphicFrameLocks noChangeAspect="1"/>
            </wp:cNvGraphicFramePr>
            <a:graphic>
              <a:graphicData uri="http://schemas.openxmlformats.org/drawingml/2006/picture">
                <pic:pic>
                  <pic:nvPicPr>
                    <pic:cNvPr id="0" name="fig_pipeline.png"/>
                    <pic:cNvPicPr/>
                  </pic:nvPicPr>
                  <pic:blipFill>
                    <a:blip r:embed="rId15"/>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767766"/>
            <wp:docPr id="5" name="Picture 5"/>
            <wp:cNvGraphicFramePr>
              <a:graphicFrameLocks noChangeAspect="1"/>
            </wp:cNvGraphicFramePr>
            <a:graphic>
              <a:graphicData uri="http://schemas.openxmlformats.org/drawingml/2006/picture">
                <pic:pic>
                  <pic:nvPicPr>
                    <pic:cNvPr id="0" name="fig_dualindex.png"/>
                    <pic:cNvPicPr/>
                  </pic:nvPicPr>
                  <pic:blipFill>
                    <a:blip r:embed="rId16"/>
                    <a:stretch>
                      <a:fillRect/>
                    </a:stretch>
                  </pic:blipFill>
                  <pic:spPr>
                    <a:xfrm>
                      <a:off x="0" y="0"/>
                      <a:ext cx="4754880" cy="2767766"/>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pPr>
        <w:keepNext/>
        <w:jc w:val="center"/>
      </w:pPr>
      <w:r>
        <w:drawing>
          <wp:inline xmlns:a="http://schemas.openxmlformats.org/drawingml/2006/main" xmlns:pic="http://schemas.openxmlformats.org/drawingml/2006/picture">
            <wp:extent cx="4206240" cy="3817972"/>
            <wp:docPr id="6" name="Picture 6"/>
            <wp:cNvGraphicFramePr>
              <a:graphicFrameLocks noChangeAspect="1"/>
            </wp:cNvGraphicFramePr>
            <a:graphic>
              <a:graphicData uri="http://schemas.openxmlformats.org/drawingml/2006/picture">
                <pic:pic>
                  <pic:nvPicPr>
                    <pic:cNvPr id="0" name="fig_methodology.png"/>
                    <pic:cNvPicPr/>
                  </pic:nvPicPr>
                  <pic:blipFill>
                    <a:blip r:embed="rId17"/>
                    <a:stretch>
                      <a:fillRect/>
                    </a:stretch>
                  </pic:blipFill>
                  <pic:spPr>
                    <a:xfrm>
                      <a:off x="0" y="0"/>
                      <a:ext cx="4206240" cy="3817972"/>
                    </a:xfrm>
                    <a:prstGeom prst="rect"/>
                  </pic:spPr>
                </pic:pic>
              </a:graphicData>
            </a:graphic>
          </wp:inline>
        </w:drawing>
      </w:r>
    </w:p>
    <w:p>
      <w:pPr>
        <w:spacing w:after="200"/>
        <w:jc w:val="center"/>
      </w:pPr>
      <w:r>
        <w:rPr>
          <w:rFonts w:ascii="Times New Roman" w:hAnsi="Times New Roman" w:cs="Times New Roman"/>
          <w:b w:val="0"/>
          <w:i w:val="0"/>
          <w:sz w:val="22"/>
        </w:rPr>
        <w:t>Fig. 4.3  Retrieval and ranking methodology, from the query to the grounded answer.</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3990"/>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8"/>
                    <a:stretch>
                      <a:fillRect/>
                    </a:stretch>
                  </pic:blipFill>
                  <pic:spPr>
                    <a:xfrm>
                      <a:off x="0" y="0"/>
                      <a:ext cx="5120640" cy="2733990"/>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14544"/>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9"/>
                    <a:stretch>
                      <a:fillRect/>
                    </a:stretch>
                  </pic:blipFill>
                  <pic:spPr>
                    <a:xfrm>
                      <a:off x="0" y="0"/>
                      <a:ext cx="4206240" cy="2514544"/>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204"/>
            <wp:docPr id="9" name="Picture 9"/>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4572000" cy="2658204"/>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21"/>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2"/>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3"/>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(Objective 1); hybrid dense-plus-sparse retrieval with MMR improves candidate quality (Objective 2); Cross-Encoder reranking reorders the evidence (Objective 3); an adaptive pipeline serves English, Hindi, Telugu and Tamil (Objective 4); Faster-Whisper and Edge-TTS provide voice input and output (Objective 5); and a semantic evaluation framework with latency instrumentation was established (Objective 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3"/>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