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钢材表面缺陷智能检测系统 项目结构说明书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一、说明书概述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本说明书用于详细阐述</w:t>
      </w:r>
      <w:r>
        <w:rPr>
          <w:rFonts w:eastAsia="等线" w:ascii="Arial" w:cs="Arial" w:hAnsi="Arial"/>
          <w:b w:val="true"/>
          <w:sz w:val="22"/>
        </w:rPr>
        <w:t>钢材表面缺陷智能检测系统</w:t>
      </w:r>
      <w:r>
        <w:rPr>
          <w:rFonts w:eastAsia="等线" w:ascii="Arial" w:cs="Arial" w:hAnsi="Arial"/>
          <w:sz w:val="22"/>
        </w:rPr>
        <w:t>的整体文件架构、目录分布、核心文件功能、程序运行逻辑、模块调用关系及部署规范。旨在清晰说明项目整体组成，方便项目移交、复现、部署与二次开发，适用于课程设计答辩、项目交付、代码归档等场景。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深度学习+Flask Web可视化</w:t>
      </w:r>
      <w:r>
        <w:rPr>
          <w:rFonts w:eastAsia="等线" w:ascii="Arial" w:cs="Arial" w:hAnsi="Arial"/>
          <w:sz w:val="22"/>
        </w:rPr>
        <w:t>轻量化工业检测项目，整体结构分层清晰、低耦合、高可用，所有模块独立分工、协同运行，无需高端GPU设备，普通Windows电脑即可完成训练与部署推理。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二、项目整体目录结构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项目根目录为 </w:t>
      </w:r>
      <w:r>
        <w:rPr>
          <w:rFonts w:eastAsia="等线" w:ascii="Arial" w:cs="Arial" w:hAnsi="Arial"/>
          <w:b w:val="true"/>
          <w:sz w:val="22"/>
        </w:rPr>
        <w:t>crwj</w:t>
      </w:r>
      <w:r>
        <w:rPr>
          <w:rFonts w:eastAsia="等线" w:ascii="Arial" w:cs="Arial" w:hAnsi="Arial"/>
          <w:sz w:val="22"/>
        </w:rPr>
        <w:t>，完整标准文件结构如下（所有文件缺一不可）：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crwj/</w:t>
              <w:br/>
              <w:t>├── app.py                  # 项目主启动文件、Flask后端服务入口</w:t>
              <w:br/>
              <w:t>├── config.py               # 全局配置文件（路径、参数、类别配置）</w:t>
              <w:br/>
              <w:t>├── train.py                # 模型训练主脚本</w:t>
              <w:br/>
              <w:t>├── offline_verify.py        # 模型离线验证脚本（检验模型精度）</w:t>
              <w:br/>
              <w:t>├── read_dataset.py         # 数据集读取与封装脚本</w:t>
              <w:br/>
              <w:t>├── model/</w:t>
              <w:br/>
              <w:t>│   └── detect_model.py     # 自定义缺陷检测CNN网络模型</w:t>
              <w:br/>
              <w:t>├── neu_processed/          # 预处理后的钢材缺陷数据集</w:t>
              <w:br/>
              <w:t>├── templates/</w:t>
              <w:br/>
              <w:t>│   └── index.html          # 前端可视化UI页面（科技风完整版）</w:t>
              <w:br/>
              <w:t>└── best.pt                 # 训练完成的最优模型权重文件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三、各文件详细功能说明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根目录核心启动文件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（1）app.py —— 项目入口服务文件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本文件为整个Web系统的</w:t>
      </w:r>
      <w:r>
        <w:rPr>
          <w:rFonts w:eastAsia="等线" w:ascii="Arial" w:cs="Arial" w:hAnsi="Arial"/>
          <w:b w:val="true"/>
          <w:sz w:val="22"/>
        </w:rPr>
        <w:t>唯一启动入口</w:t>
      </w:r>
      <w:r>
        <w:rPr>
          <w:rFonts w:eastAsia="等线" w:ascii="Arial" w:cs="Arial" w:hAnsi="Arial"/>
          <w:sz w:val="22"/>
        </w:rPr>
        <w:t>，承担后端服务、接口交互、模型推理核心功能。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主要功能：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加载训练好的best.pt模型权重，初始化神经网络；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搭建Flask服务，配置两大核心路由：首页渲染路由、图片预测接口路由；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接收前端上传图片字节流，采用</w:t>
      </w:r>
      <w:r>
        <w:rPr>
          <w:rFonts w:eastAsia="等线" w:ascii="Arial" w:cs="Arial" w:hAnsi="Arial"/>
          <w:b w:val="true"/>
          <w:sz w:val="22"/>
        </w:rPr>
        <w:t>内存直接解码</w:t>
      </w:r>
      <w:r>
        <w:rPr>
          <w:rFonts w:eastAsia="等线" w:ascii="Arial" w:cs="Arial" w:hAnsi="Arial"/>
          <w:sz w:val="22"/>
        </w:rPr>
        <w:t>方案，规避Windows中文路径、磁盘读写报错问题；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完成图像预处理、尺寸归一化、张量转换，送入模型推理；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返回标准化JSON结果：缺陷类别、类别索引、置信度，全局捕获异常，保证服务稳定；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支撑前端动画、置信度进度条、概率分布、历史记录的数据交互。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（2）config.py —— 全局统一配置文件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项目全局参数统一管理文件，实现参数解耦，方便后期修改迭代。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包含配置：模型保存路径、数据集路径、图片统一尺寸、6类缺陷中文类别名称等全局常量。所有脚本统一读取该文件参数，避免参数混乱。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（3）train.py —— 模型训练脚本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项目模型训练核心文件，用于从零训练缺陷检测卷积神经网络。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主要功能：读取数据集、划分训练集与测试集、设置迭代次数、学习率、正则化参数、前向传播、反向更新参数、自动保存最优模型权重为best.pt。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若项目无权重文件，可直接运行该脚本自动生成可用模型。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（4）offline_verify.py —— 离线模型验证脚本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独立于Web服务的模型检测工具，用于</w:t>
      </w:r>
      <w:r>
        <w:rPr>
          <w:rFonts w:eastAsia="等线" w:ascii="Arial" w:cs="Arial" w:hAnsi="Arial"/>
          <w:b w:val="true"/>
          <w:sz w:val="22"/>
        </w:rPr>
        <w:t>验证模型本身精度是否达标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自动遍历6类不同缺陷样本，测试模型分类能力，排除网页、接口、图片读取带来的干扰，专门用于区分「模型问题」和「代码工程问题」，是项目调试的核心工具。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（5）read_dataset.py —— 数据集解析脚本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专门用于读取neu_processed数据集，封装图片路径、标签信息，为训练脚本和验证脚本提供标准化数据输入，统一数据格式，避免数据读取混乱。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模型模块（model文件夹）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detect_model.py —— 自定义CNN网络结构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项目核心神经网络文件，自主搭建轻量化DefectCNN模型，无第三方预训练依赖。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网络结构：多层卷积提取缺陷纹理特征、最大池化降维、全连接层分类、Dropout防止过拟合，适配工业灰度缺陷图像，兼顾检测速度与精度，适合PC端轻量化部署。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前端模块（templates文件夹）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index.html —— 可视化交互界面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项目唯一前端页面，采用深色科技玻璃拟态高级UI设计，负责所有用户交互展示。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核心功能：图片点击/拖拽上传、实时预览、扫描检测动画、置信度进度条可视化、各类缺陷概率分布展示、检测历史记录保存与预览、响应式自适应布局。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通过AJAX异步请求后端/predict接口，实现前后端无刷新数据交互。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资源与权重文件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（1）neu_processed 数据集文件夹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存放预处理完成的钢材6类缺陷数据集图片，是模型训练的数据来源。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（2）best.pt 模型权重文件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训练完成后自动生成的最优模型参数文件，是模型的「训练成果」。项目运行时直接加载该文件，无需重复训练，实现开箱即用。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四、项目整体运行流程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完整运行链路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 → 前端页面上传图片 → 前端发送图片字节流至后端 /predict 接口 → 后端内存解码预处理 → CNN模型推理 → 后端返回JSON结果 → 前端动态渲染数据、展示动画与结果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两种运行模式</w:t>
      </w:r>
      <w:bookmarkEnd w:id="1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部署使用模式（常用）</w:t>
      </w:r>
      <w:r>
        <w:rPr>
          <w:rFonts w:eastAsia="等线" w:ascii="Arial" w:cs="Arial" w:hAnsi="Arial"/>
          <w:sz w:val="22"/>
        </w:rPr>
        <w:t>：直接运行 app.py，加载已有best.pt权重，网页实时检测，无需训练；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模型训练模式</w:t>
      </w:r>
      <w:r>
        <w:rPr>
          <w:rFonts w:eastAsia="等线" w:ascii="Arial" w:cs="Arial" w:hAnsi="Arial"/>
          <w:sz w:val="22"/>
        </w:rPr>
        <w:t>：运行 train.py，重新训练生成新权重，适用于权重丢失、数据集更新、模型优化场景。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五、模块调用关系说明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1、训练阶段：train.py → 调用 read_dataset.py 读取数据 → 调用 detect_model.py 网络结构 → 训练生成 best.pt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2、验证阶段：offline_verify.py → 读取数据集与权重 → 独立验证模型精度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3、部署阶段：app.py → 加载 detect_model.py + best.pt → 对接前端 index.html 实现可视化检测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六、项目结构优势说明</w:t>
      </w:r>
      <w:bookmarkEnd w:id="2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分层明确</w:t>
      </w:r>
      <w:r>
        <w:rPr>
          <w:rFonts w:eastAsia="等线" w:ascii="Arial" w:cs="Arial" w:hAnsi="Arial"/>
          <w:sz w:val="22"/>
        </w:rPr>
        <w:t>：数据层、模型层、服务层、前端层完全分离，各司其职，代码可读性高；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解耦性强</w:t>
      </w:r>
      <w:r>
        <w:rPr>
          <w:rFonts w:eastAsia="等线" w:ascii="Arial" w:cs="Arial" w:hAnsi="Arial"/>
          <w:sz w:val="22"/>
        </w:rPr>
        <w:t>：全局参数统一配置，网络、数据、服务独立封装，方便修改、迭代、优化；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工程性完善</w:t>
      </w:r>
      <w:r>
        <w:rPr>
          <w:rFonts w:eastAsia="等线" w:ascii="Arial" w:cs="Arial" w:hAnsi="Arial"/>
          <w:sz w:val="22"/>
        </w:rPr>
        <w:t>：解决Windows中文路径、图片读写、接口解析、模型推理等全部工程bug，稳定性极高；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易用性高</w:t>
      </w:r>
      <w:r>
        <w:rPr>
          <w:rFonts w:eastAsia="等线" w:ascii="Arial" w:cs="Arial" w:hAnsi="Arial"/>
          <w:sz w:val="22"/>
        </w:rPr>
        <w:t>：区分训练、验证、部署三大场景，新手可一键运行，开箱即用；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可扩展性强</w:t>
      </w:r>
      <w:r>
        <w:rPr>
          <w:rFonts w:eastAsia="等线" w:ascii="Arial" w:cs="Arial" w:hAnsi="Arial"/>
          <w:sz w:val="22"/>
        </w:rPr>
        <w:t>：结构预留扩展空间，可后续新增批量检测、结果导出、缺陷定位、外网部署等功能。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七、项目使用规范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1、正常使用：只需运行 app.py，禁止随意修改模型结构与配置参数；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2、权重丢失：执行 train.py 重新训练生成权重；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3、模型精度测试：使用 offline_verify.py 单独验证模型性能；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4、前端修改：仅编辑 templates/index.html，不改动后端核心代码。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7397">
    <w:lvl>
      <w:numFmt w:val="bullet"/>
      <w:suff w:val="tab"/>
      <w:lvlText w:val="•"/>
      <w:rPr>
        <w:color w:val="3370ff"/>
      </w:rPr>
    </w:lvl>
  </w:abstractNum>
  <w:abstractNum w:abstractNumId="1757398">
    <w:lvl>
      <w:numFmt w:val="bullet"/>
      <w:suff w:val="tab"/>
      <w:lvlText w:val="•"/>
      <w:rPr>
        <w:color w:val="3370ff"/>
      </w:rPr>
    </w:lvl>
  </w:abstractNum>
  <w:abstractNum w:abstractNumId="1757399">
    <w:lvl>
      <w:numFmt w:val="bullet"/>
      <w:suff w:val="tab"/>
      <w:lvlText w:val="•"/>
      <w:rPr>
        <w:color w:val="3370ff"/>
      </w:rPr>
    </w:lvl>
  </w:abstractNum>
  <w:abstractNum w:abstractNumId="1757400">
    <w:lvl>
      <w:numFmt w:val="bullet"/>
      <w:suff w:val="tab"/>
      <w:lvlText w:val="•"/>
      <w:rPr>
        <w:color w:val="3370ff"/>
      </w:rPr>
    </w:lvl>
  </w:abstractNum>
  <w:abstractNum w:abstractNumId="1757401">
    <w:lvl>
      <w:numFmt w:val="bullet"/>
      <w:suff w:val="tab"/>
      <w:lvlText w:val="•"/>
      <w:rPr>
        <w:color w:val="3370ff"/>
      </w:rPr>
    </w:lvl>
  </w:abstractNum>
  <w:abstractNum w:abstractNumId="1757402">
    <w:lvl>
      <w:numFmt w:val="bullet"/>
      <w:suff w:val="tab"/>
      <w:lvlText w:val="•"/>
      <w:rPr>
        <w:color w:val="3370ff"/>
      </w:rPr>
    </w:lvl>
  </w:abstractNum>
  <w:abstractNum w:abstractNumId="1757403">
    <w:lvl>
      <w:numFmt w:val="bullet"/>
      <w:suff w:val="tab"/>
      <w:lvlText w:val="•"/>
      <w:rPr>
        <w:color w:val="3370ff"/>
      </w:rPr>
    </w:lvl>
  </w:abstractNum>
  <w:abstractNum w:abstractNumId="1757404">
    <w:lvl>
      <w:numFmt w:val="bullet"/>
      <w:suff w:val="tab"/>
      <w:lvlText w:val="•"/>
      <w:rPr>
        <w:color w:val="3370ff"/>
      </w:rPr>
    </w:lvl>
  </w:abstractNum>
  <w:abstractNum w:abstractNumId="1757405">
    <w:lvl>
      <w:numFmt w:val="bullet"/>
      <w:suff w:val="tab"/>
      <w:lvlText w:val="•"/>
      <w:rPr>
        <w:color w:val="3370ff"/>
      </w:rPr>
    </w:lvl>
  </w:abstractNum>
  <w:abstractNum w:abstractNumId="1757406">
    <w:lvl>
      <w:numFmt w:val="bullet"/>
      <w:suff w:val="tab"/>
      <w:lvlText w:val="•"/>
      <w:rPr>
        <w:color w:val="3370ff"/>
      </w:rPr>
    </w:lvl>
  </w:abstractNum>
  <w:abstractNum w:abstractNumId="1757407">
    <w:lvl>
      <w:numFmt w:val="bullet"/>
      <w:suff w:val="tab"/>
      <w:lvlText w:val="•"/>
      <w:rPr>
        <w:color w:val="3370ff"/>
      </w:rPr>
    </w:lvl>
  </w:abstractNum>
  <w:abstractNum w:abstractNumId="1757408">
    <w:lvl>
      <w:numFmt w:val="bullet"/>
      <w:suff w:val="tab"/>
      <w:lvlText w:val="•"/>
      <w:rPr>
        <w:color w:val="3370ff"/>
      </w:rPr>
    </w:lvl>
  </w:abstractNum>
  <w:abstractNum w:abstractNumId="1757409">
    <w:lvl>
      <w:numFmt w:val="bullet"/>
      <w:suff w:val="tab"/>
      <w:lvlText w:val="•"/>
      <w:rPr>
        <w:color w:val="3370ff"/>
      </w:rPr>
    </w:lvl>
  </w:abstractNum>
  <w:num w:numId="1">
    <w:abstractNumId w:val="1757397"/>
  </w:num>
  <w:num w:numId="2">
    <w:abstractNumId w:val="1757398"/>
  </w:num>
  <w:num w:numId="3">
    <w:abstractNumId w:val="1757399"/>
  </w:num>
  <w:num w:numId="4">
    <w:abstractNumId w:val="1757400"/>
  </w:num>
  <w:num w:numId="5">
    <w:abstractNumId w:val="1757401"/>
  </w:num>
  <w:num w:numId="6">
    <w:abstractNumId w:val="1757402"/>
  </w:num>
  <w:num w:numId="7">
    <w:abstractNumId w:val="1757403"/>
  </w:num>
  <w:num w:numId="8">
    <w:abstractNumId w:val="1757404"/>
  </w:num>
  <w:num w:numId="9">
    <w:abstractNumId w:val="1757405"/>
  </w:num>
  <w:num w:numId="10">
    <w:abstractNumId w:val="1757406"/>
  </w:num>
  <w:num w:numId="11">
    <w:abstractNumId w:val="1757407"/>
  </w:num>
  <w:num w:numId="12">
    <w:abstractNumId w:val="1757408"/>
  </w:num>
  <w:num w:numId="13">
    <w:abstractNumId w:val="1757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2026-09-03T14:54:00Z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{"Label":"1","ContentProducer":"001191110102MACQD9K64010000","ProduceID":"7681322344100056044","ReservedCode1":"","ContentPropagator":"","PropagateID":"","ReservedCode2":""}</vt:lpwstr>
  </property>
</Properties>
</file>