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5394"/>
          <w:sz w:val="36"/>
        </w:rPr>
        <w:t>PAX 1391 Block 9 Coding Walkthrough</w:t>
      </w:r>
    </w:p>
    <w:p>
      <w:pPr>
        <w:jc w:val="center"/>
      </w:pPr>
      <w:r>
        <w:rPr>
          <w:i/>
          <w:color w:val="444444"/>
          <w:sz w:val="22"/>
        </w:rPr>
        <w:t>SCH-1024 Worked Example  ·  Repair Building 1024, Armory Expansion &amp; Admin Conversion</w:t>
      </w:r>
    </w:p>
    <w:p>
      <w:pPr>
        <w:jc w:val="center"/>
      </w:pPr>
      <w:r>
        <w:rPr>
          <w:i/>
          <w:color w:val="666666"/>
          <w:sz w:val="20"/>
        </w:rPr>
        <w:t>Camp Schwab, Okinawa, Japan  ·  FY 2026 Special Projects Program  ·  MCIPAC G-F PPE</w:t>
      </w:r>
    </w:p>
    <w:p/>
    <w:p>
      <w:pPr>
        <w:pStyle w:val="Heading1"/>
      </w:pPr>
      <w:r>
        <w:rPr>
          <w:color w:val="0B5394"/>
        </w:rPr>
        <w:t>1. Project facts</w:t>
      </w:r>
    </w:p>
    <w:p>
      <w:r>
        <w:rPr>
          <w:b w:val="0"/>
          <w:i w:val="0"/>
          <w:sz w:val="22"/>
        </w:rPr>
        <w:t>Project Number: BU26PPE70M.   PAX ID: 387356.   iNFADS RPUID: 148675.   Category Code: 14346 per the PAX printed form (workbook records show 14345; verify against iNFADS at entry).   Total Building GSF: 84,861.   Scope-Affected Area: 26,488 SF (first floor renovation).</w:t>
      </w:r>
    </w:p>
    <w:p>
      <w:r>
        <w:rPr>
          <w:b w:val="0"/>
          <w:i w:val="0"/>
          <w:sz w:val="22"/>
        </w:rPr>
        <w:t>Sources reviewed for this walkthrough: the live PAX Block 9 Data screen, the live Associated Costs dialog, and the printed FY 2026 Special Projects Program form dated 09 April 2026 (Branch Chief approval Bil Hawkins) and 21 April 2026 (PWO approval Justus OConnor). All facts below are taken from those three artifacts.</w:t>
      </w:r>
    </w:p>
    <w:p>
      <w:pPr>
        <w:pStyle w:val="Heading1"/>
      </w:pPr>
      <w:r>
        <w:rPr>
          <w:color w:val="0B5394"/>
        </w:rPr>
        <w:t>2. How PAX organizes Block 9</w:t>
      </w:r>
    </w:p>
    <w:p>
      <w:r>
        <w:rPr>
          <w:b w:val="0"/>
          <w:i w:val="0"/>
          <w:sz w:val="22"/>
        </w:rPr>
        <w:t>PAX 1391 Processor splits Block 9 into two operator-controlled inputs and one auto-rendered output.</w:t>
      </w:r>
    </w:p>
    <w:p>
      <w:r>
        <w:rPr>
          <w:b/>
          <w:i w:val="0"/>
          <w:sz w:val="22"/>
        </w:rPr>
        <w:t>The Block 9 Data screen.</w:t>
      </w:r>
    </w:p>
    <w:p>
      <w:r>
        <w:rPr>
          <w:b w:val="0"/>
          <w:i w:val="0"/>
          <w:sz w:val="22"/>
        </w:rPr>
        <w:t>This is the items table. Each row is one line item. Columns are: ID, Description, Classification of Work, Work Type, UM, Quantity, Unit Cost, and Total Cost ($000). The toolbar above the table provides an Add button, a Delete button, a Dollar item button, and a Percent item button. The first row is reserved for the iNFADS-supplied building line; PAX populates Description, Classification of Work, Work Type, UM, and Quantity from the iNFADS property record and that row is not operator-editable. Below it the operator adds dollar items, percent items, or both.</w:t>
      </w:r>
    </w:p>
    <w:p>
      <w:r>
        <w:rPr>
          <w:b/>
          <w:i w:val="0"/>
          <w:sz w:val="22"/>
        </w:rPr>
        <w:t>The Associated Costs dialog.</w:t>
      </w:r>
    </w:p>
    <w:p>
      <w:r>
        <w:rPr>
          <w:b w:val="0"/>
          <w:i w:val="0"/>
          <w:sz w:val="22"/>
        </w:rPr>
        <w:t>This dialog opens from a button on the Block 9 Data screen. It contains four named percent slots: Contingency, Supervision Inspection and Overhead, Design Build (required field), and Planning and Design. Each slot accepts a percentage value. PAX applies the rate to its own internal base when rendering the printed form.</w:t>
      </w:r>
    </w:p>
    <w:p>
      <w:r>
        <w:rPr>
          <w:b/>
          <w:i w:val="0"/>
          <w:sz w:val="22"/>
        </w:rPr>
        <w:t>The printed FY 2026 Special Projects Program form.</w:t>
      </w:r>
    </w:p>
    <w:p>
      <w:r>
        <w:rPr>
          <w:b w:val="0"/>
          <w:i w:val="0"/>
          <w:sz w:val="22"/>
        </w:rPr>
        <w:t>PAX renders the printed form from the items table plus the Associated Costs dialog. The items table fills the line-item section near the top of the form. The Subtotal at the bottom of that section equals the sum of the items table rows. Below the Subtotal, PAX prints a rollup section with rows for Contingency, SIOH, Total Funded Cost, Total Project Cost, and Planning and Design (NON ADD). Each rollup row shows its rate from Associated Costs and the dollar amount PAX computed.</w:t>
      </w:r>
    </w:p>
    <w:p>
      <w:pPr>
        <w:pStyle w:val="Heading1"/>
      </w:pPr>
      <w:r>
        <w:rPr>
          <w:color w:val="0B5394"/>
        </w:rPr>
        <w:t>3. Current state of SCH-1024 in PAX</w:t>
      </w:r>
    </w:p>
    <w:p>
      <w:r>
        <w:rPr>
          <w:b w:val="0"/>
          <w:i w:val="0"/>
          <w:sz w:val="22"/>
        </w:rPr>
        <w:t>All cost rollup adders are entered as dollar line items in the items table. The four Associated Costs percent slots are all set to 0.00%. As a result, the printed form Subtotal equals Total Funded Cost equals Total Project Cost ($10,412K).</w:t>
      </w:r>
    </w:p>
    <w:p>
      <w:r>
        <w:rPr>
          <w:b/>
          <w:i w:val="0"/>
          <w:sz w:val="22"/>
        </w:rPr>
        <w:t>Items table contents today (18 rows total):</w:t>
      </w:r>
    </w:p>
    <w:p>
      <w:pPr>
        <w:pStyle w:val="ListBullet"/>
      </w:pPr>
      <w:r>
        <w:t>Row 1: iNFADS-locked building line — MULTI PURPOSE BEQ/BOQ/CO HQS, C, RM, SF, 1.00, $10,412,000.00, $10,412.</w:t>
      </w:r>
    </w:p>
    <w:p>
      <w:pPr>
        <w:pStyle w:val="ListBullet"/>
      </w:pPr>
      <w:r>
        <w:t>Rows 2 through 12: eleven scope rows, dollar items, with UNIFORMAT II Level 2 prefixes (B20, C10, C30, D20, D30, D40, D50, E20, F20, G10, G20). Total $5,519K.</w:t>
      </w:r>
    </w:p>
    <w:p>
      <w:pPr>
        <w:pStyle w:val="ListBullet"/>
      </w:pPr>
      <w:r>
        <w:t>Row 13: Contingency dollar item — $552K.</w:t>
      </w:r>
    </w:p>
    <w:p>
      <w:pPr>
        <w:pStyle w:val="ListBullet"/>
      </w:pPr>
      <w:r>
        <w:t>Row 14: LSH dollar item (Life Safety and Health Allowance, 2.5% of iNFADS PRV $96,523,347) — $2,413K.</w:t>
      </w:r>
    </w:p>
    <w:p>
      <w:pPr>
        <w:pStyle w:val="ListBullet"/>
      </w:pPr>
      <w:r>
        <w:t>Row 15: Planning and Design dollar item (6% of Construction Base) — $509K.</w:t>
      </w:r>
    </w:p>
    <w:p>
      <w:pPr>
        <w:pStyle w:val="ListBullet"/>
      </w:pPr>
      <w:r>
        <w:t>Row 16: SIOH dollar item (8%) — $679K.</w:t>
      </w:r>
    </w:p>
    <w:p>
      <w:pPr>
        <w:pStyle w:val="ListBullet"/>
      </w:pPr>
      <w:r>
        <w:t>Row 17: CM dollar item (Construction Management, 4% of Construction Base) — $339K.</w:t>
      </w:r>
    </w:p>
    <w:p>
      <w:pPr>
        <w:pStyle w:val="ListBullet"/>
      </w:pPr>
      <w:r>
        <w:t>Row 18: DB Design dollar item (Design-Build Design, 4% of Total Funded) — $401K.</w:t>
      </w:r>
    </w:p>
    <w:p>
      <w:r>
        <w:rPr>
          <w:b w:val="0"/>
          <w:i/>
          <w:sz w:val="22"/>
        </w:rPr>
        <w:t>Associated Costs dialog today: Contingency 0.00%, Supervision Inspection and Overhead 0.00%, Design Build 0.00%, Planning and Design 0%.</w:t>
      </w:r>
    </w:p>
    <w:p>
      <w:r>
        <w:rPr>
          <w:b w:val="0"/>
          <w:i/>
          <w:sz w:val="22"/>
        </w:rPr>
        <w:t>Printed form rollup today: Subtotal $10,412, Contingency (0.0%) $0, SIOH (0.0%) $0, Total Funded Cost $10,412, Total Project Cost $10,412, Planning and Design (0%) (NON ADD) $0.</w:t>
      </w:r>
    </w:p>
    <w:p>
      <w:pPr>
        <w:pStyle w:val="Heading1"/>
      </w:pPr>
      <w:r>
        <w:rPr>
          <w:color w:val="0B5394"/>
        </w:rPr>
        <w:t>4. Proposed coding change</w:t>
      </w:r>
    </w:p>
    <w:p>
      <w:r>
        <w:rPr>
          <w:b w:val="0"/>
          <w:i w:val="0"/>
          <w:sz w:val="22"/>
        </w:rPr>
        <w:t>Move the rollup adders out of the items table and into the Associated Costs dialog as percentages. Strip the UNIFORMAT prefixes from the eleven scope rows and rewrite their descriptions in plain English. Dollar values do not change.</w:t>
      </w:r>
    </w:p>
    <w:p>
      <w:r>
        <w:rPr>
          <w:b/>
          <w:i w:val="0"/>
          <w:sz w:val="22"/>
        </w:rPr>
        <w:t>Items table after the change (12 rows, plus optional 13th for LSH per Section 5):</w:t>
      </w:r>
    </w:p>
    <w:p>
      <w:pPr>
        <w:pStyle w:val="ListBullet"/>
      </w:pPr>
      <w:r>
        <w:t>Row 1: iNFADS-locked building line, unchanged.</w:t>
      </w:r>
    </w:p>
    <w:p>
      <w:pPr>
        <w:pStyle w:val="ListBullet"/>
      </w:pPr>
      <w:r>
        <w:t>Rows 2 through 12: eleven scope rows, plain-English descriptions, dollar items, totaling $5,519K. (The renamed-line table follows in Section 6.)</w:t>
      </w:r>
    </w:p>
    <w:p>
      <w:r>
        <w:rPr>
          <w:b/>
          <w:i w:val="0"/>
          <w:sz w:val="22"/>
        </w:rPr>
        <w:t>Associated Costs dialog after the change:</w:t>
      </w:r>
    </w:p>
    <w:p>
      <w:pPr>
        <w:pStyle w:val="ListBullet"/>
      </w:pPr>
      <w:r>
        <w:t>Contingency: 10.00 %</w:t>
      </w:r>
    </w:p>
    <w:p>
      <w:pPr>
        <w:pStyle w:val="ListBullet"/>
      </w:pPr>
      <w:r>
        <w:t>Supervision, Inspection, and Overhead: 8.00 %</w:t>
      </w:r>
    </w:p>
    <w:p>
      <w:pPr>
        <w:pStyle w:val="ListBullet"/>
      </w:pPr>
      <w:r>
        <w:t>Design Build: 4.00 %</w:t>
      </w:r>
    </w:p>
    <w:p>
      <w:pPr>
        <w:pStyle w:val="ListBullet"/>
      </w:pPr>
      <w:r>
        <w:t>Planning and Design: 10.00 %  (covers NAVFAC 6% Design plus 4% Construction Management combined; PAX has no native CM percent slot, so CM rides under Planning and Design and the breakout is disclosed in the Block 10 narrative).</w:t>
      </w:r>
    </w:p>
    <w:p>
      <w:pPr>
        <w:pStyle w:val="Heading1"/>
      </w:pPr>
      <w:r>
        <w:rPr>
          <w:color w:val="0B5394"/>
        </w:rPr>
        <w:t>5. LSH methodology call</w:t>
      </w:r>
    </w:p>
    <w:p>
      <w:r>
        <w:rPr>
          <w:b w:val="0"/>
          <w:i w:val="0"/>
          <w:sz w:val="22"/>
        </w:rPr>
        <w:t>The Marine Corps 2.5%-of-PRV Life Safety and Health allowance ($2,413K) does not have a native percent slot in the PAX Associated Costs dialog. The amount has to live somewhere. Two options preserve the dollar value:</w:t>
      </w:r>
    </w:p>
    <w:p>
      <w:pPr>
        <w:pStyle w:val="ListBullet"/>
      </w:pPr>
      <w:r>
        <w:t>Option A: keep LSH as one dollar line item in the items table, named 'Life Safety and Health Allowance, 2.5% of iNFADS PRV $96,523,347 per NAVFAC 11010.44E CH-1 / MCO 11000.12'. Items table then has 13 rows. This is the simplest path because it matches how LSH is recorded today.</w:t>
      </w:r>
    </w:p>
    <w:p>
      <w:pPr>
        <w:pStyle w:val="ListBullet"/>
      </w:pPr>
      <w:r>
        <w:t>Option B: bake the $2,413K into the scope total. Allocate proportionally across the eleven scope rows or to the building line. Block 10 narrative discloses the LSH share and authority. Items table then has 12 rows.</w:t>
      </w:r>
    </w:p>
    <w:p>
      <w:r>
        <w:rPr>
          <w:b w:val="0"/>
          <w:i w:val="0"/>
          <w:sz w:val="22"/>
        </w:rPr>
        <w:t>Methodology call goes to Bil before PAX entry.</w:t>
      </w:r>
    </w:p>
    <w:p>
      <w:pPr>
        <w:pStyle w:val="Heading1"/>
      </w:pPr>
      <w:r>
        <w:rPr>
          <w:color w:val="0B5394"/>
        </w:rPr>
        <w:t>6. Renamed scope lines (descriptions only; dollar values unchanged)</w:t>
      </w:r>
    </w:p>
    <w:p>
      <w:r>
        <w:rPr>
          <w:b w:val="0"/>
          <w:i w:val="0"/>
          <w:sz w:val="22"/>
        </w:rPr>
        <w:t>The current line items use UNIFORMAT II Level 2 prefixes and discipline-first descriptions. The proposed renamed descriptions remove the UNIFORMAT prefix and lead with the work being done in plain English. The dollar values come directly from the printed 1391.</w:t>
      </w:r>
    </w:p>
    <w:tbl>
      <w:tblPr>
        <w:tblStyle w:val="LightGrid-Accent1"/>
        <w:tblW w:type="auto" w:w="0"/>
        <w:tblLayout w:type="fixed"/>
        <w:tblLook w:firstColumn="1" w:firstRow="1" w:lastColumn="0" w:lastRow="0" w:noHBand="0" w:noVBand="1" w:val="04A0"/>
      </w:tblPr>
      <w:tblGrid>
        <w:gridCol w:w="2412"/>
        <w:gridCol w:w="2412"/>
        <w:gridCol w:w="2412"/>
        <w:gridCol w:w="2412"/>
      </w:tblGrid>
      <w:tr>
        <w:tc>
          <w:tcPr>
            <w:tcW w:type="dxa" w:w="576"/>
            <w:shd w:val="clear" w:color="auto" w:fill="0B5394"/>
          </w:tcPr>
          <w:p>
            <w:r>
              <w:rPr>
                <w:b/>
                <w:color w:val="FFFFFF"/>
              </w:rPr>
              <w:t>Row</w:t>
            </w:r>
          </w:p>
        </w:tc>
        <w:tc>
          <w:tcPr>
            <w:tcW w:type="dxa" w:w="3744"/>
            <w:shd w:val="clear" w:color="auto" w:fill="0B5394"/>
          </w:tcPr>
          <w:p>
            <w:r>
              <w:rPr>
                <w:b/>
                <w:color w:val="FFFFFF"/>
              </w:rPr>
              <w:t>Current description</w:t>
            </w:r>
          </w:p>
        </w:tc>
        <w:tc>
          <w:tcPr>
            <w:tcW w:type="dxa" w:w="4320"/>
            <w:shd w:val="clear" w:color="auto" w:fill="0B5394"/>
          </w:tcPr>
          <w:p>
            <w:r>
              <w:rPr>
                <w:b/>
                <w:color w:val="FFFFFF"/>
              </w:rPr>
              <w:t>Proposed renamed description</w:t>
            </w:r>
          </w:p>
        </w:tc>
        <w:tc>
          <w:tcPr>
            <w:tcW w:type="dxa" w:w="1008"/>
            <w:shd w:val="clear" w:color="auto" w:fill="0B5394"/>
          </w:tcPr>
          <w:p>
            <w:r>
              <w:rPr>
                <w:b/>
                <w:color w:val="FFFFFF"/>
              </w:rPr>
              <w:t>Cost ($000)</w:t>
            </w:r>
          </w:p>
        </w:tc>
      </w:tr>
      <w:tr>
        <w:tc>
          <w:tcPr>
            <w:tcW w:type="dxa" w:w="576"/>
          </w:tcPr>
          <w:p>
            <w:r>
              <w:rPr>
                <w:sz w:val="19"/>
              </w:rPr>
              <w:t>1</w:t>
            </w:r>
          </w:p>
        </w:tc>
        <w:tc>
          <w:tcPr>
            <w:tcW w:type="dxa" w:w="3744"/>
          </w:tcPr>
          <w:p>
            <w:r>
              <w:rPr>
                <w:sz w:val="19"/>
              </w:rPr>
              <w:t>B20 — Exterior Enclosure: CMU infill and weapons port windows...</w:t>
            </w:r>
          </w:p>
        </w:tc>
        <w:tc>
          <w:tcPr>
            <w:tcW w:type="dxa" w:w="4320"/>
          </w:tcPr>
          <w:p>
            <w:r>
              <w:rPr>
                <w:sz w:val="19"/>
              </w:rPr>
              <w:t>Exterior Enclosure — CMU infill at 28 weapons port openings</w:t>
            </w:r>
          </w:p>
        </w:tc>
        <w:tc>
          <w:tcPr>
            <w:tcW w:type="dxa" w:w="1008"/>
          </w:tcPr>
          <w:p>
            <w:r>
              <w:rPr>
                <w:sz w:val="19"/>
              </w:rPr>
              <w:t>267</w:t>
            </w:r>
          </w:p>
        </w:tc>
      </w:tr>
      <w:tr>
        <w:tc>
          <w:tcPr>
            <w:tcW w:type="dxa" w:w="576"/>
          </w:tcPr>
          <w:p>
            <w:r>
              <w:rPr>
                <w:sz w:val="19"/>
              </w:rPr>
              <w:t>2</w:t>
            </w:r>
          </w:p>
        </w:tc>
        <w:tc>
          <w:tcPr>
            <w:tcW w:type="dxa" w:w="3744"/>
          </w:tcPr>
          <w:p>
            <w:r>
              <w:rPr>
                <w:sz w:val="19"/>
              </w:rPr>
              <w:t>C10 — Interior Construction: vault doors, structural walls, partitions...</w:t>
            </w:r>
          </w:p>
        </w:tc>
        <w:tc>
          <w:tcPr>
            <w:tcW w:type="dxa" w:w="4320"/>
          </w:tcPr>
          <w:p>
            <w:r>
              <w:rPr>
                <w:sz w:val="19"/>
              </w:rPr>
              <w:t>Interior Construction — vault doors, structural walls, partitions, COMM room, OSS entrance</w:t>
            </w:r>
          </w:p>
        </w:tc>
        <w:tc>
          <w:tcPr>
            <w:tcW w:type="dxa" w:w="1008"/>
          </w:tcPr>
          <w:p>
            <w:r>
              <w:rPr>
                <w:sz w:val="19"/>
              </w:rPr>
              <w:t>401</w:t>
            </w:r>
          </w:p>
        </w:tc>
      </w:tr>
      <w:tr>
        <w:tc>
          <w:tcPr>
            <w:tcW w:type="dxa" w:w="576"/>
          </w:tcPr>
          <w:p>
            <w:r>
              <w:rPr>
                <w:sz w:val="19"/>
              </w:rPr>
              <w:t>3</w:t>
            </w:r>
          </w:p>
        </w:tc>
        <w:tc>
          <w:tcPr>
            <w:tcW w:type="dxa" w:w="3744"/>
          </w:tcPr>
          <w:p>
            <w:r>
              <w:rPr>
                <w:sz w:val="19"/>
              </w:rPr>
              <w:t>C30 — Interior Finishes: paint, VCT, CT tile, bathroom...</w:t>
            </w:r>
          </w:p>
        </w:tc>
        <w:tc>
          <w:tcPr>
            <w:tcW w:type="dxa" w:w="4320"/>
          </w:tcPr>
          <w:p>
            <w:r>
              <w:rPr>
                <w:sz w:val="19"/>
              </w:rPr>
              <w:t>Interior Finishes — paint, VCT, ceiling tile, bathroom and OSS finishes, armory spaces</w:t>
            </w:r>
          </w:p>
        </w:tc>
        <w:tc>
          <w:tcPr>
            <w:tcW w:type="dxa" w:w="1008"/>
          </w:tcPr>
          <w:p>
            <w:r>
              <w:rPr>
                <w:sz w:val="19"/>
              </w:rPr>
              <w:t>190</w:t>
            </w:r>
          </w:p>
        </w:tc>
      </w:tr>
      <w:tr>
        <w:tc>
          <w:tcPr>
            <w:tcW w:type="dxa" w:w="576"/>
          </w:tcPr>
          <w:p>
            <w:r>
              <w:rPr>
                <w:sz w:val="19"/>
              </w:rPr>
              <w:t>4</w:t>
            </w:r>
          </w:p>
        </w:tc>
        <w:tc>
          <w:tcPr>
            <w:tcW w:type="dxa" w:w="3744"/>
          </w:tcPr>
          <w:p>
            <w:r>
              <w:rPr>
                <w:sz w:val="19"/>
              </w:rPr>
              <w:t>D20 — Plumbing: fixture capping, water fountains, OSS plumbing...</w:t>
            </w:r>
          </w:p>
        </w:tc>
        <w:tc>
          <w:tcPr>
            <w:tcW w:type="dxa" w:w="4320"/>
          </w:tcPr>
          <w:p>
            <w:r>
              <w:rPr>
                <w:sz w:val="19"/>
              </w:rPr>
              <w:t>Plumbing — fixture capping, water fountains, OSS plumbing removal</w:t>
            </w:r>
          </w:p>
        </w:tc>
        <w:tc>
          <w:tcPr>
            <w:tcW w:type="dxa" w:w="1008"/>
          </w:tcPr>
          <w:p>
            <w:r>
              <w:rPr>
                <w:sz w:val="19"/>
              </w:rPr>
              <w:t>195</w:t>
            </w:r>
          </w:p>
        </w:tc>
      </w:tr>
      <w:tr>
        <w:tc>
          <w:tcPr>
            <w:tcW w:type="dxa" w:w="576"/>
          </w:tcPr>
          <w:p>
            <w:r>
              <w:rPr>
                <w:sz w:val="19"/>
              </w:rPr>
              <w:t>5</w:t>
            </w:r>
          </w:p>
        </w:tc>
        <w:tc>
          <w:tcPr>
            <w:tcW w:type="dxa" w:w="3744"/>
          </w:tcPr>
          <w:p>
            <w:r>
              <w:rPr>
                <w:sz w:val="19"/>
              </w:rPr>
              <w:t>D30 — HVAC: ceiling realign, exhaust, split A/C, DX multi-zone...</w:t>
            </w:r>
          </w:p>
        </w:tc>
        <w:tc>
          <w:tcPr>
            <w:tcW w:type="dxa" w:w="4320"/>
          </w:tcPr>
          <w:p>
            <w:r>
              <w:rPr>
                <w:sz w:val="19"/>
              </w:rPr>
              <w:t>HVAC — chillers, exhaust, split A/C, DX multi-zone, ceiling realign, TAB</w:t>
            </w:r>
          </w:p>
        </w:tc>
        <w:tc>
          <w:tcPr>
            <w:tcW w:type="dxa" w:w="1008"/>
          </w:tcPr>
          <w:p>
            <w:r>
              <w:rPr>
                <w:sz w:val="19"/>
              </w:rPr>
              <w:t>1,674</w:t>
            </w:r>
          </w:p>
        </w:tc>
      </w:tr>
      <w:tr>
        <w:tc>
          <w:tcPr>
            <w:tcW w:type="dxa" w:w="576"/>
          </w:tcPr>
          <w:p>
            <w:r>
              <w:rPr>
                <w:sz w:val="19"/>
              </w:rPr>
              <w:t>6</w:t>
            </w:r>
          </w:p>
        </w:tc>
        <w:tc>
          <w:tcPr>
            <w:tcW w:type="dxa" w:w="3744"/>
          </w:tcPr>
          <w:p>
            <w:r>
              <w:rPr>
                <w:sz w:val="19"/>
              </w:rPr>
              <w:t>D40 — Fire Protection: fire hose cabinet replacement, 4 EA...</w:t>
            </w:r>
          </w:p>
        </w:tc>
        <w:tc>
          <w:tcPr>
            <w:tcW w:type="dxa" w:w="4320"/>
          </w:tcPr>
          <w:p>
            <w:r>
              <w:rPr>
                <w:sz w:val="19"/>
              </w:rPr>
              <w:t>Fire Protection — fire hose cabinet replacement, 4 EA per NFPA 10</w:t>
            </w:r>
          </w:p>
        </w:tc>
        <w:tc>
          <w:tcPr>
            <w:tcW w:type="dxa" w:w="1008"/>
          </w:tcPr>
          <w:p>
            <w:r>
              <w:rPr>
                <w:sz w:val="19"/>
              </w:rPr>
              <w:t>22</w:t>
            </w:r>
          </w:p>
        </w:tc>
      </w:tr>
      <w:tr>
        <w:tc>
          <w:tcPr>
            <w:tcW w:type="dxa" w:w="576"/>
          </w:tcPr>
          <w:p>
            <w:r>
              <w:rPr>
                <w:sz w:val="19"/>
              </w:rPr>
              <w:t>7</w:t>
            </w:r>
          </w:p>
        </w:tc>
        <w:tc>
          <w:tcPr>
            <w:tcW w:type="dxa" w:w="3744"/>
          </w:tcPr>
          <w:p>
            <w:r>
              <w:rPr>
                <w:sz w:val="19"/>
              </w:rPr>
              <w:t>D50 — Electrical and Communications: ...</w:t>
            </w:r>
          </w:p>
        </w:tc>
        <w:tc>
          <w:tcPr>
            <w:tcW w:type="dxa" w:w="4320"/>
          </w:tcPr>
          <w:p>
            <w:r>
              <w:rPr>
                <w:sz w:val="19"/>
              </w:rPr>
              <w:t>Electrical and Communications — IDS/ESS, WAOs, SIPR network, telecom room, OSP/ISP, lighting</w:t>
            </w:r>
          </w:p>
        </w:tc>
        <w:tc>
          <w:tcPr>
            <w:tcW w:type="dxa" w:w="1008"/>
          </w:tcPr>
          <w:p>
            <w:r>
              <w:rPr>
                <w:sz w:val="19"/>
              </w:rPr>
              <w:t>1,801</w:t>
            </w:r>
          </w:p>
        </w:tc>
      </w:tr>
      <w:tr>
        <w:tc>
          <w:tcPr>
            <w:tcW w:type="dxa" w:w="576"/>
          </w:tcPr>
          <w:p>
            <w:r>
              <w:rPr>
                <w:sz w:val="19"/>
              </w:rPr>
              <w:t>8</w:t>
            </w:r>
          </w:p>
        </w:tc>
        <w:tc>
          <w:tcPr>
            <w:tcW w:type="dxa" w:w="3744"/>
          </w:tcPr>
          <w:p>
            <w:r>
              <w:rPr>
                <w:sz w:val="19"/>
              </w:rPr>
              <w:t>E20 — Furnishings: stainless steel shelves at 11 weapons issue port windows</w:t>
            </w:r>
          </w:p>
        </w:tc>
        <w:tc>
          <w:tcPr>
            <w:tcW w:type="dxa" w:w="4320"/>
          </w:tcPr>
          <w:p>
            <w:r>
              <w:rPr>
                <w:sz w:val="19"/>
              </w:rPr>
              <w:t>Furnishings — stainless steel shelves at 11 weapons issue port windows</w:t>
            </w:r>
          </w:p>
        </w:tc>
        <w:tc>
          <w:tcPr>
            <w:tcW w:type="dxa" w:w="1008"/>
          </w:tcPr>
          <w:p>
            <w:r>
              <w:rPr>
                <w:sz w:val="19"/>
              </w:rPr>
              <w:t>14</w:t>
            </w:r>
          </w:p>
        </w:tc>
      </w:tr>
      <w:tr>
        <w:tc>
          <w:tcPr>
            <w:tcW w:type="dxa" w:w="576"/>
          </w:tcPr>
          <w:p>
            <w:r>
              <w:rPr>
                <w:sz w:val="19"/>
              </w:rPr>
              <w:t>9</w:t>
            </w:r>
          </w:p>
        </w:tc>
        <w:tc>
          <w:tcPr>
            <w:tcW w:type="dxa" w:w="3744"/>
          </w:tcPr>
          <w:p>
            <w:r>
              <w:rPr>
                <w:sz w:val="19"/>
              </w:rPr>
              <w:t>F20 — Selective Demolition: window/door, ceiling, OSS gut, ACM mastic abatement</w:t>
            </w:r>
          </w:p>
        </w:tc>
        <w:tc>
          <w:tcPr>
            <w:tcW w:type="dxa" w:w="4320"/>
          </w:tcPr>
          <w:p>
            <w:r>
              <w:rPr>
                <w:sz w:val="19"/>
              </w:rPr>
              <w:t>Selective Demolition — window/door, ceiling, OSS gut, ACM mastic abatement per Bhate 2001</w:t>
            </w:r>
          </w:p>
        </w:tc>
        <w:tc>
          <w:tcPr>
            <w:tcW w:type="dxa" w:w="1008"/>
          </w:tcPr>
          <w:p>
            <w:r>
              <w:rPr>
                <w:sz w:val="19"/>
              </w:rPr>
              <w:t>432</w:t>
            </w:r>
          </w:p>
        </w:tc>
      </w:tr>
      <w:tr>
        <w:tc>
          <w:tcPr>
            <w:tcW w:type="dxa" w:w="576"/>
          </w:tcPr>
          <w:p>
            <w:r>
              <w:rPr>
                <w:sz w:val="19"/>
              </w:rPr>
              <w:t>10</w:t>
            </w:r>
          </w:p>
        </w:tc>
        <w:tc>
          <w:tcPr>
            <w:tcW w:type="dxa" w:w="3744"/>
          </w:tcPr>
          <w:p>
            <w:r>
              <w:rPr>
                <w:sz w:val="19"/>
              </w:rPr>
              <w:t>G10 — Site Preparation: tree removal at exterior pad locations</w:t>
            </w:r>
          </w:p>
        </w:tc>
        <w:tc>
          <w:tcPr>
            <w:tcW w:type="dxa" w:w="4320"/>
          </w:tcPr>
          <w:p>
            <w:r>
              <w:rPr>
                <w:sz w:val="19"/>
              </w:rPr>
              <w:t>Site Preparation — tree removal at six new exterior pad locations</w:t>
            </w:r>
          </w:p>
        </w:tc>
        <w:tc>
          <w:tcPr>
            <w:tcW w:type="dxa" w:w="1008"/>
          </w:tcPr>
          <w:p>
            <w:r>
              <w:rPr>
                <w:sz w:val="19"/>
              </w:rPr>
              <w:t>19</w:t>
            </w:r>
          </w:p>
        </w:tc>
      </w:tr>
      <w:tr>
        <w:tc>
          <w:tcPr>
            <w:tcW w:type="dxa" w:w="576"/>
          </w:tcPr>
          <w:p>
            <w:r>
              <w:rPr>
                <w:sz w:val="19"/>
              </w:rPr>
              <w:t>11</w:t>
            </w:r>
          </w:p>
        </w:tc>
        <w:tc>
          <w:tcPr>
            <w:tcW w:type="dxa" w:w="3744"/>
          </w:tcPr>
          <w:p>
            <w:r>
              <w:rPr>
                <w:sz w:val="19"/>
              </w:rPr>
              <w:t>G20 — Site Improvements: walkways, landings, concrete pads, covered overhangs, pavilion</w:t>
            </w:r>
          </w:p>
        </w:tc>
        <w:tc>
          <w:tcPr>
            <w:tcW w:type="dxa" w:w="4320"/>
          </w:tcPr>
          <w:p>
            <w:r>
              <w:rPr>
                <w:sz w:val="19"/>
              </w:rPr>
              <w:t>Site Improvements — walkways, landings, concrete pads, covered overhangs, pavilion</w:t>
            </w:r>
          </w:p>
        </w:tc>
        <w:tc>
          <w:tcPr>
            <w:tcW w:type="dxa" w:w="1008"/>
          </w:tcPr>
          <w:p>
            <w:r>
              <w:rPr>
                <w:sz w:val="19"/>
              </w:rPr>
              <w:t>504</w:t>
            </w:r>
          </w:p>
        </w:tc>
      </w:tr>
    </w:tbl>
    <w:p/>
    <w:p>
      <w:r>
        <w:rPr>
          <w:b w:val="0"/>
          <w:i/>
          <w:sz w:val="20"/>
        </w:rPr>
        <w:t>Sum of the eleven scope rows: 267 + 401 + 190 + 195 + 1,674 + 22 + 1,801 + 14 + 432 + 19 + 504 = $5,519. Workbook subtotal $5,520.182 (one $K of rounding consistent with $000 rounding on the printed form).</w:t>
      </w:r>
    </w:p>
    <w:p>
      <w:pPr>
        <w:pStyle w:val="Heading1"/>
      </w:pPr>
      <w:r>
        <w:rPr>
          <w:color w:val="0B5394"/>
        </w:rPr>
        <w:t>7. Data flow</w:t>
      </w:r>
    </w:p>
    <w:p>
      <w:r>
        <w:rPr>
          <w:b w:val="0"/>
          <w:i w:val="0"/>
          <w:sz w:val="22"/>
        </w:rPr>
        <w:t>The diagram below maps each input to the field it lands in on the printed form.</w:t>
      </w:r>
    </w:p>
    <w:p>
      <w:pPr>
        <w:jc w:val="center"/>
      </w:pPr>
      <w:r>
        <w:drawing>
          <wp:inline xmlns:a="http://schemas.openxmlformats.org/drawingml/2006/main" xmlns:pic="http://schemas.openxmlformats.org/drawingml/2006/picture">
            <wp:extent cx="6035040" cy="4334077"/>
            <wp:docPr id="1" name="Picture 1"/>
            <wp:cNvGraphicFramePr>
              <a:graphicFrameLocks noChangeAspect="1"/>
            </wp:cNvGraphicFramePr>
            <a:graphic>
              <a:graphicData uri="http://schemas.openxmlformats.org/drawingml/2006/picture">
                <pic:pic>
                  <pic:nvPicPr>
                    <pic:cNvPr id="0" name="PAX_DATAFLOW.png"/>
                    <pic:cNvPicPr/>
                  </pic:nvPicPr>
                  <pic:blipFill>
                    <a:blip r:embed="rId9"/>
                    <a:stretch>
                      <a:fillRect/>
                    </a:stretch>
                  </pic:blipFill>
                  <pic:spPr>
                    <a:xfrm>
                      <a:off x="0" y="0"/>
                      <a:ext cx="6035040" cy="4334077"/>
                    </a:xfrm>
                    <a:prstGeom prst="rect"/>
                  </pic:spPr>
                </pic:pic>
              </a:graphicData>
            </a:graphic>
          </wp:inline>
        </w:drawing>
      </w:r>
    </w:p>
    <w:p>
      <w:pPr>
        <w:pStyle w:val="Heading1"/>
      </w:pPr>
      <w:r>
        <w:rPr>
          <w:color w:val="0B5394"/>
        </w:rPr>
        <w:t>8. Verification step at PAX entry</w:t>
      </w:r>
    </w:p>
    <w:p>
      <w:r>
        <w:rPr>
          <w:b w:val="0"/>
          <w:i w:val="0"/>
          <w:sz w:val="22"/>
        </w:rPr>
        <w:t>PAX's internal base for each Associated Costs percentage has not been observed outside the all-zero state. The exact resulting Total Project Cost on the printed form after the proposed change cannot be predicted without rendering it.</w:t>
      </w:r>
    </w:p>
    <w:p>
      <w:r>
        <w:rPr>
          <w:b w:val="0"/>
          <w:i w:val="0"/>
          <w:sz w:val="22"/>
        </w:rPr>
        <w:t>Workbook target Total Funded Cost: $10,012,635 ($10,012K rounded).</w:t>
      </w:r>
    </w:p>
    <w:p>
      <w:r>
        <w:rPr>
          <w:b w:val="0"/>
          <w:i w:val="0"/>
          <w:sz w:val="22"/>
        </w:rPr>
        <w:t>Workbook target Total Project Cost: $10,413,140 ($10,413K rounded).</w:t>
      </w:r>
    </w:p>
    <w:p>
      <w:r>
        <w:rPr>
          <w:b/>
          <w:i w:val="0"/>
          <w:sz w:val="22"/>
        </w:rPr>
        <w:t>Steps to take at PAX entry:</w:t>
      </w:r>
    </w:p>
    <w:p>
      <w:pPr>
        <w:pStyle w:val="ListBullet"/>
      </w:pPr>
      <w:r>
        <w:t>Make the change in PAX (delete the six adder dollar items; enter the four Associated Costs percentages).</w:t>
      </w:r>
    </w:p>
    <w:p>
      <w:pPr>
        <w:pStyle w:val="ListBullet"/>
      </w:pPr>
      <w:r>
        <w:t>Save the entry and re-render the printed FY 2026 Special Projects Program form.</w:t>
      </w:r>
    </w:p>
    <w:p>
      <w:pPr>
        <w:pStyle w:val="ListBullet"/>
      </w:pPr>
      <w:r>
        <w:t>Compare the printed Subtotal, Contingency line, SIOH line, Total Funded Cost, Total Project Cost, and Planning and Design (NON ADD) line against the workbook target values.</w:t>
      </w:r>
    </w:p>
    <w:p>
      <w:pPr>
        <w:pStyle w:val="ListBullet"/>
      </w:pPr>
      <w:r>
        <w:t>If a delta exists, the resolution is one of: change LSH option (A) or (B), adjust the percentage rates to match what PAX computes against its base, or adjust the workbook to match PAX's calculation methodology.</w:t>
      </w:r>
    </w:p>
    <w:p>
      <w:pPr>
        <w:pStyle w:val="ListBullet"/>
      </w:pPr>
      <w:r>
        <w:t>Document the chosen reconciliation in CEPBKUP ESTIMATE Section F-11.</w:t>
      </w:r>
    </w:p>
    <w:p>
      <w:pPr>
        <w:pStyle w:val="Heading1"/>
      </w:pPr>
      <w:r>
        <w:rPr>
          <w:color w:val="0B5394"/>
        </w:rPr>
        <w:t>9. Portfolio mirror</w:t>
      </w:r>
    </w:p>
    <w:p>
      <w:r>
        <w:rPr>
          <w:b w:val="0"/>
          <w:i w:val="0"/>
          <w:sz w:val="22"/>
        </w:rPr>
        <w:t>Once the SCH-1024 approach is concurred, the same coding mirrors across SCH-3270, SCH-3213, SCH-3237, and SCH-3314. The percentage rates are identical for all five buildings (Contingency 10%, SIOH 8%, Design Build 4%, Planning and Design 10%). The LSH option chosen for SCH-1024 applies to the other four. Renamed-line tables for the other four buildings live in the per-building files in the project repository.</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