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4178808</wp:posOffset>
            </wp:positionH>
            <wp:positionV relativeFrom="paragraph">
              <wp:posOffset>152400</wp:posOffset>
            </wp:positionV>
            <wp:extent cx="1606626" cy="329520"/>
            <wp:effectExtent b="0" l="0" r="0" t="0"/>
            <wp:wrapSquare wrapText="bothSides" distB="152400" distT="152400" distL="152400" distR="152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6626" cy="329520"/>
                    </a:xfrm>
                    <a:prstGeom prst="rect"/>
                    <a:ln/>
                  </pic:spPr>
                </pic:pic>
              </a:graphicData>
            </a:graphic>
          </wp:anchor>
        </w:drawing>
      </w:r>
    </w:p>
    <w:p w:rsidR="00000000" w:rsidDel="00000000" w:rsidP="00000000" w:rsidRDefault="00000000" w:rsidRPr="00000000" w14:paraId="00000002">
      <w:pPr>
        <w:spacing w:line="240" w:lineRule="auto"/>
        <w:rPr/>
      </w:pPr>
      <w:r w:rsidDel="00000000" w:rsidR="00000000" w:rsidRPr="00000000">
        <w:rPr>
          <w:rFonts w:ascii="Helvetica Neue" w:cs="Helvetica Neue" w:eastAsia="Helvetica Neue" w:hAnsi="Helvetica Neue"/>
          <w:b w:val="1"/>
          <w:sz w:val="40"/>
          <w:szCs w:val="40"/>
          <w:rtl w:val="0"/>
        </w:rPr>
        <w:t xml:space="preserve">CS 171 – Design Sprint</w:t>
      </w:r>
      <w:r w:rsidDel="00000000" w:rsidR="00000000" w:rsidRPr="00000000">
        <w:rPr>
          <w:rtl w:val="0"/>
        </w:rPr>
      </w:r>
    </w:p>
    <w:p w:rsidR="00000000" w:rsidDel="00000000" w:rsidP="00000000" w:rsidRDefault="00000000" w:rsidRPr="00000000" w14:paraId="00000003">
      <w:pPr>
        <w:rPr/>
      </w:pPr>
      <w:r w:rsidDel="00000000" w:rsidR="00000000" w:rsidRPr="00000000">
        <w:rPr>
          <w:rFonts w:ascii="Helvetica Neue Light" w:cs="Helvetica Neue Light" w:eastAsia="Helvetica Neue Light" w:hAnsi="Helvetica Neue Light"/>
          <w:rtl w:val="0"/>
        </w:rPr>
        <w:t xml:space="preserve">Week 3 - Sketch</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week, you will individually </w:t>
      </w:r>
      <w:r w:rsidDel="00000000" w:rsidR="00000000" w:rsidRPr="00000000">
        <w:rPr>
          <w:b w:val="1"/>
          <w:rtl w:val="0"/>
        </w:rPr>
        <w:t xml:space="preserve">sketch </w:t>
      </w:r>
      <w:r w:rsidDel="00000000" w:rsidR="00000000" w:rsidRPr="00000000">
        <w:rPr>
          <w:rtl w:val="0"/>
        </w:rPr>
        <w:t xml:space="preserve">interactive visualizations to answer the questions you proposed in week 2. You do not need to come up with a single visualization that can answer all of the questions. Instead, think of visualizations that answer each question individually. Be open-minded and sketch whatever comes to your mind. Please do not limit yourself to what Tableau might be capable of.</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We are going to put your team into the break-out rooms, but you are expected to work individually this time. You need to:</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Use paper and pencil or pen (we prefer Sharpies) in black. You can also use colored pencils and pens if you like, but it is not required. Remember, sketches are quick and do not need to be detailed or ‘beautiful.’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Create </w:t>
      </w:r>
      <w:r w:rsidDel="00000000" w:rsidR="00000000" w:rsidRPr="00000000">
        <w:rPr>
          <w:b w:val="1"/>
          <w:rtl w:val="0"/>
        </w:rPr>
        <w:t xml:space="preserve">at least 10 sketches per group member </w:t>
      </w:r>
      <w:r w:rsidDel="00000000" w:rsidR="00000000" w:rsidRPr="00000000">
        <w:rPr>
          <w:rtl w:val="0"/>
        </w:rPr>
        <w:t xml:space="preserve">that answer some or all of the questions you came up with in week 2 during the ‘map’ phase. It is OK if you create more than one sketch per question, and it is also OK if you do not address all of the questions, as long as you address most of them.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Once you have finished your sketches on paper, take pictures and upload them into your process book. It does not matter if you have one or multiple sketches per paper or picture. Make sure to put your name before the images in the document. Make sure you label each sketch with the question it is answering.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Finish all of these week 3 tasks and update your process book </w:t>
      </w:r>
      <w:r w:rsidDel="00000000" w:rsidR="00000000" w:rsidRPr="00000000">
        <w:rPr>
          <w:b w:val="1"/>
          <w:rtl w:val="0"/>
        </w:rPr>
        <w:t xml:space="preserve">before 11:59 pm EDT on Sunday, September 20</w:t>
      </w:r>
      <w:r w:rsidDel="00000000" w:rsidR="00000000" w:rsidRPr="00000000">
        <w:rPr>
          <w:rtl w:val="0"/>
        </w:rPr>
        <w:t xml:space="preserve">. We will continue with the “Decide” phase in week 4’s class. </w:t>
      </w:r>
    </w:p>
    <w:p w:rsidR="00000000" w:rsidDel="00000000" w:rsidP="00000000" w:rsidRDefault="00000000" w:rsidRPr="00000000" w14:paraId="0000000E">
      <w:pPr>
        <w:ind w:left="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