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rFonts w:ascii="Arial" w:cs="Arial" w:eastAsia="Arial" w:hAnsi="Arial"/>
          <w:b/>
          <w:bCs/>
          <w:color w:val="1F4D3A"/>
          <w:sz w:val="38"/>
          <w:szCs w:val="38"/>
        </w:rPr>
        <w:t xml:space="preserve">Sprint 1 retrospective</w:t>
      </w:r>
    </w:p>
    <w:p>
      <w:pPr>
        <w:spacing w:after="140" w:line="264"/>
      </w:pPr>
      <w:r>
        <w:rPr>
          <w:rFonts w:ascii="Arial" w:cs="Arial" w:eastAsia="Arial" w:hAnsi="Arial"/>
          <w:color w:val="555555"/>
          <w:sz w:val="22"/>
          <w:szCs w:val="22"/>
        </w:rPr>
        <w:t xml:space="preserve">Agentic Lender, Sprint 1 (8 to 25 Oct 2026). Jira ticket AL-51.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B7B7B7" w:sz="4"/>
              <w:left w:val="single" w:color="B7B7B7" w:sz="4"/>
              <w:bottom w:val="single" w:color="B7B7B7" w:sz="4"/>
              <w:right w:val="single" w:color="B7B7B7" w:sz="4"/>
            </w:tcBorders>
            <w:shd w:fill="F4EFE6" w:color="auto" w:val="clear"/>
            <w:tcMar>
              <w:top w:type="dxa" w:w="40"/>
              <w:left w:type="dxa" w:w="100"/>
              <w:bottom w:type="dxa" w:w="40"/>
              <w:right w:type="dxa" w:w="100"/>
            </w:tcMar>
          </w:tcPr>
          <w:p>
            <w:pPr>
              <w:spacing w:after="20"/>
            </w:pPr>
            <w:r>
              <w:rPr>
                <w:rFonts w:ascii="Arial" w:cs="Arial" w:eastAsia="Arial" w:hAnsi="Arial"/>
                <w:b/>
                <w:bCs/>
                <w:sz w:val="17"/>
                <w:szCs w:val="17"/>
              </w:rPr>
              <w:t xml:space="preserve">How it was held</w:t>
            </w:r>
          </w:p>
        </w:tc>
        <w:tc>
          <w:tcPr>
            <w:tcW w:type="dxa" w:w="79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In writing in the #meetings channel on 22 and 23 Oct 2026, because the four of us had no common time before the submission. All four members replied: Nikoloz, Ibrahima, Nicholas and Solomon.</w:t>
            </w:r>
          </w:p>
        </w:tc>
      </w:tr>
      <w:tr>
        <w:trPr>
          <w:cantSplit/>
        </w:trPr>
        <w:tc>
          <w:tcPr>
            <w:tcW w:type="dxa" w:w="2000"/>
            <w:tcBorders>
              <w:top w:val="single" w:color="B7B7B7" w:sz="4"/>
              <w:left w:val="single" w:color="B7B7B7" w:sz="4"/>
              <w:bottom w:val="single" w:color="B7B7B7" w:sz="4"/>
              <w:right w:val="single" w:color="B7B7B7" w:sz="4"/>
            </w:tcBorders>
            <w:shd w:fill="F4EFE6" w:color="auto" w:val="clear"/>
            <w:tcMar>
              <w:top w:type="dxa" w:w="40"/>
              <w:left w:type="dxa" w:w="100"/>
              <w:bottom w:type="dxa" w:w="40"/>
              <w:right w:type="dxa" w:w="100"/>
            </w:tcMar>
          </w:tcPr>
          <w:p>
            <w:pPr>
              <w:spacing w:after="20"/>
            </w:pPr>
            <w:r>
              <w:rPr>
                <w:rFonts w:ascii="Arial" w:cs="Arial" w:eastAsia="Arial" w:hAnsi="Arial"/>
                <w:b/>
                <w:bCs/>
                <w:sz w:val="17"/>
                <w:szCs w:val="17"/>
              </w:rPr>
              <w:t xml:space="preserve">Status as of</w:t>
            </w:r>
          </w:p>
        </w:tc>
        <w:tc>
          <w:tcPr>
            <w:tcW w:type="dxa" w:w="79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23 Oct 2026, evening. Numbers are from Jira and GitHub at that time.</w:t>
            </w:r>
          </w:p>
        </w:tc>
      </w:tr>
      <w:tr>
        <w:trPr>
          <w:cantSplit/>
        </w:trPr>
        <w:tc>
          <w:tcPr>
            <w:tcW w:type="dxa" w:w="2000"/>
            <w:tcBorders>
              <w:top w:val="single" w:color="B7B7B7" w:sz="4"/>
              <w:left w:val="single" w:color="B7B7B7" w:sz="4"/>
              <w:bottom w:val="single" w:color="B7B7B7" w:sz="4"/>
              <w:right w:val="single" w:color="B7B7B7" w:sz="4"/>
            </w:tcBorders>
            <w:shd w:fill="F4EFE6" w:color="auto" w:val="clear"/>
            <w:tcMar>
              <w:top w:type="dxa" w:w="40"/>
              <w:left w:type="dxa" w:w="100"/>
              <w:bottom w:type="dxa" w:w="40"/>
              <w:right w:type="dxa" w:w="100"/>
            </w:tcMar>
          </w:tcPr>
          <w:p>
            <w:pPr>
              <w:spacing w:after="20"/>
            </w:pPr>
            <w:r>
              <w:rPr>
                <w:rFonts w:ascii="Arial" w:cs="Arial" w:eastAsia="Arial" w:hAnsi="Arial"/>
                <w:b/>
                <w:bCs/>
                <w:sz w:val="17"/>
                <w:szCs w:val="17"/>
              </w:rPr>
              <w:t xml:space="preserve">Full review</w:t>
            </w:r>
          </w:p>
        </w:tc>
        <w:tc>
          <w:tcPr>
            <w:tcW w:type="dxa" w:w="79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The Confluence page "Sprint 1 retrospective" (space AL) lists all 77 Sprint 1 tickets, each as finished or not, with its reason.</w:t>
            </w:r>
          </w:p>
        </w:tc>
      </w:tr>
    </w:tbl>
    <w:p>
      <w:pPr>
        <w:pStyle w:val="Heading2"/>
        <w:keepNext/>
        <w:spacing w:after="60" w:before="160"/>
      </w:pPr>
      <w:r>
        <w:rPr>
          <w:rFonts w:ascii="Arial" w:cs="Arial" w:eastAsia="Arial" w:hAnsi="Arial"/>
          <w:b/>
          <w:bCs/>
          <w:color w:val="1F4D3A"/>
          <w:sz w:val="25"/>
          <w:szCs w:val="25"/>
        </w:rPr>
        <w:t xml:space="preserve">The sprint in short</w:t>
      </w:r>
    </w:p>
    <w:p>
      <w:pPr>
        <w:spacing w:after="100" w:line="264"/>
      </w:pPr>
      <w:r>
        <w:rPr>
          <w:rFonts w:ascii="Arial" w:cs="Arial" w:eastAsia="Arial" w:hAnsi="Arial"/>
          <w:sz w:val="19"/>
          <w:szCs w:val="19"/>
        </w:rPr>
        <w:t xml:space="preserve">Sprint goal: get in and apply. A borrower signs up on iOS, picks a broker, checks how much they can borrow and submits an application. Brokers and underwriters log in to the portal and see only their own views, with the pipeline queue on seeded data. The valuation model is trained and frozen, the affordability agent runs on Ollama, both APIs run behind the local Docker gateway and the loan note contract is tested on a local Hardhat chain.</w:t>
      </w:r>
    </w:p>
    <w:p>
      <w:pPr>
        <w:spacing w:after="100" w:line="264"/>
      </w:pPr>
      <w:r>
        <w:rPr>
          <w:rFonts w:ascii="Arial" w:cs="Arial" w:eastAsia="Arial" w:hAnsi="Arial"/>
          <w:sz w:val="19"/>
          <w:szCs w:val="19"/>
        </w:rPr>
        <w:t xml:space="preserve">Outcome: Jira shows 77 tickets in Sprint 1, 72 Done and 5 not (AL-51 this retrospective, AL-202 the submission, AL-190, AL-192 and AL-248). All 10 stories still in the sprint are Done. The HELOC story (AL-195) and AL-256, sign out from Your details, moved to Sprint 2 on 23 Oct.</w:t>
      </w:r>
    </w:p>
    <w:p>
      <w:pPr>
        <w:pStyle w:val="Heading2"/>
        <w:keepNext/>
        <w:spacing w:after="60" w:before="160"/>
      </w:pPr>
      <w:r>
        <w:rPr>
          <w:rFonts w:ascii="Arial" w:cs="Arial" w:eastAsia="Arial" w:hAnsi="Arial"/>
          <w:b/>
          <w:bCs/>
          <w:color w:val="1F4D3A"/>
          <w:sz w:val="25"/>
          <w:szCs w:val="25"/>
        </w:rPr>
        <w:t xml:space="preserve">What went well</w:t>
      </w:r>
    </w:p>
    <w:p>
      <w:pPr>
        <w:pStyle w:val="ListParagraph"/>
        <w:numPr>
          <w:ilvl w:val="0"/>
          <w:numId w:val="2"/>
        </w:numPr>
        <w:spacing w:after="50" w:line="264"/>
      </w:pPr>
      <w:r>
        <w:rPr>
          <w:rFonts w:ascii="Arial" w:cs="Arial" w:eastAsia="Arial" w:hAnsi="Arial"/>
          <w:b/>
          <w:bCs/>
          <w:sz w:val="19"/>
          <w:szCs w:val="19"/>
        </w:rPr>
        <w:t xml:space="preserve">Ibrahima: </w:t>
      </w:r>
      <w:r>
        <w:rPr>
          <w:rFonts w:ascii="Arial" w:cs="Arial" w:eastAsia="Arial" w:hAnsi="Arial"/>
          <w:sz w:val="19"/>
          <w:szCs w:val="19"/>
        </w:rPr>
        <w:t xml:space="preserve">the borrower side works end to end on the emulators, from sign-up to submitting an application, backed by about 250 unit tests. Reviews from all of us caught real bugs before they landed.</w:t>
      </w:r>
    </w:p>
    <w:p>
      <w:pPr>
        <w:pStyle w:val="ListParagraph"/>
        <w:numPr>
          <w:ilvl w:val="0"/>
          <w:numId w:val="2"/>
        </w:numPr>
        <w:spacing w:after="50" w:line="264"/>
      </w:pPr>
      <w:r>
        <w:rPr>
          <w:rFonts w:ascii="Arial" w:cs="Arial" w:eastAsia="Arial" w:hAnsi="Arial"/>
          <w:b/>
          <w:bCs/>
          <w:sz w:val="19"/>
          <w:szCs w:val="19"/>
        </w:rPr>
        <w:t xml:space="preserve">Nikoloz: </w:t>
      </w:r>
      <w:r>
        <w:rPr>
          <w:rFonts w:ascii="Arial" w:cs="Arial" w:eastAsia="Arial" w:hAnsi="Arial"/>
          <w:sz w:val="19"/>
          <w:szCs w:val="19"/>
        </w:rPr>
        <w:t xml:space="preserve">the web portal works end to end on the emulators (role guard, client list and file, the underwriter queue), backed by 280 web tests. Reviews caught real things before they landed, and scope changes went to the team in writing before any story was closed.</w:t>
      </w:r>
    </w:p>
    <w:p>
      <w:pPr>
        <w:pStyle w:val="ListParagraph"/>
        <w:numPr>
          <w:ilvl w:val="0"/>
          <w:numId w:val="2"/>
        </w:numPr>
        <w:spacing w:after="50" w:line="264"/>
      </w:pPr>
      <w:r>
        <w:rPr>
          <w:rFonts w:ascii="Arial" w:cs="Arial" w:eastAsia="Arial" w:hAnsi="Arial"/>
          <w:b/>
          <w:bCs/>
          <w:sz w:val="19"/>
          <w:szCs w:val="19"/>
        </w:rPr>
        <w:t xml:space="preserve">Nicholas: </w:t>
      </w:r>
      <w:r>
        <w:rPr>
          <w:rFonts w:ascii="Arial" w:cs="Arial" w:eastAsia="Arial" w:hAnsi="Arial"/>
          <w:sz w:val="19"/>
          <w:szCs w:val="19"/>
        </w:rPr>
        <w:t xml:space="preserve">tickets were done and landed inside the time frame, and Slack communication was decent, both for discussions and for quick questions.</w:t>
      </w:r>
    </w:p>
    <w:p>
      <w:pPr>
        <w:pStyle w:val="ListParagraph"/>
        <w:numPr>
          <w:ilvl w:val="0"/>
          <w:numId w:val="2"/>
        </w:numPr>
        <w:spacing w:after="50" w:line="264"/>
      </w:pPr>
      <w:r>
        <w:rPr>
          <w:rFonts w:ascii="Arial" w:cs="Arial" w:eastAsia="Arial" w:hAnsi="Arial"/>
          <w:b/>
          <w:bCs/>
          <w:sz w:val="19"/>
          <w:szCs w:val="19"/>
        </w:rPr>
        <w:t xml:space="preserve">Agreed by all four: </w:t>
      </w:r>
      <w:r>
        <w:rPr>
          <w:rFonts w:ascii="Arial" w:cs="Arial" w:eastAsia="Arial" w:hAnsi="Arial"/>
          <w:sz w:val="19"/>
          <w:szCs w:val="19"/>
        </w:rPr>
        <w:t xml:space="preserve">10 of the 11 Sprint 1 stories are Done and the al-core and al-ai work planned for the sprint merged; every pull request was reviewed by a teammate and the reviews caught real bugs; the valuation rules were written before each result and the final test was scored once; scope moves were agreed in writing.</w:t>
      </w:r>
    </w:p>
    <w:p>
      <w:pPr>
        <w:pStyle w:val="Heading2"/>
        <w:keepNext/>
        <w:spacing w:after="60" w:before="160"/>
      </w:pPr>
      <w:r>
        <w:rPr>
          <w:rFonts w:ascii="Arial" w:cs="Arial" w:eastAsia="Arial" w:hAnsi="Arial"/>
          <w:b/>
          <w:bCs/>
          <w:color w:val="1F4D3A"/>
          <w:sz w:val="25"/>
          <w:szCs w:val="25"/>
        </w:rPr>
        <w:t xml:space="preserve">What did not go well</w:t>
      </w:r>
    </w:p>
    <w:p>
      <w:pPr>
        <w:pStyle w:val="ListParagraph"/>
        <w:numPr>
          <w:ilvl w:val="0"/>
          <w:numId w:val="2"/>
        </w:numPr>
        <w:spacing w:after="50" w:line="264"/>
      </w:pPr>
      <w:r>
        <w:rPr>
          <w:rFonts w:ascii="Arial" w:cs="Arial" w:eastAsia="Arial" w:hAnsi="Arial"/>
          <w:b/>
          <w:bCs/>
          <w:sz w:val="19"/>
          <w:szCs w:val="19"/>
        </w:rPr>
        <w:t xml:space="preserve">Nicholas: </w:t>
      </w:r>
      <w:r>
        <w:rPr>
          <w:rFonts w:ascii="Arial" w:cs="Arial" w:eastAsia="Arial" w:hAnsi="Arial"/>
          <w:sz w:val="19"/>
          <w:szCs w:val="19"/>
        </w:rPr>
        <w:t xml:space="preserve">organising meetings, and having no structure when we did meet. Open discussions should be settled first, one at a time, and everyone should attend.</w:t>
      </w:r>
    </w:p>
    <w:p>
      <w:pPr>
        <w:pStyle w:val="ListParagraph"/>
        <w:numPr>
          <w:ilvl w:val="0"/>
          <w:numId w:val="2"/>
        </w:numPr>
        <w:spacing w:after="50" w:line="264"/>
      </w:pPr>
      <w:r>
        <w:rPr>
          <w:rFonts w:ascii="Arial" w:cs="Arial" w:eastAsia="Arial" w:hAnsi="Arial"/>
          <w:b/>
          <w:bCs/>
          <w:sz w:val="19"/>
          <w:szCs w:val="19"/>
        </w:rPr>
        <w:t xml:space="preserve">Ibrahima: </w:t>
      </w:r>
      <w:r>
        <w:rPr>
          <w:rFonts w:ascii="Arial" w:cs="Arial" w:eastAsia="Arial" w:hAnsi="Arial"/>
          <w:sz w:val="19"/>
          <w:szCs w:val="19"/>
        </w:rPr>
        <w:t xml:space="preserve">stacking his pull requests. Every merge dismissed the next approval, PR 58 and PR 81 ended up merged into branches instead of main, and his stories stayed open for days behind each other.</w:t>
      </w:r>
    </w:p>
    <w:p>
      <w:pPr>
        <w:pStyle w:val="ListParagraph"/>
        <w:numPr>
          <w:ilvl w:val="0"/>
          <w:numId w:val="2"/>
        </w:numPr>
        <w:spacing w:after="50" w:line="264"/>
      </w:pPr>
      <w:r>
        <w:rPr>
          <w:rFonts w:ascii="Arial" w:cs="Arial" w:eastAsia="Arial" w:hAnsi="Arial"/>
          <w:b/>
          <w:bCs/>
          <w:sz w:val="19"/>
          <w:szCs w:val="19"/>
        </w:rPr>
        <w:t xml:space="preserve">Nikoloz: </w:t>
      </w:r>
      <w:r>
        <w:rPr>
          <w:rFonts w:ascii="Arial" w:cs="Arial" w:eastAsia="Arial" w:hAnsi="Arial"/>
          <w:sz w:val="19"/>
          <w:szCs w:val="19"/>
        </w:rPr>
        <w:t xml:space="preserve">he stacked the queue PR on the client list PR, which meant retargeting by hand and asking for approvals again. Every push dismissed an approval.</w:t>
      </w:r>
    </w:p>
    <w:p>
      <w:pPr>
        <w:pStyle w:val="ListParagraph"/>
        <w:numPr>
          <w:ilvl w:val="0"/>
          <w:numId w:val="2"/>
        </w:numPr>
        <w:spacing w:after="50" w:line="264"/>
      </w:pPr>
      <w:r>
        <w:rPr>
          <w:rFonts w:ascii="Arial" w:cs="Arial" w:eastAsia="Arial" w:hAnsi="Arial"/>
          <w:b/>
          <w:bCs/>
          <w:sz w:val="19"/>
          <w:szCs w:val="19"/>
        </w:rPr>
        <w:t xml:space="preserve">Agreed by all four: </w:t>
      </w:r>
      <w:r>
        <w:rPr>
          <w:rFonts w:ascii="Arial" w:cs="Arial" w:eastAsia="Arial" w:hAnsi="Arial"/>
          <w:sz w:val="19"/>
          <w:szCs w:val="19"/>
        </w:rPr>
        <w:t xml:space="preserve">stacked pull requests meant a fresh approval after every merge; the Jira automation ran out on 19 Oct, so statuses were moved by hand and a few read Done before their pull request merged; the iOS stories stayed open until 23 Oct; CI quietly skipped the machine learning tests until PR 95.</w:t>
      </w:r>
    </w:p>
    <w:p>
      <w:pPr>
        <w:pStyle w:val="ListParagraph"/>
        <w:numPr>
          <w:ilvl w:val="0"/>
          <w:numId w:val="2"/>
        </w:numPr>
        <w:spacing w:after="50" w:line="264"/>
      </w:pPr>
      <w:r>
        <w:rPr>
          <w:rFonts w:ascii="Arial" w:cs="Arial" w:eastAsia="Arial" w:hAnsi="Arial"/>
          <w:b/>
          <w:bCs/>
          <w:sz w:val="19"/>
          <w:szCs w:val="19"/>
        </w:rPr>
        <w:t xml:space="preserve">From the data: </w:t>
      </w:r>
      <w:r>
        <w:rPr>
          <w:rFonts w:ascii="Arial" w:cs="Arial" w:eastAsia="Arial" w:hAnsi="Arial"/>
          <w:sz w:val="19"/>
          <w:szCs w:val="19"/>
        </w:rPr>
        <w:t xml:space="preserve">the iOS test job on GitHub has hung since about 22:00 on 22 Oct, so PR 62 and PR 79 merged without a completed iOS test run, only local runs. The workflow only runs on pull requests, so there is no run on main to check (AL-259).</w:t>
      </w:r>
    </w:p>
    <w:p>
      <w:pPr>
        <w:pStyle w:val="Heading2"/>
        <w:keepNext/>
        <w:spacing w:after="60" w:before="160"/>
      </w:pPr>
      <w:r>
        <w:rPr>
          <w:rFonts w:ascii="Arial" w:cs="Arial" w:eastAsia="Arial" w:hAnsi="Arial"/>
          <w:b/>
          <w:bCs/>
          <w:color w:val="1F4D3A"/>
          <w:sz w:val="25"/>
          <w:szCs w:val="25"/>
        </w:rPr>
        <w:t xml:space="preserve">Actions for Sprint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00"/>
        <w:gridCol w:w="2200"/>
        <w:gridCol w:w="2106"/>
      </w:tblGrid>
      <w:tr>
        <w:trPr>
          <w:tblHeader/>
        </w:trPr>
        <w:tc>
          <w:tcPr>
            <w:tcW w:type="dxa" w:w="5600"/>
            <w:tcBorders>
              <w:top w:val="single" w:color="B7B7B7" w:sz="4"/>
              <w:left w:val="single" w:color="B7B7B7" w:sz="4"/>
              <w:bottom w:val="single" w:color="B7B7B7" w:sz="4"/>
              <w:right w:val="single" w:color="B7B7B7" w:sz="4"/>
            </w:tcBorders>
            <w:shd w:fill="E8F1EC" w:color="auto" w:val="clear"/>
            <w:tcMar>
              <w:top w:type="dxa" w:w="40"/>
              <w:left w:type="dxa" w:w="100"/>
              <w:bottom w:type="dxa" w:w="40"/>
              <w:right w:type="dxa" w:w="100"/>
            </w:tcMar>
          </w:tcPr>
          <w:p>
            <w:pPr>
              <w:spacing w:after="20"/>
            </w:pPr>
            <w:r>
              <w:rPr>
                <w:rFonts w:ascii="Arial" w:cs="Arial" w:eastAsia="Arial" w:hAnsi="Arial"/>
                <w:b/>
                <w:bCs/>
                <w:sz w:val="17"/>
                <w:szCs w:val="17"/>
              </w:rPr>
              <w:t xml:space="preserve">Action</w:t>
            </w:r>
          </w:p>
        </w:tc>
        <w:tc>
          <w:tcPr>
            <w:tcW w:type="dxa" w:w="2200"/>
            <w:tcBorders>
              <w:top w:val="single" w:color="B7B7B7" w:sz="4"/>
              <w:left w:val="single" w:color="B7B7B7" w:sz="4"/>
              <w:bottom w:val="single" w:color="B7B7B7" w:sz="4"/>
              <w:right w:val="single" w:color="B7B7B7" w:sz="4"/>
            </w:tcBorders>
            <w:shd w:fill="E8F1EC" w:color="auto" w:val="clear"/>
            <w:tcMar>
              <w:top w:type="dxa" w:w="40"/>
              <w:left w:type="dxa" w:w="100"/>
              <w:bottom w:type="dxa" w:w="40"/>
              <w:right w:type="dxa" w:w="100"/>
            </w:tcMar>
          </w:tcPr>
          <w:p>
            <w:pPr>
              <w:spacing w:after="20"/>
            </w:pPr>
            <w:r>
              <w:rPr>
                <w:rFonts w:ascii="Arial" w:cs="Arial" w:eastAsia="Arial" w:hAnsi="Arial"/>
                <w:b/>
                <w:bCs/>
                <w:sz w:val="17"/>
                <w:szCs w:val="17"/>
              </w:rPr>
              <w:t xml:space="preserve">Owner</w:t>
            </w:r>
          </w:p>
        </w:tc>
        <w:tc>
          <w:tcPr>
            <w:tcW w:type="dxa" w:w="2106"/>
            <w:tcBorders>
              <w:top w:val="single" w:color="B7B7B7" w:sz="4"/>
              <w:left w:val="single" w:color="B7B7B7" w:sz="4"/>
              <w:bottom w:val="single" w:color="B7B7B7" w:sz="4"/>
              <w:right w:val="single" w:color="B7B7B7" w:sz="4"/>
            </w:tcBorders>
            <w:shd w:fill="E8F1EC" w:color="auto" w:val="clear"/>
            <w:tcMar>
              <w:top w:type="dxa" w:w="40"/>
              <w:left w:type="dxa" w:w="100"/>
              <w:bottom w:type="dxa" w:w="40"/>
              <w:right w:type="dxa" w:w="100"/>
            </w:tcMar>
          </w:tcPr>
          <w:p>
            <w:pPr>
              <w:spacing w:after="20"/>
            </w:pPr>
            <w:r>
              <w:rPr>
                <w:rFonts w:ascii="Arial" w:cs="Arial" w:eastAsia="Arial" w:hAnsi="Arial"/>
                <w:b/>
                <w:bCs/>
                <w:sz w:val="17"/>
                <w:szCs w:val="17"/>
              </w:rPr>
              <w:t xml:space="preserve">Ticket</w:t>
            </w:r>
          </w:p>
        </w:tc>
      </w:tr>
      <w:tr>
        <w:trPr>
          <w:cantSplit/>
        </w:trPr>
        <w:tc>
          <w:tcPr>
            <w:tcW w:type="dxa" w:w="56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Cut every branch from main and open every PR against main. No stacking, so no repeated re-approvals.</w:t>
            </w:r>
          </w:p>
        </w:tc>
        <w:tc>
          <w:tcPr>
            <w:tcW w:type="dxa" w:w="22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Everyone</w:t>
            </w:r>
          </w:p>
        </w:tc>
        <w:tc>
          <w:tcPr>
            <w:tcW w:type="dxa" w:w="21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To create</w:t>
            </w:r>
          </w:p>
        </w:tc>
      </w:tr>
      <w:tr>
        <w:trPr>
          <w:cantSplit/>
        </w:trPr>
        <w:tc>
          <w:tcPr>
            <w:tcW w:type="dxa" w:w="56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Whoever merges a PR moves its Jira ticket to Done the same day, until the automation limit resets.</w:t>
            </w:r>
          </w:p>
        </w:tc>
        <w:tc>
          <w:tcPr>
            <w:tcW w:type="dxa" w:w="22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The person who merges</w:t>
            </w:r>
          </w:p>
        </w:tc>
        <w:tc>
          <w:tcPr>
            <w:tcW w:type="dxa" w:w="21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To create</w:t>
            </w:r>
          </w:p>
        </w:tc>
      </w:tr>
      <w:tr>
        <w:trPr>
          <w:cantSplit/>
        </w:trPr>
        <w:tc>
          <w:tcPr>
            <w:tcW w:type="dxa" w:w="56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At sprint start, post the retro and submission dates in #announcements and book the retro slot.</w:t>
            </w:r>
          </w:p>
        </w:tc>
        <w:tc>
          <w:tcPr>
            <w:tcW w:type="dxa" w:w="22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Nic and Solomon</w:t>
            </w:r>
          </w:p>
        </w:tc>
        <w:tc>
          <w:tcPr>
            <w:tcW w:type="dxa" w:w="21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To create</w:t>
            </w:r>
          </w:p>
        </w:tc>
      </w:tr>
      <w:tr>
        <w:trPr>
          <w:cantSplit/>
        </w:trPr>
        <w:tc>
          <w:tcPr>
            <w:tcW w:type="dxa" w:w="56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Post a short agenda in #meetings the day before any meeting, with open discussions settled first and taken one at a time.</w:t>
            </w:r>
          </w:p>
        </w:tc>
        <w:tc>
          <w:tcPr>
            <w:tcW w:type="dxa" w:w="22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Nic</w:t>
            </w:r>
          </w:p>
        </w:tc>
        <w:tc>
          <w:tcPr>
            <w:tcW w:type="dxa" w:w="21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To create</w:t>
            </w:r>
          </w:p>
        </w:tc>
      </w:tr>
      <w:tr>
        <w:trPr>
          <w:cantSplit/>
        </w:trPr>
        <w:tc>
          <w:tcPr>
            <w:tcW w:type="dxa" w:w="56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Nobody pushes to a PR that is under review without saying so in #dev, because it dismisses the approvals.</w:t>
            </w:r>
          </w:p>
        </w:tc>
        <w:tc>
          <w:tcPr>
            <w:tcW w:type="dxa" w:w="22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Everyone</w:t>
            </w:r>
          </w:p>
        </w:tc>
        <w:tc>
          <w:tcPr>
            <w:tcW w:type="dxa" w:w="21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To create</w:t>
            </w:r>
          </w:p>
        </w:tc>
      </w:tr>
    </w:tbl>
    <w:p>
      <w:pPr>
        <w:spacing w:after="100" w:line="264"/>
      </w:pPr>
      <w:r>
        <w:rPr>
          <w:rFonts w:ascii="Arial" w:cs="Arial" w:eastAsia="Arial" w:hAnsi="Arial"/>
          <w:i/>
          <w:iCs/>
          <w:color w:val="555555"/>
          <w:sz w:val="19"/>
          <w:szCs w:val="19"/>
        </w:rPr>
        <w:t xml:space="preserve">Nicholas, Ibrahima and Nikoloz agreed with actions 1 to 4. Nikoloz added action 5. Anyone can swap an owner.</w:t>
      </w:r>
    </w:p>
    <w:p>
      <w:pPr>
        <w:pStyle w:val="Heading2"/>
        <w:keepNext/>
        <w:spacing w:after="60" w:before="160"/>
      </w:pPr>
      <w:r>
        <w:rPr>
          <w:rFonts w:ascii="Arial" w:cs="Arial" w:eastAsia="Arial" w:hAnsi="Arial"/>
          <w:b/>
          <w:bCs/>
          <w:color w:val="1F4D3A"/>
          <w:sz w:val="25"/>
          <w:szCs w:val="25"/>
        </w:rPr>
        <w:t xml:space="preserve">First thing each person starts in Sprint 2</w:t>
      </w:r>
    </w:p>
    <w:p>
      <w:pPr>
        <w:pStyle w:val="ListParagraph"/>
        <w:numPr>
          <w:ilvl w:val="0"/>
          <w:numId w:val="2"/>
        </w:numPr>
        <w:spacing w:after="50" w:line="264"/>
      </w:pPr>
      <w:r>
        <w:rPr>
          <w:rFonts w:ascii="Arial" w:cs="Arial" w:eastAsia="Arial" w:hAnsi="Arial"/>
          <w:sz w:val="19"/>
          <w:szCs w:val="19"/>
        </w:rPr>
        <w:t xml:space="preserve">Nicholas: the /ai/valuation endpoint on the v2 model.</w:t>
      </w:r>
    </w:p>
    <w:p>
      <w:pPr>
        <w:pStyle w:val="ListParagraph"/>
        <w:numPr>
          <w:ilvl w:val="0"/>
          <w:numId w:val="2"/>
        </w:numPr>
        <w:spacing w:after="50" w:line="264"/>
      </w:pPr>
      <w:r>
        <w:rPr>
          <w:rFonts w:ascii="Arial" w:cs="Arial" w:eastAsia="Arial" w:hAnsi="Arial"/>
          <w:sz w:val="19"/>
          <w:szCs w:val="19"/>
        </w:rPr>
        <w:t xml:space="preserve">Ibrahima: the HELOC check form (AL-207), now that the HELOC endpoint is merged.</w:t>
      </w:r>
    </w:p>
    <w:p>
      <w:pPr>
        <w:pStyle w:val="ListParagraph"/>
        <w:numPr>
          <w:ilvl w:val="0"/>
          <w:numId w:val="2"/>
        </w:numPr>
        <w:spacing w:after="50" w:line="264"/>
      </w:pPr>
      <w:r>
        <w:rPr>
          <w:rFonts w:ascii="Arial" w:cs="Arial" w:eastAsia="Arial" w:hAnsi="Arial"/>
          <w:sz w:val="19"/>
          <w:szCs w:val="19"/>
        </w:rPr>
        <w:t xml:space="preserve">Nikoloz: the loan file page with the DTI breakdown (AL-158), then the valuation chart and the collateral panel.</w:t>
      </w:r>
    </w:p>
    <w:p>
      <w:pPr>
        <w:pStyle w:val="ListParagraph"/>
        <w:numPr>
          <w:ilvl w:val="0"/>
          <w:numId w:val="2"/>
        </w:numPr>
        <w:spacing w:after="50" w:line="264"/>
      </w:pPr>
      <w:r>
        <w:rPr>
          <w:rFonts w:ascii="Arial" w:cs="Arial" w:eastAsia="Arial" w:hAnsi="Arial"/>
          <w:sz w:val="19"/>
          <w:szCs w:val="19"/>
        </w:rPr>
        <w:t xml:space="preserve">Solomon: the shared audit hash function with test vectors (AL-253), then AL-252 and the sign-off to mint path.</w:t>
      </w:r>
    </w:p>
    <w:p>
      <w:pPr>
        <w:pStyle w:val="Heading2"/>
        <w:keepNext/>
        <w:spacing w:after="60" w:before="160"/>
      </w:pPr>
      <w:r>
        <w:rPr>
          <w:rFonts w:ascii="Arial" w:cs="Arial" w:eastAsia="Arial" w:hAnsi="Arial"/>
          <w:b/>
          <w:bCs/>
          <w:color w:val="1F4D3A"/>
          <w:sz w:val="25"/>
          <w:szCs w:val="25"/>
        </w:rPr>
        <w:t xml:space="preserve">Sprint review: what was not finished</w:t>
      </w:r>
    </w:p>
    <w:p>
      <w:pPr>
        <w:spacing w:after="100" w:line="264"/>
      </w:pPr>
      <w:r>
        <w:rPr>
          <w:rFonts w:ascii="Arial" w:cs="Arial" w:eastAsia="Arial" w:hAnsi="Arial"/>
          <w:sz w:val="19"/>
          <w:szCs w:val="19"/>
        </w:rPr>
        <w:t xml:space="preserve">Every Sprint 1 ticket is on the Confluence page. These are the ones not finished, with the reason and where they went.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406"/>
      </w:tblGrid>
      <w:tr>
        <w:trPr>
          <w:tblHeader/>
        </w:trPr>
        <w:tc>
          <w:tcPr>
            <w:tcW w:type="dxa" w:w="1500"/>
            <w:tcBorders>
              <w:top w:val="single" w:color="B7B7B7" w:sz="4"/>
              <w:left w:val="single" w:color="B7B7B7" w:sz="4"/>
              <w:bottom w:val="single" w:color="B7B7B7" w:sz="4"/>
              <w:right w:val="single" w:color="B7B7B7" w:sz="4"/>
            </w:tcBorders>
            <w:shd w:fill="E8F1EC" w:color="auto" w:val="clear"/>
            <w:tcMar>
              <w:top w:type="dxa" w:w="40"/>
              <w:left w:type="dxa" w:w="100"/>
              <w:bottom w:type="dxa" w:w="40"/>
              <w:right w:type="dxa" w:w="100"/>
            </w:tcMar>
          </w:tcPr>
          <w:p>
            <w:pPr>
              <w:spacing w:after="20"/>
            </w:pPr>
            <w:r>
              <w:rPr>
                <w:rFonts w:ascii="Arial" w:cs="Arial" w:eastAsia="Arial" w:hAnsi="Arial"/>
                <w:b/>
                <w:bCs/>
                <w:sz w:val="17"/>
                <w:szCs w:val="17"/>
              </w:rPr>
              <w:t xml:space="preserve">Ticket</w:t>
            </w:r>
          </w:p>
        </w:tc>
        <w:tc>
          <w:tcPr>
            <w:tcW w:type="dxa" w:w="3000"/>
            <w:tcBorders>
              <w:top w:val="single" w:color="B7B7B7" w:sz="4"/>
              <w:left w:val="single" w:color="B7B7B7" w:sz="4"/>
              <w:bottom w:val="single" w:color="B7B7B7" w:sz="4"/>
              <w:right w:val="single" w:color="B7B7B7" w:sz="4"/>
            </w:tcBorders>
            <w:shd w:fill="E8F1EC" w:color="auto" w:val="clear"/>
            <w:tcMar>
              <w:top w:type="dxa" w:w="40"/>
              <w:left w:type="dxa" w:w="100"/>
              <w:bottom w:type="dxa" w:w="40"/>
              <w:right w:type="dxa" w:w="100"/>
            </w:tcMar>
          </w:tcPr>
          <w:p>
            <w:pPr>
              <w:spacing w:after="20"/>
            </w:pPr>
            <w:r>
              <w:rPr>
                <w:rFonts w:ascii="Arial" w:cs="Arial" w:eastAsia="Arial" w:hAnsi="Arial"/>
                <w:b/>
                <w:bCs/>
                <w:sz w:val="17"/>
                <w:szCs w:val="17"/>
              </w:rPr>
              <w:t xml:space="preserve">What</w:t>
            </w:r>
          </w:p>
        </w:tc>
        <w:tc>
          <w:tcPr>
            <w:tcW w:type="dxa" w:w="5406"/>
            <w:tcBorders>
              <w:top w:val="single" w:color="B7B7B7" w:sz="4"/>
              <w:left w:val="single" w:color="B7B7B7" w:sz="4"/>
              <w:bottom w:val="single" w:color="B7B7B7" w:sz="4"/>
              <w:right w:val="single" w:color="B7B7B7" w:sz="4"/>
            </w:tcBorders>
            <w:shd w:fill="E8F1EC" w:color="auto" w:val="clear"/>
            <w:tcMar>
              <w:top w:type="dxa" w:w="40"/>
              <w:left w:type="dxa" w:w="100"/>
              <w:bottom w:type="dxa" w:w="40"/>
              <w:right w:type="dxa" w:w="100"/>
            </w:tcMar>
          </w:tcPr>
          <w:p>
            <w:pPr>
              <w:spacing w:after="20"/>
            </w:pPr>
            <w:r>
              <w:rPr>
                <w:rFonts w:ascii="Arial" w:cs="Arial" w:eastAsia="Arial" w:hAnsi="Arial"/>
                <w:b/>
                <w:bCs/>
                <w:sz w:val="17"/>
                <w:szCs w:val="17"/>
              </w:rPr>
              <w:t xml:space="preserve">Reason, and where it moved</w:t>
            </w:r>
          </w:p>
        </w:tc>
      </w:tr>
      <w:tr>
        <w:trPr>
          <w:cantSplit/>
        </w:trPr>
        <w:tc>
          <w:tcPr>
            <w:tcW w:type="dxa" w:w="15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AL-195 (AL-197, AL-207, AL-208)</w:t>
            </w:r>
          </w:p>
        </w:tc>
        <w:tc>
          <w:tcPr>
            <w:tcW w:type="dxa" w:w="30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HELOC story: loan type and HELOC fields (backend), HELOC check form and HELOC application form (iOS)</w:t>
            </w:r>
          </w:p>
        </w:tc>
        <w:tc>
          <w:tcPr>
            <w:tcW w:type="dxa" w:w="54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Moved to Sprint 2 on 23 Oct. The HELOC check needed the HELOC endpoint, which is now merged. Done in Sprint 1: the HELOC wireframes, the HELOC endpoint and the mortgage-or-HELOC choice.</w:t>
            </w:r>
          </w:p>
        </w:tc>
      </w:tr>
      <w:tr>
        <w:trPr>
          <w:cantSplit/>
        </w:trPr>
        <w:tc>
          <w:tcPr>
            <w:tcW w:type="dxa" w:w="15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AL-256</w:t>
            </w:r>
          </w:p>
        </w:tc>
        <w:tc>
          <w:tcPr>
            <w:tcW w:type="dxa" w:w="30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iOS: sign out from Your details</w:t>
            </w:r>
          </w:p>
        </w:tc>
        <w:tc>
          <w:tcPr>
            <w:tcW w:type="dxa" w:w="54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Not started. Moved to Sprint 2.</w:t>
            </w:r>
          </w:p>
        </w:tc>
      </w:tr>
      <w:tr>
        <w:trPr>
          <w:cantSplit/>
        </w:trPr>
        <w:tc>
          <w:tcPr>
            <w:tcW w:type="dxa" w:w="15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AL-190</w:t>
            </w:r>
          </w:p>
        </w:tc>
        <w:tc>
          <w:tcPr>
            <w:tcW w:type="dxa" w:w="30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Pine and Oat palette on the web prototype in Figma</w:t>
            </w:r>
          </w:p>
        </w:tc>
        <w:tc>
          <w:tcPr>
            <w:tcW w:type="dxa" w:w="54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The click-through of both journeys is still to do.</w:t>
            </w:r>
          </w:p>
        </w:tc>
      </w:tr>
      <w:tr>
        <w:trPr>
          <w:cantSplit/>
        </w:trPr>
        <w:tc>
          <w:tcPr>
            <w:tcW w:type="dxa" w:w="15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AL-192</w:t>
            </w:r>
          </w:p>
        </w:tc>
        <w:tc>
          <w:tcPr>
            <w:tcW w:type="dxa" w:w="30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Triage of the remaining portal screens and contract gaps</w:t>
            </w:r>
          </w:p>
        </w:tc>
        <w:tc>
          <w:tcPr>
            <w:tcW w:type="dxa" w:w="54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Follow-up tickets are still to create.</w:t>
            </w:r>
          </w:p>
        </w:tc>
      </w:tr>
      <w:tr>
        <w:trPr>
          <w:cantSplit/>
        </w:trPr>
        <w:tc>
          <w:tcPr>
            <w:tcW w:type="dxa" w:w="15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AL-248</w:t>
            </w:r>
          </w:p>
        </w:tc>
        <w:tc>
          <w:tcPr>
            <w:tcW w:type="dxa" w:w="30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Broker client list polish</w:t>
            </w:r>
          </w:p>
        </w:tc>
        <w:tc>
          <w:tcPr>
            <w:tcW w:type="dxa" w:w="54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The flaky-test item is done. Items 1, 2, 3 and 5 stay open for Sprint 2.</w:t>
            </w:r>
          </w:p>
        </w:tc>
      </w:tr>
      <w:tr>
        <w:trPr>
          <w:cantSplit/>
        </w:trPr>
        <w:tc>
          <w:tcPr>
            <w:tcW w:type="dxa" w:w="15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AL-202</w:t>
            </w:r>
          </w:p>
        </w:tc>
        <w:tc>
          <w:tcPr>
            <w:tcW w:type="dxa" w:w="30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Sprint 1 submission: zip and upload to Canvas</w:t>
            </w:r>
          </w:p>
        </w:tc>
        <w:tc>
          <w:tcPr>
            <w:tcW w:type="dxa" w:w="54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Nic submits on Sunday 25 Oct.</w:t>
            </w:r>
          </w:p>
        </w:tc>
      </w:tr>
      <w:tr>
        <w:trPr>
          <w:cantSplit/>
        </w:trPr>
        <w:tc>
          <w:tcPr>
            <w:tcW w:type="dxa" w:w="15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Parts of AL-17, AL-18, AL-32</w:t>
            </w:r>
          </w:p>
        </w:tc>
        <w:tc>
          <w:tcPr>
            <w:tcW w:type="dxa" w:w="3000"/>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Split login layout, Google sign-in, 401/403 handling, message the borrower, row click, broker loan-file view, metric strip, sort tabs</w:t>
            </w:r>
          </w:p>
        </w:tc>
        <w:tc>
          <w:tcPr>
            <w:tcW w:type="dxa" w:w="54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Moved to Sprint 2 by team agreement. The stories themselves are Done.</w:t>
            </w:r>
          </w:p>
        </w:tc>
      </w:tr>
    </w:tbl>
    <w:p>
      <w:pPr>
        <w:spacing w:after="100" w:line="264"/>
      </w:pPr>
      <w:r>
        <w:rPr>
          <w:rFonts w:ascii="Arial" w:cs="Arial" w:eastAsia="Arial" w:hAnsi="Arial"/>
          <w:sz w:val="19"/>
          <w:szCs w:val="19"/>
        </w:rPr>
        <w:t xml:space="preserve">Also done in Sprint 1 but not on the Jira sprint board: AL-255, extra valuation inputs (PR 92), which found the Eircode key the v2 valuation model uses.</w:t>
      </w:r>
    </w:p>
    <w:p>
      <w:pPr>
        <w:pStyle w:val="Heading2"/>
        <w:keepNext/>
        <w:spacing w:after="60" w:before="160"/>
      </w:pPr>
      <w:r>
        <w:rPr>
          <w:rFonts w:ascii="Arial" w:cs="Arial" w:eastAsia="Arial" w:hAnsi="Arial"/>
          <w:b/>
          <w:bCs/>
          <w:color w:val="1F4D3A"/>
          <w:sz w:val="25"/>
          <w:szCs w:val="25"/>
        </w:rPr>
        <w:t xml:space="preserve">What each of us delivered</w:t>
      </w:r>
    </w:p>
    <w:p>
      <w:pPr>
        <w:spacing w:after="100" w:line="264"/>
      </w:pPr>
      <w:r>
        <w:rPr>
          <w:rFonts w:ascii="Arial" w:cs="Arial" w:eastAsia="Arial" w:hAnsi="Arial"/>
          <w:i/>
          <w:iCs/>
          <w:color w:val="555555"/>
          <w:sz w:val="19"/>
          <w:szCs w:val="19"/>
        </w:rPr>
        <w:t xml:space="preserve">Drawn from each person's Sprint 1 summary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8406"/>
      </w:tblGrid>
      <w:tr>
        <w:trPr>
          <w:cantSplit/>
        </w:trPr>
        <w:tc>
          <w:tcPr>
            <w:tcW w:type="dxa" w:w="1500"/>
            <w:tcBorders>
              <w:top w:val="single" w:color="B7B7B7" w:sz="4"/>
              <w:left w:val="single" w:color="B7B7B7" w:sz="4"/>
              <w:bottom w:val="single" w:color="B7B7B7" w:sz="4"/>
              <w:right w:val="single" w:color="B7B7B7" w:sz="4"/>
            </w:tcBorders>
            <w:shd w:fill="F4EFE6" w:color="auto" w:val="clear"/>
            <w:tcMar>
              <w:top w:type="dxa" w:w="40"/>
              <w:left w:type="dxa" w:w="100"/>
              <w:bottom w:type="dxa" w:w="40"/>
              <w:right w:type="dxa" w:w="100"/>
            </w:tcMar>
          </w:tcPr>
          <w:p>
            <w:pPr>
              <w:spacing w:after="20"/>
            </w:pPr>
            <w:r>
              <w:rPr>
                <w:rFonts w:ascii="Arial" w:cs="Arial" w:eastAsia="Arial" w:hAnsi="Arial"/>
                <w:b/>
                <w:bCs/>
                <w:sz w:val="17"/>
                <w:szCs w:val="17"/>
              </w:rPr>
              <w:t xml:space="preserve">Nikoloz</w:t>
            </w:r>
          </w:p>
        </w:tc>
        <w:tc>
          <w:tcPr>
            <w:tcW w:type="dxa" w:w="84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The web portal: login and role guard, the broker client list, the underwriter pipeline queue with grouping, the stored LTV band and risk tier, and the borrower name. A security review of the portal and the fixes from it. The web architecture document.</w:t>
            </w:r>
          </w:p>
        </w:tc>
      </w:tr>
      <w:tr>
        <w:trPr>
          <w:cantSplit/>
        </w:trPr>
        <w:tc>
          <w:tcPr>
            <w:tcW w:type="dxa" w:w="1500"/>
            <w:tcBorders>
              <w:top w:val="single" w:color="B7B7B7" w:sz="4"/>
              <w:left w:val="single" w:color="B7B7B7" w:sz="4"/>
              <w:bottom w:val="single" w:color="B7B7B7" w:sz="4"/>
              <w:right w:val="single" w:color="B7B7B7" w:sz="4"/>
            </w:tcBorders>
            <w:shd w:fill="F4EFE6" w:color="auto" w:val="clear"/>
            <w:tcMar>
              <w:top w:type="dxa" w:w="40"/>
              <w:left w:type="dxa" w:w="100"/>
              <w:bottom w:type="dxa" w:w="40"/>
              <w:right w:type="dxa" w:w="100"/>
            </w:tcMar>
          </w:tcPr>
          <w:p>
            <w:pPr>
              <w:spacing w:after="20"/>
            </w:pPr>
            <w:r>
              <w:rPr>
                <w:rFonts w:ascii="Arial" w:cs="Arial" w:eastAsia="Arial" w:hAnsi="Arial"/>
                <w:b/>
                <w:bCs/>
                <w:sz w:val="17"/>
                <w:szCs w:val="17"/>
              </w:rPr>
              <w:t xml:space="preserve">Ibrahima</w:t>
            </w:r>
          </w:p>
        </w:tc>
        <w:tc>
          <w:tcPr>
            <w:tcW w:type="dxa" w:w="84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The borrower app: sign-up, sign-in and Google sign-in, broker choice, the affordability form, call and result, the application form with draft saving and editing, review and submit, and the HELOC wireframes and mortgage-or-HELOC choice.</w:t>
            </w:r>
          </w:p>
        </w:tc>
      </w:tr>
      <w:tr>
        <w:trPr>
          <w:cantSplit/>
        </w:trPr>
        <w:tc>
          <w:tcPr>
            <w:tcW w:type="dxa" w:w="1500"/>
            <w:tcBorders>
              <w:top w:val="single" w:color="B7B7B7" w:sz="4"/>
              <w:left w:val="single" w:color="B7B7B7" w:sz="4"/>
              <w:bottom w:val="single" w:color="B7B7B7" w:sz="4"/>
              <w:right w:val="single" w:color="B7B7B7" w:sz="4"/>
            </w:tcBorders>
            <w:shd w:fill="F4EFE6" w:color="auto" w:val="clear"/>
            <w:tcMar>
              <w:top w:type="dxa" w:w="40"/>
              <w:left w:type="dxa" w:w="100"/>
              <w:bottom w:type="dxa" w:w="40"/>
              <w:right w:type="dxa" w:w="100"/>
            </w:tcMar>
          </w:tcPr>
          <w:p>
            <w:pPr>
              <w:spacing w:after="20"/>
            </w:pPr>
            <w:r>
              <w:rPr>
                <w:rFonts w:ascii="Arial" w:cs="Arial" w:eastAsia="Arial" w:hAnsi="Arial"/>
                <w:b/>
                <w:bCs/>
                <w:sz w:val="17"/>
                <w:szCs w:val="17"/>
              </w:rPr>
              <w:t xml:space="preserve">Nicholas</w:t>
            </w:r>
          </w:p>
        </w:tc>
        <w:tc>
          <w:tcPr>
            <w:tcW w:type="dxa" w:w="84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The AI service: the valuation model, version 1 frozen and version 2 scored once on the final test (21.3% average miss against 27.0%), the model file and its card, the affordability agent on Ollama with its calculations, and the HELOC endpoint. The API and deployment documents.</w:t>
            </w:r>
          </w:p>
        </w:tc>
      </w:tr>
      <w:tr>
        <w:trPr>
          <w:cantSplit/>
        </w:trPr>
        <w:tc>
          <w:tcPr>
            <w:tcW w:type="dxa" w:w="1500"/>
            <w:tcBorders>
              <w:top w:val="single" w:color="B7B7B7" w:sz="4"/>
              <w:left w:val="single" w:color="B7B7B7" w:sz="4"/>
              <w:bottom w:val="single" w:color="B7B7B7" w:sz="4"/>
              <w:right w:val="single" w:color="B7B7B7" w:sz="4"/>
            </w:tcBorders>
            <w:shd w:fill="F4EFE6" w:color="auto" w:val="clear"/>
            <w:tcMar>
              <w:top w:type="dxa" w:w="40"/>
              <w:left w:type="dxa" w:w="100"/>
              <w:bottom w:type="dxa" w:w="40"/>
              <w:right w:type="dxa" w:w="100"/>
            </w:tcMar>
          </w:tcPr>
          <w:p>
            <w:pPr>
              <w:spacing w:after="20"/>
            </w:pPr>
            <w:r>
              <w:rPr>
                <w:rFonts w:ascii="Arial" w:cs="Arial" w:eastAsia="Arial" w:hAnsi="Arial"/>
                <w:b/>
                <w:bCs/>
                <w:sz w:val="17"/>
                <w:szCs w:val="17"/>
              </w:rPr>
              <w:t xml:space="preserve">Solomon</w:t>
            </w:r>
          </w:p>
        </w:tc>
        <w:tc>
          <w:tcPr>
            <w:tcW w:type="dxa" w:w="8406"/>
            <w:tcBorders>
              <w:top w:val="single" w:color="B7B7B7" w:sz="4"/>
              <w:left w:val="single" w:color="B7B7B7" w:sz="4"/>
              <w:bottom w:val="single" w:color="B7B7B7" w:sz="4"/>
              <w:right w:val="single" w:color="B7B7B7" w:sz="4"/>
            </w:tcBorders>
            <w:tcMar>
              <w:top w:type="dxa" w:w="40"/>
              <w:left w:type="dxa" w:w="100"/>
              <w:bottom w:type="dxa" w:w="40"/>
              <w:right w:type="dxa" w:w="100"/>
            </w:tcMar>
          </w:tcPr>
          <w:p>
            <w:pPr>
              <w:spacing w:after="20"/>
            </w:pPr>
            <w:r>
              <w:rPr>
                <w:rFonts w:ascii="Arial" w:cs="Arial" w:eastAsia="Arial" w:hAnsi="Arial"/>
                <w:b w:val="false"/>
                <w:bCs w:val="false"/>
                <w:sz w:val="17"/>
                <w:szCs w:val="17"/>
              </w:rPr>
              <w:t xml:space="preserve">al-core: the Firestore schema, security rules and seed data, the FastAPI service (profile, brokers, applications: create, edit and submit), and the loan note contract with 32 tests and a local-chain demo.</w:t>
            </w:r>
          </w:p>
        </w:tc>
      </w:tr>
    </w:tbl>
    <w:sectPr>
      <w:pgSz w:w="11906" w:h="16838" w:orient="portrait"/>
      <w:pgMar w:top="800" w:right="1000" w:bottom="76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2026-10-23T18:51:47.101Z</dcterms:created>
  <dcterms:modified xsi:type="dcterms:W3CDTF">2026-10-23T18:51:47.104Z</dcterms:modified>
</cp:coreProperties>
</file>

<file path=docProps/custom.xml><?xml version="1.0" encoding="utf-8"?>
<Properties xmlns="http://schemas.openxmlformats.org/officeDocument/2006/custom-properties" xmlns:vt="http://schemas.openxmlformats.org/officeDocument/2006/docPropsVTypes"/>
</file>