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0"/>
      </w:pPr>
      <w:r>
        <w:rPr>
          <w:rFonts w:ascii="Arial" w:cs="Arial" w:eastAsia="Arial" w:hAnsi="Arial"/>
          <w:b/>
          <w:bCs/>
          <w:color w:val="1F4D3A"/>
          <w:sz w:val="40"/>
          <w:szCs w:val="40"/>
        </w:rPr>
        <w:t xml:space="preserve">Use case: AL-9 On-Chain Settlement</w:t>
      </w:r>
    </w:p>
    <w:p>
      <w:pPr>
        <w:spacing w:after="200" w:before="0" w:line="288"/>
      </w:pPr>
      <w:r>
        <w:rPr>
          <w:rFonts w:ascii="Arial" w:cs="Arial" w:eastAsia="Arial" w:hAnsi="Arial"/>
          <w:color w:val="555555"/>
          <w:sz w:val="24"/>
          <w:szCs w:val="24"/>
        </w:rPr>
        <w:t xml:space="preserve">Epic. An approved loan is recorded on a blockchain with a tamper-proof hash of the decision.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00"/>
        <w:gridCol w:w="7906"/>
      </w:tblGrid>
      <w:tr>
        <w:trPr>
          <w:cantSplit/>
        </w:trPr>
        <w:tc>
          <w:tcPr>
            <w:tcW w:type="dxa" w:w="2000"/>
            <w:tcBorders>
              <w:top w:val="single" w:color="B7B7B7" w:sz="4"/>
              <w:left w:val="single" w:color="B7B7B7" w:sz="4"/>
              <w:bottom w:val="single" w:color="B7B7B7" w:sz="4"/>
              <w:right w:val="single" w:color="B7B7B7" w:sz="4"/>
            </w:tcBorders>
            <w:shd w:fill="F4EFE6" w:color="auto" w:val="clear"/>
            <w:tcMar>
              <w:top w:type="dxa" w:w="70"/>
              <w:left w:type="dxa" w:w="100"/>
              <w:bottom w:type="dxa" w:w="70"/>
              <w:right w:type="dxa" w:w="100"/>
            </w:tcMar>
          </w:tcPr>
          <w:p>
            <w:pPr>
              <w:spacing w:after="60"/>
            </w:pPr>
            <w:r>
              <w:rPr>
                <w:rFonts w:ascii="Arial" w:cs="Arial" w:eastAsia="Arial" w:hAnsi="Arial"/>
                <w:b/>
                <w:bCs/>
                <w:sz w:val="19"/>
                <w:szCs w:val="19"/>
              </w:rPr>
              <w:t xml:space="preserve">Epic</w:t>
            </w:r>
          </w:p>
        </w:tc>
        <w:tc>
          <w:tcPr>
            <w:tcW w:type="dxa" w:w="790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60"/>
            </w:pPr>
            <w:r>
              <w:rPr>
                <w:rFonts w:ascii="Arial" w:cs="Arial" w:eastAsia="Arial" w:hAnsi="Arial"/>
                <w:b w:val="false"/>
                <w:bCs w:val="false"/>
                <w:sz w:val="19"/>
                <w:szCs w:val="19"/>
              </w:rPr>
              <w:t xml:space="preserve">AL-9 On-Chain Settlement</w:t>
            </w:r>
          </w:p>
        </w:tc>
      </w:tr>
      <w:tr>
        <w:trPr>
          <w:cantSplit/>
        </w:trPr>
        <w:tc>
          <w:tcPr>
            <w:tcW w:type="dxa" w:w="2000"/>
            <w:tcBorders>
              <w:top w:val="single" w:color="B7B7B7" w:sz="4"/>
              <w:left w:val="single" w:color="B7B7B7" w:sz="4"/>
              <w:bottom w:val="single" w:color="B7B7B7" w:sz="4"/>
              <w:right w:val="single" w:color="B7B7B7" w:sz="4"/>
            </w:tcBorders>
            <w:shd w:fill="F4EFE6" w:color="auto" w:val="clear"/>
            <w:tcMar>
              <w:top w:type="dxa" w:w="70"/>
              <w:left w:type="dxa" w:w="100"/>
              <w:bottom w:type="dxa" w:w="70"/>
              <w:right w:type="dxa" w:w="100"/>
            </w:tcMar>
          </w:tcPr>
          <w:p>
            <w:pPr>
              <w:spacing w:after="60"/>
            </w:pPr>
            <w:r>
              <w:rPr>
                <w:rFonts w:ascii="Arial" w:cs="Arial" w:eastAsia="Arial" w:hAnsi="Arial"/>
                <w:b/>
                <w:bCs/>
                <w:sz w:val="19"/>
                <w:szCs w:val="19"/>
              </w:rPr>
              <w:t xml:space="preserve">Feature (from the brief)</w:t>
            </w:r>
          </w:p>
        </w:tc>
        <w:tc>
          <w:tcPr>
            <w:tcW w:type="dxa" w:w="790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60"/>
            </w:pPr>
            <w:r>
              <w:rPr>
                <w:rFonts w:ascii="Arial" w:cs="Arial" w:eastAsia="Arial" w:hAnsi="Arial"/>
                <w:b w:val="false"/>
                <w:bCs w:val="false"/>
                <w:sz w:val="19"/>
                <w:szCs w:val="19"/>
              </w:rPr>
              <w:t xml:space="preserve">Web: On-Chain Settlement and Decision Export (sign-off triggers minting; PDF/CSV audit packs). Core: Loan Tokenization Contract; Immutable Audit and Decision Registry; Execution Environment (Hardhat or Anvil locally, or Polygon Amoy or Arbitrum Sepolia). Mobile: lifecycle state of the digital loan note.</w:t>
            </w:r>
          </w:p>
        </w:tc>
      </w:tr>
      <w:tr>
        <w:trPr>
          <w:cantSplit/>
        </w:trPr>
        <w:tc>
          <w:tcPr>
            <w:tcW w:type="dxa" w:w="2000"/>
            <w:tcBorders>
              <w:top w:val="single" w:color="B7B7B7" w:sz="4"/>
              <w:left w:val="single" w:color="B7B7B7" w:sz="4"/>
              <w:bottom w:val="single" w:color="B7B7B7" w:sz="4"/>
              <w:right w:val="single" w:color="B7B7B7" w:sz="4"/>
            </w:tcBorders>
            <w:shd w:fill="F4EFE6" w:color="auto" w:val="clear"/>
            <w:tcMar>
              <w:top w:type="dxa" w:w="70"/>
              <w:left w:type="dxa" w:w="100"/>
              <w:bottom w:type="dxa" w:w="70"/>
              <w:right w:type="dxa" w:w="100"/>
            </w:tcMar>
          </w:tcPr>
          <w:p>
            <w:pPr>
              <w:spacing w:after="60"/>
            </w:pPr>
            <w:r>
              <w:rPr>
                <w:rFonts w:ascii="Arial" w:cs="Arial" w:eastAsia="Arial" w:hAnsi="Arial"/>
                <w:b/>
                <w:bCs/>
                <w:sz w:val="19"/>
                <w:szCs w:val="19"/>
              </w:rPr>
              <w:t xml:space="preserve">Owner</w:t>
            </w:r>
          </w:p>
        </w:tc>
        <w:tc>
          <w:tcPr>
            <w:tcW w:type="dxa" w:w="790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60"/>
            </w:pPr>
            <w:r>
              <w:rPr>
                <w:rFonts w:ascii="Arial" w:cs="Arial" w:eastAsia="Arial" w:hAnsi="Arial"/>
                <w:b w:val="false"/>
                <w:bCs w:val="false"/>
                <w:sz w:val="19"/>
                <w:szCs w:val="19"/>
              </w:rPr>
              <w:t xml:space="preserve">Solomon Sosanya (al-core: contracts and API). The portal stories are Nikoloz's and the mobile story is Ibrahima's.</w:t>
            </w:r>
          </w:p>
        </w:tc>
      </w:tr>
      <w:tr>
        <w:trPr>
          <w:cantSplit/>
        </w:trPr>
        <w:tc>
          <w:tcPr>
            <w:tcW w:type="dxa" w:w="2000"/>
            <w:tcBorders>
              <w:top w:val="single" w:color="B7B7B7" w:sz="4"/>
              <w:left w:val="single" w:color="B7B7B7" w:sz="4"/>
              <w:bottom w:val="single" w:color="B7B7B7" w:sz="4"/>
              <w:right w:val="single" w:color="B7B7B7" w:sz="4"/>
            </w:tcBorders>
            <w:shd w:fill="F4EFE6" w:color="auto" w:val="clear"/>
            <w:tcMar>
              <w:top w:type="dxa" w:w="70"/>
              <w:left w:type="dxa" w:w="100"/>
              <w:bottom w:type="dxa" w:w="70"/>
              <w:right w:type="dxa" w:w="100"/>
            </w:tcMar>
          </w:tcPr>
          <w:p>
            <w:pPr>
              <w:spacing w:after="60"/>
            </w:pPr>
            <w:r>
              <w:rPr>
                <w:rFonts w:ascii="Arial" w:cs="Arial" w:eastAsia="Arial" w:hAnsi="Arial"/>
                <w:b/>
                <w:bCs/>
                <w:sz w:val="19"/>
                <w:szCs w:val="19"/>
              </w:rPr>
              <w:t xml:space="preserve">Sprint</w:t>
            </w:r>
          </w:p>
        </w:tc>
        <w:tc>
          <w:tcPr>
            <w:tcW w:type="dxa" w:w="790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60"/>
            </w:pPr>
            <w:r>
              <w:rPr>
                <w:rFonts w:ascii="Arial" w:cs="Arial" w:eastAsia="Arial" w:hAnsi="Arial"/>
                <w:b w:val="false"/>
                <w:bCs w:val="false"/>
                <w:sz w:val="19"/>
                <w:szCs w:val="19"/>
              </w:rPr>
              <w:t xml:space="preserve">Sprint 1 (8 to 25 Oct 2026) delivered the loan note contract (AL-35). The other stories follow in Sprints 2 and 3.</w:t>
            </w:r>
          </w:p>
        </w:tc>
      </w:tr>
    </w:tbl>
    <w:p>
      <w:pPr>
        <w:pStyle w:val="Heading2"/>
        <w:spacing w:after="100" w:before="280"/>
      </w:pPr>
      <w:r>
        <w:rPr>
          <w:rFonts w:ascii="Arial" w:cs="Arial" w:eastAsia="Arial" w:hAnsi="Arial"/>
          <w:b/>
          <w:bCs/>
          <w:color w:val="1F4D3A"/>
          <w:sz w:val="26"/>
          <w:szCs w:val="26"/>
        </w:rPr>
        <w:t xml:space="preserve">Goal</w:t>
      </w:r>
    </w:p>
    <w:p>
      <w:pPr>
        <w:spacing w:after="120" w:before="0" w:line="288"/>
      </w:pPr>
      <w:r>
        <w:rPr>
          <w:rFonts w:ascii="Arial" w:cs="Arial" w:eastAsia="Arial" w:hAnsi="Arial"/>
          <w:sz w:val="21"/>
          <w:szCs w:val="21"/>
        </w:rPr>
        <w:t xml:space="preserve">As a bank, I want approved loans recorded on a blockchain with a tamper-proof hash of the decision, so that anyone can later verify the loan and the reasons behind it.</w:t>
      </w:r>
    </w:p>
    <w:p>
      <w:pPr>
        <w:pStyle w:val="Heading2"/>
        <w:spacing w:after="100" w:before="280"/>
      </w:pPr>
      <w:r>
        <w:rPr>
          <w:rFonts w:ascii="Arial" w:cs="Arial" w:eastAsia="Arial" w:hAnsi="Arial"/>
          <w:b/>
          <w:bCs/>
          <w:color w:val="1F4D3A"/>
          <w:sz w:val="26"/>
          <w:szCs w:val="26"/>
        </w:rPr>
        <w:t xml:space="preserve">Actors</w:t>
      </w:r>
    </w:p>
    <w:p>
      <w:pPr>
        <w:pStyle w:val="ListParagraph"/>
        <w:numPr>
          <w:ilvl w:val="0"/>
          <w:numId w:val="2"/>
        </w:numPr>
        <w:spacing w:after="60" w:line="288"/>
      </w:pPr>
      <w:r>
        <w:rPr>
          <w:rFonts w:ascii="Arial" w:cs="Arial" w:eastAsia="Arial" w:hAnsi="Arial"/>
          <w:sz w:val="21"/>
          <w:szCs w:val="21"/>
        </w:rPr>
        <w:t xml:space="preserve">Underwriter: reviews an application in the web portal and signs it off.</w:t>
      </w:r>
    </w:p>
    <w:p>
      <w:pPr>
        <w:pStyle w:val="ListParagraph"/>
        <w:numPr>
          <w:ilvl w:val="0"/>
          <w:numId w:val="2"/>
        </w:numPr>
        <w:spacing w:after="60" w:line="288"/>
      </w:pPr>
      <w:r>
        <w:rPr>
          <w:rFonts w:ascii="Arial" w:cs="Arial" w:eastAsia="Arial" w:hAnsi="Arial"/>
          <w:sz w:val="21"/>
          <w:szCs w:val="21"/>
        </w:rPr>
        <w:t xml:space="preserve">al-core (the backend API): records the decision and holds the minter wallet, the only wallet that can mint. The portal never holds a key.</w:t>
      </w:r>
    </w:p>
    <w:p>
      <w:pPr>
        <w:pStyle w:val="ListParagraph"/>
        <w:numPr>
          <w:ilvl w:val="0"/>
          <w:numId w:val="2"/>
        </w:numPr>
        <w:spacing w:after="60" w:line="288"/>
      </w:pPr>
      <w:r>
        <w:rPr>
          <w:rFonts w:ascii="Arial" w:cs="Arial" w:eastAsia="Arial" w:hAnsi="Arial"/>
          <w:sz w:val="21"/>
          <w:szCs w:val="21"/>
        </w:rPr>
        <w:t xml:space="preserve">The ledger: a local Hardhat chain in Sprints 1 and 2, then a public testnet (Polygon Amoy or Arbitrum Sepolia) in Sprint 3.</w:t>
      </w:r>
    </w:p>
    <w:p>
      <w:pPr>
        <w:pStyle w:val="ListParagraph"/>
        <w:numPr>
          <w:ilvl w:val="0"/>
          <w:numId w:val="2"/>
        </w:numPr>
        <w:spacing w:after="60" w:line="288"/>
      </w:pPr>
      <w:r>
        <w:rPr>
          <w:rFonts w:ascii="Arial" w:cs="Arial" w:eastAsia="Arial" w:hAnsi="Arial"/>
          <w:sz w:val="21"/>
          <w:szCs w:val="21"/>
        </w:rPr>
        <w:t xml:space="preserve">Bank: the holder of every loan note.</w:t>
      </w:r>
    </w:p>
    <w:p>
      <w:pPr>
        <w:pStyle w:val="ListParagraph"/>
        <w:numPr>
          <w:ilvl w:val="0"/>
          <w:numId w:val="2"/>
        </w:numPr>
        <w:spacing w:after="60" w:line="288"/>
      </w:pPr>
      <w:r>
        <w:rPr>
          <w:rFonts w:ascii="Arial" w:cs="Arial" w:eastAsia="Arial" w:hAnsi="Arial"/>
          <w:sz w:val="21"/>
          <w:szCs w:val="21"/>
        </w:rPr>
        <w:t xml:space="preserve">Borrower: sees the lifecycle state of their loan note in the iOS app.</w:t>
      </w:r>
    </w:p>
    <w:p>
      <w:pPr>
        <w:pStyle w:val="ListParagraph"/>
        <w:numPr>
          <w:ilvl w:val="0"/>
          <w:numId w:val="2"/>
        </w:numPr>
        <w:spacing w:after="60" w:line="288"/>
      </w:pPr>
      <w:r>
        <w:rPr>
          <w:rFonts w:ascii="Arial" w:cs="Arial" w:eastAsia="Arial" w:hAnsi="Arial"/>
          <w:sz w:val="21"/>
          <w:szCs w:val="21"/>
        </w:rPr>
        <w:t xml:space="preserve">Auditor: downloads an audit pack and checks its hash against the one on the chain.</w:t>
      </w:r>
    </w:p>
    <w:p>
      <w:pPr>
        <w:pStyle w:val="Heading2"/>
        <w:spacing w:after="100" w:before="280"/>
      </w:pPr>
      <w:r>
        <w:rPr>
          <w:rFonts w:ascii="Arial" w:cs="Arial" w:eastAsia="Arial" w:hAnsi="Arial"/>
          <w:b/>
          <w:bCs/>
          <w:color w:val="1F4D3A"/>
          <w:sz w:val="26"/>
          <w:szCs w:val="26"/>
        </w:rPr>
        <w:t xml:space="preserve">Preconditions</w:t>
      </w:r>
    </w:p>
    <w:p>
      <w:pPr>
        <w:pStyle w:val="ListParagraph"/>
        <w:numPr>
          <w:ilvl w:val="0"/>
          <w:numId w:val="2"/>
        </w:numPr>
        <w:spacing w:after="60" w:line="288"/>
      </w:pPr>
      <w:r>
        <w:rPr>
          <w:rFonts w:ascii="Arial" w:cs="Arial" w:eastAsia="Arial" w:hAnsi="Arial"/>
          <w:sz w:val="21"/>
          <w:szCs w:val="21"/>
        </w:rPr>
        <w:t xml:space="preserve">The application has been through the AI committee review (status AI Deliberated) and the underwriter is signed in with the underwriter role.</w:t>
      </w:r>
    </w:p>
    <w:p>
      <w:pPr>
        <w:pStyle w:val="ListParagraph"/>
        <w:numPr>
          <w:ilvl w:val="0"/>
          <w:numId w:val="2"/>
        </w:numPr>
        <w:spacing w:after="60" w:line="288"/>
      </w:pPr>
      <w:r>
        <w:rPr>
          <w:rFonts w:ascii="Arial" w:cs="Arial" w:eastAsia="Arial" w:hAnsi="Arial"/>
          <w:sz w:val="21"/>
          <w:szCs w:val="21"/>
        </w:rPr>
        <w:t xml:space="preserve">The loan note contract and the audit registry are deployed, and al-core's wallet holds the minter role.</w:t>
      </w:r>
    </w:p>
    <w:p>
      <w:pPr>
        <w:pStyle w:val="Heading2"/>
        <w:spacing w:after="100" w:before="280"/>
      </w:pPr>
      <w:r>
        <w:rPr>
          <w:rFonts w:ascii="Arial" w:cs="Arial" w:eastAsia="Arial" w:hAnsi="Arial"/>
          <w:b/>
          <w:bCs/>
          <w:color w:val="1F4D3A"/>
          <w:sz w:val="26"/>
          <w:szCs w:val="26"/>
        </w:rPr>
        <w:t xml:space="preserve">Trigger</w:t>
      </w:r>
    </w:p>
    <w:p>
      <w:pPr>
        <w:spacing w:after="120" w:before="0" w:line="288"/>
      </w:pPr>
      <w:r>
        <w:rPr>
          <w:rFonts w:ascii="Arial" w:cs="Arial" w:eastAsia="Arial" w:hAnsi="Arial"/>
          <w:sz w:val="21"/>
          <w:szCs w:val="21"/>
        </w:rPr>
        <w:t xml:space="preserve">The underwriter approves an application after reviewing the application, the valuation and the AI committee's reasoning.</w:t>
      </w:r>
    </w:p>
    <w:p>
      <w:pPr>
        <w:pStyle w:val="Heading2"/>
        <w:spacing w:after="100" w:before="280"/>
      </w:pPr>
      <w:r>
        <w:rPr>
          <w:rFonts w:ascii="Arial" w:cs="Arial" w:eastAsia="Arial" w:hAnsi="Arial"/>
          <w:b/>
          <w:bCs/>
          <w:color w:val="1F4D3A"/>
          <w:sz w:val="26"/>
          <w:szCs w:val="26"/>
        </w:rPr>
        <w:t xml:space="preserve">Main flow</w:t>
      </w:r>
    </w:p>
    <w:p>
      <w:pPr>
        <w:pStyle w:val="ListParagraph"/>
        <w:numPr>
          <w:ilvl w:val="0"/>
          <w:numId w:val="3"/>
        </w:numPr>
        <w:spacing w:after="70" w:line="288"/>
      </w:pPr>
      <w:r>
        <w:rPr>
          <w:rFonts w:ascii="Arial" w:cs="Arial" w:eastAsia="Arial" w:hAnsi="Arial"/>
          <w:sz w:val="21"/>
          <w:szCs w:val="21"/>
        </w:rPr>
        <w:t xml:space="preserve">The underwriter opens the loan file and reviews the application, the valuation and the AI committee's reasoning.</w:t>
      </w:r>
    </w:p>
    <w:p>
      <w:pPr>
        <w:pStyle w:val="ListParagraph"/>
        <w:numPr>
          <w:ilvl w:val="0"/>
          <w:numId w:val="3"/>
        </w:numPr>
        <w:spacing w:after="70" w:line="288"/>
      </w:pPr>
      <w:r>
        <w:rPr>
          <w:rFonts w:ascii="Arial" w:cs="Arial" w:eastAsia="Arial" w:hAnsi="Arial"/>
          <w:sz w:val="21"/>
          <w:szCs w:val="21"/>
        </w:rPr>
        <w:t xml:space="preserve">The underwriter approves, with a justification. The portal asks al-core to record the decision.</w:t>
      </w:r>
    </w:p>
    <w:p>
      <w:pPr>
        <w:pStyle w:val="ListParagraph"/>
        <w:numPr>
          <w:ilvl w:val="0"/>
          <w:numId w:val="3"/>
        </w:numPr>
        <w:spacing w:after="70" w:line="288"/>
      </w:pPr>
      <w:r>
        <w:rPr>
          <w:rFonts w:ascii="Arial" w:cs="Arial" w:eastAsia="Arial" w:hAnsi="Arial"/>
          <w:sz w:val="21"/>
          <w:szCs w:val="21"/>
        </w:rPr>
        <w:t xml:space="preserve">al-core checks the caller's role and that the application's status allows the move, then saves the decision (who, when, why) and sets the status to Underwriter Approved.</w:t>
      </w:r>
    </w:p>
    <w:p>
      <w:pPr>
        <w:pStyle w:val="ListParagraph"/>
        <w:numPr>
          <w:ilvl w:val="0"/>
          <w:numId w:val="3"/>
        </w:numPr>
        <w:spacing w:after="70" w:line="288"/>
      </w:pPr>
      <w:r>
        <w:rPr>
          <w:rFonts w:ascii="Arial" w:cs="Arial" w:eastAsia="Arial" w:hAnsi="Arial"/>
          <w:sz w:val="21"/>
          <w:szCs w:val="21"/>
        </w:rPr>
        <w:t xml:space="preserve">al-core builds the canonical decision record (credit memo, valuation and approval) and its SHA-256 hash: canonical JSON with sorted keys and no spaces, timestamps in UTC.</w:t>
      </w:r>
    </w:p>
    <w:p>
      <w:pPr>
        <w:pStyle w:val="ListParagraph"/>
        <w:numPr>
          <w:ilvl w:val="0"/>
          <w:numId w:val="3"/>
        </w:numPr>
        <w:spacing w:after="70" w:line="288"/>
      </w:pPr>
      <w:r>
        <w:rPr>
          <w:rFonts w:ascii="Arial" w:cs="Arial" w:eastAsia="Arial" w:hAnsi="Arial"/>
          <w:sz w:val="21"/>
          <w:szCs w:val="21"/>
        </w:rPr>
        <w:t xml:space="preserve">al-core mints the loan note from its minter wallet. The note stores the principal in euro cents, the APR in basis points, the term in months, the loan type and two references: a hash of the application id and a salted hash of the borrower id. No personal data goes on the chain.</w:t>
      </w:r>
    </w:p>
    <w:p>
      <w:pPr>
        <w:pStyle w:val="ListParagraph"/>
        <w:numPr>
          <w:ilvl w:val="0"/>
          <w:numId w:val="3"/>
        </w:numPr>
        <w:spacing w:after="70" w:line="288"/>
      </w:pPr>
      <w:r>
        <w:rPr>
          <w:rFonts w:ascii="Arial" w:cs="Arial" w:eastAsia="Arial" w:hAnsi="Arial"/>
          <w:sz w:val="21"/>
          <w:szCs w:val="21"/>
        </w:rPr>
        <w:t xml:space="preserve">al-core stores the decision hash in the audit registry.</w:t>
      </w:r>
    </w:p>
    <w:p>
      <w:pPr>
        <w:pStyle w:val="ListParagraph"/>
        <w:numPr>
          <w:ilvl w:val="0"/>
          <w:numId w:val="3"/>
        </w:numPr>
        <w:spacing w:after="70" w:line="288"/>
      </w:pPr>
      <w:r>
        <w:rPr>
          <w:rFonts w:ascii="Arial" w:cs="Arial" w:eastAsia="Arial" w:hAnsi="Arial"/>
          <w:sz w:val="21"/>
          <w:szCs w:val="21"/>
        </w:rPr>
        <w:t xml:space="preserve">al-core saves the token id and transaction hashes on the application and sets the status to Funded. The portal and the borrower's app update from Firestore.</w:t>
      </w:r>
    </w:p>
    <w:p>
      <w:pPr>
        <w:pStyle w:val="ListParagraph"/>
        <w:numPr>
          <w:ilvl w:val="0"/>
          <w:numId w:val="3"/>
        </w:numPr>
        <w:spacing w:after="70" w:line="288"/>
      </w:pPr>
      <w:r>
        <w:rPr>
          <w:rFonts w:ascii="Arial" w:cs="Arial" w:eastAsia="Arial" w:hAnsi="Arial"/>
          <w:sz w:val="21"/>
          <w:szCs w:val="21"/>
        </w:rPr>
        <w:t xml:space="preserve">The borrower sees the loan note's lifecycle state in the app. The underwriter, or an auditor, can download a PDF or CSV audit pack for the decision and recompute the hash from it. It matches the hash on the chain.</w:t>
      </w:r>
    </w:p>
    <w:p>
      <w:pPr>
        <w:pStyle w:val="Heading2"/>
        <w:spacing w:after="100" w:before="280"/>
      </w:pPr>
      <w:r>
        <w:rPr>
          <w:rFonts w:ascii="Arial" w:cs="Arial" w:eastAsia="Arial" w:hAnsi="Arial"/>
          <w:b/>
          <w:bCs/>
          <w:color w:val="1F4D3A"/>
          <w:sz w:val="26"/>
          <w:szCs w:val="26"/>
        </w:rPr>
        <w:t xml:space="preserve">Alternative flows</w:t>
      </w:r>
    </w:p>
    <w:p>
      <w:pPr>
        <w:spacing w:after="120" w:before="0" w:line="288"/>
      </w:pPr>
      <w:r>
        <w:rPr>
          <w:rFonts w:ascii="Arial" w:cs="Arial" w:eastAsia="Arial" w:hAnsi="Arial"/>
          <w:b/>
          <w:bCs/>
          <w:sz w:val="21"/>
          <w:szCs w:val="21"/>
        </w:rPr>
        <w:t xml:space="preserve">A. Decline. </w:t>
      </w:r>
      <w:r>
        <w:rPr>
          <w:rFonts w:ascii="Arial" w:cs="Arial" w:eastAsia="Arial" w:hAnsi="Arial"/>
          <w:sz w:val="21"/>
          <w:szCs w:val="21"/>
        </w:rPr>
        <w:t xml:space="preserve">The underwriter declines with a justification. The decision is saved and the status becomes Declined. No loan note is minted.</w:t>
      </w:r>
    </w:p>
    <w:p>
      <w:pPr>
        <w:pStyle w:val="Heading2"/>
        <w:spacing w:after="100" w:before="280"/>
      </w:pPr>
      <w:r>
        <w:rPr>
          <w:rFonts w:ascii="Arial" w:cs="Arial" w:eastAsia="Arial" w:hAnsi="Arial"/>
          <w:b/>
          <w:bCs/>
          <w:color w:val="1F4D3A"/>
          <w:sz w:val="26"/>
          <w:szCs w:val="26"/>
        </w:rPr>
        <w:t xml:space="preserve">Exceptions</w:t>
      </w:r>
    </w:p>
    <w:p>
      <w:pPr>
        <w:pStyle w:val="ListParagraph"/>
        <w:numPr>
          <w:ilvl w:val="0"/>
          <w:numId w:val="4"/>
        </w:numPr>
        <w:spacing w:after="70" w:line="288"/>
      </w:pPr>
      <w:r>
        <w:rPr>
          <w:rFonts w:ascii="Arial" w:cs="Arial" w:eastAsia="Arial" w:hAnsi="Arial"/>
          <w:sz w:val="21"/>
          <w:szCs w:val="21"/>
        </w:rPr>
        <w:t xml:space="preserve">The caller is not an underwriter, or the application is not in a status that can be approved. al-core refuses and nothing changes.</w:t>
      </w:r>
    </w:p>
    <w:p>
      <w:pPr>
        <w:pStyle w:val="ListParagraph"/>
        <w:numPr>
          <w:ilvl w:val="0"/>
          <w:numId w:val="4"/>
        </w:numPr>
        <w:spacing w:after="70" w:line="288"/>
      </w:pPr>
      <w:r>
        <w:rPr>
          <w:rFonts w:ascii="Arial" w:cs="Arial" w:eastAsia="Arial" w:hAnsi="Arial"/>
          <w:sz w:val="21"/>
          <w:szCs w:val="21"/>
        </w:rPr>
        <w:t xml:space="preserve">A second mint for the same application, for example after a double click or a retry. The contract refuses it (AlreadyMinted), so only one note ever exists for an application.</w:t>
      </w:r>
    </w:p>
    <w:p>
      <w:pPr>
        <w:pStyle w:val="ListParagraph"/>
        <w:numPr>
          <w:ilvl w:val="0"/>
          <w:numId w:val="4"/>
        </w:numPr>
        <w:spacing w:after="70" w:line="288"/>
      </w:pPr>
      <w:r>
        <w:rPr>
          <w:rFonts w:ascii="Arial" w:cs="Arial" w:eastAsia="Arial" w:hAnsi="Arial"/>
          <w:sz w:val="21"/>
          <w:szCs w:val="21"/>
        </w:rPr>
        <w:t xml:space="preserve">The loan values are invalid, such as a zero principal, an APR above 100% or a term over 40 years. The contract refuses them (InvalidNote) and nothing is stored.</w:t>
      </w:r>
    </w:p>
    <w:p>
      <w:pPr>
        <w:pStyle w:val="ListParagraph"/>
        <w:numPr>
          <w:ilvl w:val="0"/>
          <w:numId w:val="4"/>
        </w:numPr>
        <w:spacing w:after="70" w:line="288"/>
      </w:pPr>
      <w:r>
        <w:rPr>
          <w:rFonts w:ascii="Arial" w:cs="Arial" w:eastAsia="Arial" w:hAnsi="Arial"/>
          <w:sz w:val="21"/>
          <w:szCs w:val="21"/>
        </w:rPr>
        <w:t xml:space="preserve">The chain or the transaction fails. The application stays at Underwriter Approved and the mint can be retried. Nothing is marked Funded until the mint is confirmed. This is the intended behaviour for Sprint 2.</w:t>
      </w:r>
    </w:p>
    <w:p>
      <w:pPr>
        <w:pStyle w:val="Heading2"/>
        <w:spacing w:after="100" w:before="280"/>
      </w:pPr>
      <w:r>
        <w:rPr>
          <w:rFonts w:ascii="Arial" w:cs="Arial" w:eastAsia="Arial" w:hAnsi="Arial"/>
          <w:b/>
          <w:bCs/>
          <w:color w:val="1F4D3A"/>
          <w:sz w:val="26"/>
          <w:szCs w:val="26"/>
        </w:rPr>
        <w:t xml:space="preserve">Postconditions</w:t>
      </w:r>
    </w:p>
    <w:p>
      <w:pPr>
        <w:pStyle w:val="ListParagraph"/>
        <w:numPr>
          <w:ilvl w:val="0"/>
          <w:numId w:val="2"/>
        </w:numPr>
        <w:spacing w:after="60" w:line="288"/>
      </w:pPr>
      <w:r>
        <w:rPr>
          <w:rFonts w:ascii="Arial" w:cs="Arial" w:eastAsia="Arial" w:hAnsi="Arial"/>
          <w:sz w:val="21"/>
          <w:szCs w:val="21"/>
        </w:rPr>
        <w:t xml:space="preserve">Success: the application is Funded, one loan note exists for it and its token id is saved, the decision hash is in the registry, and an audit pack can be downloaded.</w:t>
      </w:r>
    </w:p>
    <w:p>
      <w:pPr>
        <w:pStyle w:val="ListParagraph"/>
        <w:numPr>
          <w:ilvl w:val="0"/>
          <w:numId w:val="2"/>
        </w:numPr>
        <w:spacing w:after="60" w:line="288"/>
      </w:pPr>
      <w:r>
        <w:rPr>
          <w:rFonts w:ascii="Arial" w:cs="Arial" w:eastAsia="Arial" w:hAnsi="Arial"/>
          <w:sz w:val="21"/>
          <w:szCs w:val="21"/>
        </w:rPr>
        <w:t xml:space="preserve">Failure or decline: no note exists, and the application's status shows where it stopped.</w:t>
      </w:r>
    </w:p>
    <w:p>
      <w:pPr>
        <w:pStyle w:val="Heading2"/>
        <w:spacing w:after="100" w:before="280"/>
      </w:pPr>
      <w:r>
        <w:rPr>
          <w:rFonts w:ascii="Arial" w:cs="Arial" w:eastAsia="Arial" w:hAnsi="Arial"/>
          <w:b/>
          <w:bCs/>
          <w:color w:val="1F4D3A"/>
          <w:sz w:val="26"/>
          <w:szCs w:val="26"/>
        </w:rPr>
        <w:t xml:space="preserve">Business rules</w:t>
      </w:r>
    </w:p>
    <w:p>
      <w:pPr>
        <w:pStyle w:val="ListParagraph"/>
        <w:numPr>
          <w:ilvl w:val="0"/>
          <w:numId w:val="2"/>
        </w:numPr>
        <w:spacing w:after="60" w:line="288"/>
      </w:pPr>
      <w:r>
        <w:rPr>
          <w:rFonts w:ascii="Arial" w:cs="Arial" w:eastAsia="Arial" w:hAnsi="Arial"/>
          <w:sz w:val="21"/>
          <w:szCs w:val="21"/>
        </w:rPr>
        <w:t xml:space="preserve">Only al-core's wallet can mint or close a note, and a note can be closed once.</w:t>
      </w:r>
    </w:p>
    <w:p>
      <w:pPr>
        <w:pStyle w:val="ListParagraph"/>
        <w:numPr>
          <w:ilvl w:val="0"/>
          <w:numId w:val="2"/>
        </w:numPr>
        <w:spacing w:after="60" w:line="288"/>
      </w:pPr>
      <w:r>
        <w:rPr>
          <w:rFonts w:ascii="Arial" w:cs="Arial" w:eastAsia="Arial" w:hAnsi="Arial"/>
          <w:sz w:val="21"/>
          <w:szCs w:val="21"/>
        </w:rPr>
        <w:t xml:space="preserve">One note per application.</w:t>
      </w:r>
    </w:p>
    <w:p>
      <w:pPr>
        <w:pStyle w:val="ListParagraph"/>
        <w:numPr>
          <w:ilvl w:val="0"/>
          <w:numId w:val="2"/>
        </w:numPr>
        <w:spacing w:after="60" w:line="288"/>
      </w:pPr>
      <w:r>
        <w:rPr>
          <w:rFonts w:ascii="Arial" w:cs="Arial" w:eastAsia="Arial" w:hAnsi="Arial"/>
          <w:sz w:val="21"/>
          <w:szCs w:val="21"/>
        </w:rPr>
        <w:t xml:space="preserve">No personal data on the chain: only hashes and the loan terms.</w:t>
      </w:r>
    </w:p>
    <w:p>
      <w:pPr>
        <w:pStyle w:val="ListParagraph"/>
        <w:numPr>
          <w:ilvl w:val="0"/>
          <w:numId w:val="2"/>
        </w:numPr>
        <w:spacing w:after="60" w:line="288"/>
      </w:pPr>
      <w:r>
        <w:rPr>
          <w:rFonts w:ascii="Arial" w:cs="Arial" w:eastAsia="Arial" w:hAnsi="Arial"/>
          <w:sz w:val="21"/>
          <w:szCs w:val="21"/>
        </w:rPr>
        <w:t xml:space="preserve">Notes are held by the bank and can't be transferred. A note is a record of the loan, not a tradable asset. Selling loans on is future work.</w:t>
      </w:r>
    </w:p>
    <w:p>
      <w:pPr>
        <w:pStyle w:val="ListParagraph"/>
        <w:numPr>
          <w:ilvl w:val="0"/>
          <w:numId w:val="2"/>
        </w:numPr>
        <w:spacing w:after="60" w:line="288"/>
      </w:pPr>
      <w:r>
        <w:rPr>
          <w:rFonts w:ascii="Arial" w:cs="Arial" w:eastAsia="Arial" w:hAnsi="Arial"/>
          <w:sz w:val="21"/>
          <w:szCs w:val="21"/>
        </w:rPr>
        <w:t xml:space="preserve">The hash is SHA-256 of the canonical decision record, so the same record always gives the same hash.</w:t>
      </w:r>
    </w:p>
    <w:p>
      <w:pPr>
        <w:pStyle w:val="Heading2"/>
        <w:spacing w:after="100" w:before="280"/>
      </w:pPr>
      <w:r>
        <w:rPr>
          <w:rFonts w:ascii="Arial" w:cs="Arial" w:eastAsia="Arial" w:hAnsi="Arial"/>
          <w:b/>
          <w:bCs/>
          <w:color w:val="1F4D3A"/>
          <w:sz w:val="26"/>
          <w:szCs w:val="26"/>
        </w:rPr>
        <w:t xml:space="preserve">Flow diagram</w:t>
      </w:r>
    </w:p>
    <w:p>
      <w:pPr>
        <w:spacing w:after="120" w:before="0" w:line="288"/>
      </w:pPr>
      <w:r>
        <w:rPr>
          <w:rFonts w:ascii="Arial" w:cs="Arial" w:eastAsia="Arial" w:hAnsi="Arial"/>
          <w:sz w:val="21"/>
          <w:szCs w:val="21"/>
        </w:rPr>
        <w:t xml:space="preserve">The sign-off to mint flow, from docs/diagrams/04-flow-signoff-mint.png:</w:t>
      </w:r>
    </w:p>
    <w:p>
      <w:pPr>
        <w:spacing w:after="100" w:before="100"/>
      </w:pPr>
      <w:r>
        <w:drawing>
          <wp:inline distT="0" distB="0" distL="0" distR="0">
            <wp:extent cx="6096000" cy="2514600"/>
            <wp:effectExtent t="0" r="0" b="0" l="0"/>
            <wp:docPr id="2" name="flow" descr="Flow diagram" title="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2514600"/>
                    </a:xfrm>
                    <a:prstGeom prst="rect">
                      <a:avLst/>
                    </a:prstGeom>
                  </pic:spPr>
                </pic:pic>
              </a:graphicData>
            </a:graphic>
          </wp:inline>
        </w:drawing>
      </w:r>
    </w:p>
    <w:p>
      <w:pPr>
        <w:pStyle w:val="Heading2"/>
        <w:spacing w:after="100" w:before="280"/>
      </w:pPr>
      <w:r>
        <w:rPr>
          <w:rFonts w:ascii="Arial" w:cs="Arial" w:eastAsia="Arial" w:hAnsi="Arial"/>
          <w:b/>
          <w:bCs/>
          <w:color w:val="1F4D3A"/>
          <w:sz w:val="26"/>
          <w:szCs w:val="26"/>
        </w:rPr>
        <w:t xml:space="preserve">Stories in this epic</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4306"/>
        <w:gridCol w:w="1700"/>
        <w:gridCol w:w="1500"/>
        <w:gridCol w:w="1500"/>
      </w:tblGrid>
      <w:tr>
        <w:trPr>
          <w:tblHeader/>
        </w:trPr>
        <w:tc>
          <w:tcPr>
            <w:tcW w:type="dxa" w:w="900"/>
            <w:tcBorders>
              <w:top w:val="single" w:color="B7B7B7" w:sz="4"/>
              <w:left w:val="single" w:color="B7B7B7" w:sz="4"/>
              <w:bottom w:val="single" w:color="B7B7B7" w:sz="4"/>
              <w:right w:val="single" w:color="B7B7B7" w:sz="4"/>
            </w:tcBorders>
            <w:shd w:fill="E8F1EC" w:color="auto" w:val="clear"/>
            <w:tcMar>
              <w:top w:type="dxa" w:w="70"/>
              <w:left w:type="dxa" w:w="100"/>
              <w:bottom w:type="dxa" w:w="70"/>
              <w:right w:type="dxa" w:w="100"/>
            </w:tcMar>
          </w:tcPr>
          <w:p>
            <w:pPr>
              <w:spacing w:after="60"/>
            </w:pPr>
            <w:r>
              <w:rPr>
                <w:rFonts w:ascii="Arial" w:cs="Arial" w:eastAsia="Arial" w:hAnsi="Arial"/>
                <w:b/>
                <w:bCs/>
                <w:sz w:val="19"/>
                <w:szCs w:val="19"/>
              </w:rPr>
              <w:t xml:space="preserve">Story</w:t>
            </w:r>
          </w:p>
        </w:tc>
        <w:tc>
          <w:tcPr>
            <w:tcW w:type="dxa" w:w="4306"/>
            <w:tcBorders>
              <w:top w:val="single" w:color="B7B7B7" w:sz="4"/>
              <w:left w:val="single" w:color="B7B7B7" w:sz="4"/>
              <w:bottom w:val="single" w:color="B7B7B7" w:sz="4"/>
              <w:right w:val="single" w:color="B7B7B7" w:sz="4"/>
            </w:tcBorders>
            <w:shd w:fill="E8F1EC" w:color="auto" w:val="clear"/>
            <w:tcMar>
              <w:top w:type="dxa" w:w="70"/>
              <w:left w:type="dxa" w:w="100"/>
              <w:bottom w:type="dxa" w:w="70"/>
              <w:right w:type="dxa" w:w="100"/>
            </w:tcMar>
          </w:tcPr>
          <w:p>
            <w:pPr>
              <w:spacing w:after="60"/>
            </w:pPr>
            <w:r>
              <w:rPr>
                <w:rFonts w:ascii="Arial" w:cs="Arial" w:eastAsia="Arial" w:hAnsi="Arial"/>
                <w:b/>
                <w:bCs/>
                <w:sz w:val="19"/>
                <w:szCs w:val="19"/>
              </w:rPr>
              <w:t xml:space="preserve">What</w:t>
            </w:r>
          </w:p>
        </w:tc>
        <w:tc>
          <w:tcPr>
            <w:tcW w:type="dxa" w:w="1700"/>
            <w:tcBorders>
              <w:top w:val="single" w:color="B7B7B7" w:sz="4"/>
              <w:left w:val="single" w:color="B7B7B7" w:sz="4"/>
              <w:bottom w:val="single" w:color="B7B7B7" w:sz="4"/>
              <w:right w:val="single" w:color="B7B7B7" w:sz="4"/>
            </w:tcBorders>
            <w:shd w:fill="E8F1EC" w:color="auto" w:val="clear"/>
            <w:tcMar>
              <w:top w:type="dxa" w:w="70"/>
              <w:left w:type="dxa" w:w="100"/>
              <w:bottom w:type="dxa" w:w="70"/>
              <w:right w:type="dxa" w:w="100"/>
            </w:tcMar>
          </w:tcPr>
          <w:p>
            <w:pPr>
              <w:spacing w:after="60"/>
            </w:pPr>
            <w:r>
              <w:rPr>
                <w:rFonts w:ascii="Arial" w:cs="Arial" w:eastAsia="Arial" w:hAnsi="Arial"/>
                <w:b/>
                <w:bCs/>
                <w:sz w:val="19"/>
                <w:szCs w:val="19"/>
              </w:rPr>
              <w:t xml:space="preserve">Owner</w:t>
            </w:r>
          </w:p>
        </w:tc>
        <w:tc>
          <w:tcPr>
            <w:tcW w:type="dxa" w:w="1500"/>
            <w:tcBorders>
              <w:top w:val="single" w:color="B7B7B7" w:sz="4"/>
              <w:left w:val="single" w:color="B7B7B7" w:sz="4"/>
              <w:bottom w:val="single" w:color="B7B7B7" w:sz="4"/>
              <w:right w:val="single" w:color="B7B7B7" w:sz="4"/>
            </w:tcBorders>
            <w:shd w:fill="E8F1EC" w:color="auto" w:val="clear"/>
            <w:tcMar>
              <w:top w:type="dxa" w:w="70"/>
              <w:left w:type="dxa" w:w="100"/>
              <w:bottom w:type="dxa" w:w="70"/>
              <w:right w:type="dxa" w:w="100"/>
            </w:tcMar>
          </w:tcPr>
          <w:p>
            <w:pPr>
              <w:spacing w:after="60"/>
            </w:pPr>
            <w:r>
              <w:rPr>
                <w:rFonts w:ascii="Arial" w:cs="Arial" w:eastAsia="Arial" w:hAnsi="Arial"/>
                <w:b/>
                <w:bCs/>
                <w:sz w:val="19"/>
                <w:szCs w:val="19"/>
              </w:rPr>
              <w:t xml:space="preserve">Sprint</w:t>
            </w:r>
          </w:p>
        </w:tc>
        <w:tc>
          <w:tcPr>
            <w:tcW w:type="dxa" w:w="1500"/>
            <w:tcBorders>
              <w:top w:val="single" w:color="B7B7B7" w:sz="4"/>
              <w:left w:val="single" w:color="B7B7B7" w:sz="4"/>
              <w:bottom w:val="single" w:color="B7B7B7" w:sz="4"/>
              <w:right w:val="single" w:color="B7B7B7" w:sz="4"/>
            </w:tcBorders>
            <w:shd w:fill="E8F1EC" w:color="auto" w:val="clear"/>
            <w:tcMar>
              <w:top w:type="dxa" w:w="70"/>
              <w:left w:type="dxa" w:w="100"/>
              <w:bottom w:type="dxa" w:w="70"/>
              <w:right w:type="dxa" w:w="100"/>
            </w:tcMar>
          </w:tcPr>
          <w:p>
            <w:pPr>
              <w:spacing w:after="60"/>
            </w:pPr>
            <w:r>
              <w:rPr>
                <w:rFonts w:ascii="Arial" w:cs="Arial" w:eastAsia="Arial" w:hAnsi="Arial"/>
                <w:b/>
                <w:bCs/>
                <w:sz w:val="19"/>
                <w:szCs w:val="19"/>
              </w:rPr>
              <w:t xml:space="preserve">Status</w:t>
            </w:r>
          </w:p>
        </w:tc>
      </w:tr>
      <w:tr>
        <w:trPr>
          <w:cantSplit/>
        </w:trPr>
        <w:tc>
          <w:tcPr>
            <w:tcW w:type="dxa" w:w="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60"/>
            </w:pPr>
            <w:r>
              <w:rPr>
                <w:rFonts w:ascii="Arial" w:cs="Arial" w:eastAsia="Arial" w:hAnsi="Arial"/>
                <w:b w:val="false"/>
                <w:bCs w:val="false"/>
                <w:sz w:val="19"/>
                <w:szCs w:val="19"/>
              </w:rPr>
              <w:t xml:space="preserve">AL-35</w:t>
            </w:r>
          </w:p>
        </w:tc>
        <w:tc>
          <w:tcPr>
            <w:tcW w:type="dxa" w:w="430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60"/>
            </w:pPr>
            <w:r>
              <w:rPr>
                <w:rFonts w:ascii="Arial" w:cs="Arial" w:eastAsia="Arial" w:hAnsi="Arial"/>
                <w:b w:val="false"/>
                <w:bCs w:val="false"/>
                <w:sz w:val="19"/>
                <w:szCs w:val="19"/>
              </w:rPr>
              <w:t xml:space="preserve">An approved loan is minted as a digital loan note (principal, APR, term, borrower ID)</w:t>
            </w:r>
          </w:p>
        </w:tc>
        <w:tc>
          <w:tcPr>
            <w:tcW w:type="dxa" w:w="17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60"/>
            </w:pPr>
            <w:r>
              <w:rPr>
                <w:rFonts w:ascii="Arial" w:cs="Arial" w:eastAsia="Arial" w:hAnsi="Arial"/>
                <w:b w:val="false"/>
                <w:bCs w:val="false"/>
                <w:sz w:val="19"/>
                <w:szCs w:val="19"/>
              </w:rPr>
              <w:t xml:space="preserve">Solomon</w:t>
            </w:r>
          </w:p>
        </w:tc>
        <w:tc>
          <w:tcPr>
            <w:tcW w:type="dxa" w:w="15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60"/>
            </w:pPr>
            <w:r>
              <w:rPr>
                <w:rFonts w:ascii="Arial" w:cs="Arial" w:eastAsia="Arial" w:hAnsi="Arial"/>
                <w:b w:val="false"/>
                <w:bCs w:val="false"/>
                <w:sz w:val="19"/>
                <w:szCs w:val="19"/>
              </w:rPr>
              <w:t xml:space="preserve">Sprint 1</w:t>
            </w:r>
          </w:p>
        </w:tc>
        <w:tc>
          <w:tcPr>
            <w:tcW w:type="dxa" w:w="15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60"/>
            </w:pPr>
            <w:r>
              <w:rPr>
                <w:rFonts w:ascii="Arial" w:cs="Arial" w:eastAsia="Arial" w:hAnsi="Arial"/>
                <w:b w:val="false"/>
                <w:bCs w:val="false"/>
                <w:sz w:val="19"/>
                <w:szCs w:val="19"/>
              </w:rPr>
              <w:t xml:space="preserve">Done</w:t>
            </w:r>
          </w:p>
        </w:tc>
      </w:tr>
      <w:tr>
        <w:trPr>
          <w:cantSplit/>
        </w:trPr>
        <w:tc>
          <w:tcPr>
            <w:tcW w:type="dxa" w:w="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60"/>
            </w:pPr>
            <w:r>
              <w:rPr>
                <w:rFonts w:ascii="Arial" w:cs="Arial" w:eastAsia="Arial" w:hAnsi="Arial"/>
                <w:b w:val="false"/>
                <w:bCs w:val="false"/>
                <w:sz w:val="19"/>
                <w:szCs w:val="19"/>
              </w:rPr>
              <w:t xml:space="preserve">AL-36</w:t>
            </w:r>
          </w:p>
        </w:tc>
        <w:tc>
          <w:tcPr>
            <w:tcW w:type="dxa" w:w="430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60"/>
            </w:pPr>
            <w:r>
              <w:rPr>
                <w:rFonts w:ascii="Arial" w:cs="Arial" w:eastAsia="Arial" w:hAnsi="Arial"/>
                <w:b w:val="false"/>
                <w:bCs w:val="false"/>
                <w:sz w:val="19"/>
                <w:szCs w:val="19"/>
              </w:rPr>
              <w:t xml:space="preserve">A SHA-256 hash of the credit memo, valuation and approval is stored on-chain (audit registry)</w:t>
            </w:r>
          </w:p>
        </w:tc>
        <w:tc>
          <w:tcPr>
            <w:tcW w:type="dxa" w:w="17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60"/>
            </w:pPr>
            <w:r>
              <w:rPr>
                <w:rFonts w:ascii="Arial" w:cs="Arial" w:eastAsia="Arial" w:hAnsi="Arial"/>
                <w:b w:val="false"/>
                <w:bCs w:val="false"/>
                <w:sz w:val="19"/>
                <w:szCs w:val="19"/>
              </w:rPr>
              <w:t xml:space="preserve">Solomon</w:t>
            </w:r>
          </w:p>
        </w:tc>
        <w:tc>
          <w:tcPr>
            <w:tcW w:type="dxa" w:w="15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60"/>
            </w:pPr>
            <w:r>
              <w:rPr>
                <w:rFonts w:ascii="Arial" w:cs="Arial" w:eastAsia="Arial" w:hAnsi="Arial"/>
                <w:b w:val="false"/>
                <w:bCs w:val="false"/>
                <w:sz w:val="19"/>
                <w:szCs w:val="19"/>
              </w:rPr>
              <w:t xml:space="preserve">Planned</w:t>
            </w:r>
          </w:p>
        </w:tc>
        <w:tc>
          <w:tcPr>
            <w:tcW w:type="dxa" w:w="15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60"/>
            </w:pPr>
            <w:r>
              <w:rPr>
                <w:rFonts w:ascii="Arial" w:cs="Arial" w:eastAsia="Arial" w:hAnsi="Arial"/>
                <w:b w:val="false"/>
                <w:bCs w:val="false"/>
                <w:sz w:val="19"/>
                <w:szCs w:val="19"/>
              </w:rPr>
              <w:t xml:space="preserve">To Do</w:t>
            </w:r>
          </w:p>
        </w:tc>
      </w:tr>
      <w:tr>
        <w:trPr>
          <w:cantSplit/>
        </w:trPr>
        <w:tc>
          <w:tcPr>
            <w:tcW w:type="dxa" w:w="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60"/>
            </w:pPr>
            <w:r>
              <w:rPr>
                <w:rFonts w:ascii="Arial" w:cs="Arial" w:eastAsia="Arial" w:hAnsi="Arial"/>
                <w:b w:val="false"/>
                <w:bCs w:val="false"/>
                <w:sz w:val="19"/>
                <w:szCs w:val="19"/>
              </w:rPr>
              <w:t xml:space="preserve">AL-151</w:t>
            </w:r>
          </w:p>
        </w:tc>
        <w:tc>
          <w:tcPr>
            <w:tcW w:type="dxa" w:w="430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60"/>
            </w:pPr>
            <w:r>
              <w:rPr>
                <w:rFonts w:ascii="Arial" w:cs="Arial" w:eastAsia="Arial" w:hAnsi="Arial"/>
                <w:b w:val="false"/>
                <w:bCs w:val="false"/>
                <w:sz w:val="19"/>
                <w:szCs w:val="19"/>
              </w:rPr>
              <w:t xml:space="preserve">An underwriter signs off an application and the decision is recorded</w:t>
            </w:r>
          </w:p>
        </w:tc>
        <w:tc>
          <w:tcPr>
            <w:tcW w:type="dxa" w:w="17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60"/>
            </w:pPr>
            <w:r>
              <w:rPr>
                <w:rFonts w:ascii="Arial" w:cs="Arial" w:eastAsia="Arial" w:hAnsi="Arial"/>
                <w:b w:val="false"/>
                <w:bCs w:val="false"/>
                <w:sz w:val="19"/>
                <w:szCs w:val="19"/>
              </w:rPr>
              <w:t xml:space="preserve">Nikoloz</w:t>
            </w:r>
          </w:p>
        </w:tc>
        <w:tc>
          <w:tcPr>
            <w:tcW w:type="dxa" w:w="15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60"/>
            </w:pPr>
            <w:r>
              <w:rPr>
                <w:rFonts w:ascii="Arial" w:cs="Arial" w:eastAsia="Arial" w:hAnsi="Arial"/>
                <w:b w:val="false"/>
                <w:bCs w:val="false"/>
                <w:sz w:val="19"/>
                <w:szCs w:val="19"/>
              </w:rPr>
              <w:t xml:space="preserve">Planned</w:t>
            </w:r>
          </w:p>
        </w:tc>
        <w:tc>
          <w:tcPr>
            <w:tcW w:type="dxa" w:w="15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60"/>
            </w:pPr>
            <w:r>
              <w:rPr>
                <w:rFonts w:ascii="Arial" w:cs="Arial" w:eastAsia="Arial" w:hAnsi="Arial"/>
                <w:b w:val="false"/>
                <w:bCs w:val="false"/>
                <w:sz w:val="19"/>
                <w:szCs w:val="19"/>
              </w:rPr>
              <w:t xml:space="preserve">To Do</w:t>
            </w:r>
          </w:p>
        </w:tc>
      </w:tr>
      <w:tr>
        <w:trPr>
          <w:cantSplit/>
        </w:trPr>
        <w:tc>
          <w:tcPr>
            <w:tcW w:type="dxa" w:w="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60"/>
            </w:pPr>
            <w:r>
              <w:rPr>
                <w:rFonts w:ascii="Arial" w:cs="Arial" w:eastAsia="Arial" w:hAnsi="Arial"/>
                <w:b w:val="false"/>
                <w:bCs w:val="false"/>
                <w:sz w:val="19"/>
                <w:szCs w:val="19"/>
              </w:rPr>
              <w:t xml:space="preserve">AL-37</w:t>
            </w:r>
          </w:p>
        </w:tc>
        <w:tc>
          <w:tcPr>
            <w:tcW w:type="dxa" w:w="430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60"/>
            </w:pPr>
            <w:r>
              <w:rPr>
                <w:rFonts w:ascii="Arial" w:cs="Arial" w:eastAsia="Arial" w:hAnsi="Arial"/>
                <w:b w:val="false"/>
                <w:bCs w:val="false"/>
                <w:sz w:val="19"/>
                <w:szCs w:val="19"/>
              </w:rPr>
              <w:t xml:space="preserve">Signing off from the portal triggers the loan note mint</w:t>
            </w:r>
          </w:p>
        </w:tc>
        <w:tc>
          <w:tcPr>
            <w:tcW w:type="dxa" w:w="17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60"/>
            </w:pPr>
            <w:r>
              <w:rPr>
                <w:rFonts w:ascii="Arial" w:cs="Arial" w:eastAsia="Arial" w:hAnsi="Arial"/>
                <w:b w:val="false"/>
                <w:bCs w:val="false"/>
                <w:sz w:val="19"/>
                <w:szCs w:val="19"/>
              </w:rPr>
              <w:t xml:space="preserve">Nikoloz</w:t>
            </w:r>
          </w:p>
        </w:tc>
        <w:tc>
          <w:tcPr>
            <w:tcW w:type="dxa" w:w="15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60"/>
            </w:pPr>
            <w:r>
              <w:rPr>
                <w:rFonts w:ascii="Arial" w:cs="Arial" w:eastAsia="Arial" w:hAnsi="Arial"/>
                <w:b w:val="false"/>
                <w:bCs w:val="false"/>
                <w:sz w:val="19"/>
                <w:szCs w:val="19"/>
              </w:rPr>
              <w:t xml:space="preserve">Planned</w:t>
            </w:r>
          </w:p>
        </w:tc>
        <w:tc>
          <w:tcPr>
            <w:tcW w:type="dxa" w:w="15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60"/>
            </w:pPr>
            <w:r>
              <w:rPr>
                <w:rFonts w:ascii="Arial" w:cs="Arial" w:eastAsia="Arial" w:hAnsi="Arial"/>
                <w:b w:val="false"/>
                <w:bCs w:val="false"/>
                <w:sz w:val="19"/>
                <w:szCs w:val="19"/>
              </w:rPr>
              <w:t xml:space="preserve">To Do</w:t>
            </w:r>
          </w:p>
        </w:tc>
      </w:tr>
      <w:tr>
        <w:trPr>
          <w:cantSplit/>
        </w:trPr>
        <w:tc>
          <w:tcPr>
            <w:tcW w:type="dxa" w:w="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60"/>
            </w:pPr>
            <w:r>
              <w:rPr>
                <w:rFonts w:ascii="Arial" w:cs="Arial" w:eastAsia="Arial" w:hAnsi="Arial"/>
                <w:b w:val="false"/>
                <w:bCs w:val="false"/>
                <w:sz w:val="19"/>
                <w:szCs w:val="19"/>
              </w:rPr>
              <w:t xml:space="preserve">AL-38</w:t>
            </w:r>
          </w:p>
        </w:tc>
        <w:tc>
          <w:tcPr>
            <w:tcW w:type="dxa" w:w="430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60"/>
            </w:pPr>
            <w:r>
              <w:rPr>
                <w:rFonts w:ascii="Arial" w:cs="Arial" w:eastAsia="Arial" w:hAnsi="Arial"/>
                <w:b w:val="false"/>
                <w:bCs w:val="false"/>
                <w:sz w:val="19"/>
                <w:szCs w:val="19"/>
              </w:rPr>
              <w:t xml:space="preserve">An underwriter downloads a PDF or CSV audit pack for a decision</w:t>
            </w:r>
          </w:p>
        </w:tc>
        <w:tc>
          <w:tcPr>
            <w:tcW w:type="dxa" w:w="17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60"/>
            </w:pPr>
            <w:r>
              <w:rPr>
                <w:rFonts w:ascii="Arial" w:cs="Arial" w:eastAsia="Arial" w:hAnsi="Arial"/>
                <w:b w:val="false"/>
                <w:bCs w:val="false"/>
                <w:sz w:val="19"/>
                <w:szCs w:val="19"/>
              </w:rPr>
              <w:t xml:space="preserve">Nikoloz</w:t>
            </w:r>
          </w:p>
        </w:tc>
        <w:tc>
          <w:tcPr>
            <w:tcW w:type="dxa" w:w="15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60"/>
            </w:pPr>
            <w:r>
              <w:rPr>
                <w:rFonts w:ascii="Arial" w:cs="Arial" w:eastAsia="Arial" w:hAnsi="Arial"/>
                <w:b w:val="false"/>
                <w:bCs w:val="false"/>
                <w:sz w:val="19"/>
                <w:szCs w:val="19"/>
              </w:rPr>
              <w:t xml:space="preserve">Planned</w:t>
            </w:r>
          </w:p>
        </w:tc>
        <w:tc>
          <w:tcPr>
            <w:tcW w:type="dxa" w:w="15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60"/>
            </w:pPr>
            <w:r>
              <w:rPr>
                <w:rFonts w:ascii="Arial" w:cs="Arial" w:eastAsia="Arial" w:hAnsi="Arial"/>
                <w:b w:val="false"/>
                <w:bCs w:val="false"/>
                <w:sz w:val="19"/>
                <w:szCs w:val="19"/>
              </w:rPr>
              <w:t xml:space="preserve">To Do</w:t>
            </w:r>
          </w:p>
        </w:tc>
      </w:tr>
      <w:tr>
        <w:trPr>
          <w:cantSplit/>
        </w:trPr>
        <w:tc>
          <w:tcPr>
            <w:tcW w:type="dxa" w:w="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60"/>
            </w:pPr>
            <w:r>
              <w:rPr>
                <w:rFonts w:ascii="Arial" w:cs="Arial" w:eastAsia="Arial" w:hAnsi="Arial"/>
                <w:b w:val="false"/>
                <w:bCs w:val="false"/>
                <w:sz w:val="19"/>
                <w:szCs w:val="19"/>
              </w:rPr>
              <w:t xml:space="preserve">AL-39</w:t>
            </w:r>
          </w:p>
        </w:tc>
        <w:tc>
          <w:tcPr>
            <w:tcW w:type="dxa" w:w="430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60"/>
            </w:pPr>
            <w:r>
              <w:rPr>
                <w:rFonts w:ascii="Arial" w:cs="Arial" w:eastAsia="Arial" w:hAnsi="Arial"/>
                <w:b w:val="false"/>
                <w:bCs w:val="false"/>
                <w:sz w:val="19"/>
                <w:szCs w:val="19"/>
              </w:rPr>
              <w:t xml:space="preserve">A borrower sees their loan note's on-chain lifecycle status</w:t>
            </w:r>
          </w:p>
        </w:tc>
        <w:tc>
          <w:tcPr>
            <w:tcW w:type="dxa" w:w="17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60"/>
            </w:pPr>
            <w:r>
              <w:rPr>
                <w:rFonts w:ascii="Arial" w:cs="Arial" w:eastAsia="Arial" w:hAnsi="Arial"/>
                <w:b w:val="false"/>
                <w:bCs w:val="false"/>
                <w:sz w:val="19"/>
                <w:szCs w:val="19"/>
              </w:rPr>
              <w:t xml:space="preserve">Ibrahima</w:t>
            </w:r>
          </w:p>
        </w:tc>
        <w:tc>
          <w:tcPr>
            <w:tcW w:type="dxa" w:w="15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60"/>
            </w:pPr>
            <w:r>
              <w:rPr>
                <w:rFonts w:ascii="Arial" w:cs="Arial" w:eastAsia="Arial" w:hAnsi="Arial"/>
                <w:b w:val="false"/>
                <w:bCs w:val="false"/>
                <w:sz w:val="19"/>
                <w:szCs w:val="19"/>
              </w:rPr>
              <w:t xml:space="preserve">Planned</w:t>
            </w:r>
          </w:p>
        </w:tc>
        <w:tc>
          <w:tcPr>
            <w:tcW w:type="dxa" w:w="15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60"/>
            </w:pPr>
            <w:r>
              <w:rPr>
                <w:rFonts w:ascii="Arial" w:cs="Arial" w:eastAsia="Arial" w:hAnsi="Arial"/>
                <w:b w:val="false"/>
                <w:bCs w:val="false"/>
                <w:sz w:val="19"/>
                <w:szCs w:val="19"/>
              </w:rPr>
              <w:t xml:space="preserve">To Do</w:t>
            </w:r>
          </w:p>
        </w:tc>
      </w:tr>
    </w:tbl>
    <w:p>
      <w:pPr>
        <w:pStyle w:val="Heading2"/>
        <w:spacing w:after="100" w:before="280"/>
      </w:pPr>
      <w:r>
        <w:rPr>
          <w:rFonts w:ascii="Arial" w:cs="Arial" w:eastAsia="Arial" w:hAnsi="Arial"/>
          <w:b/>
          <w:bCs/>
          <w:color w:val="1F4D3A"/>
          <w:sz w:val="26"/>
          <w:szCs w:val="26"/>
        </w:rPr>
        <w:t xml:space="preserve">What Sprint 1 delivered</w:t>
      </w:r>
    </w:p>
    <w:p>
      <w:pPr>
        <w:pStyle w:val="ListParagraph"/>
        <w:numPr>
          <w:ilvl w:val="0"/>
          <w:numId w:val="2"/>
        </w:numPr>
        <w:spacing w:after="60" w:line="288"/>
      </w:pPr>
      <w:r>
        <w:rPr>
          <w:rFonts w:ascii="Arial" w:cs="Arial" w:eastAsia="Arial" w:hAnsi="Arial"/>
          <w:sz w:val="21"/>
          <w:szCs w:val="21"/>
        </w:rPr>
        <w:t xml:space="preserve">The loan note contract (AL-35): an ERC-721 with minter-only minting, one note per application, no personal data, non-transferable notes. 32 Hardhat tests pass. PR 49.</w:t>
      </w:r>
    </w:p>
    <w:p>
      <w:pPr>
        <w:pStyle w:val="ListParagraph"/>
        <w:numPr>
          <w:ilvl w:val="0"/>
          <w:numId w:val="2"/>
        </w:numPr>
        <w:spacing w:after="60" w:line="288"/>
      </w:pPr>
      <w:r>
        <w:rPr>
          <w:rFonts w:ascii="Arial" w:cs="Arial" w:eastAsia="Arial" w:hAnsi="Arial"/>
          <w:sz w:val="21"/>
          <w:szCs w:val="21"/>
        </w:rPr>
        <w:t xml:space="preserve">The Hardhat project, a local chain, and deploy and demo scripts (AL-87): the demo mints a note and shows the second mint for the same application refused. PR 51.</w:t>
      </w:r>
    </w:p>
    <w:p>
      <w:pPr>
        <w:pStyle w:val="Heading2"/>
        <w:spacing w:after="100" w:before="280"/>
      </w:pPr>
      <w:r>
        <w:rPr>
          <w:rFonts w:ascii="Arial" w:cs="Arial" w:eastAsia="Arial" w:hAnsi="Arial"/>
          <w:b/>
          <w:bCs/>
          <w:color w:val="1F4D3A"/>
          <w:sz w:val="26"/>
          <w:szCs w:val="26"/>
        </w:rPr>
        <w:t xml:space="preserve">Epic done when (from Jira)</w:t>
      </w:r>
    </w:p>
    <w:p>
      <w:pPr>
        <w:pStyle w:val="ListParagraph"/>
        <w:numPr>
          <w:ilvl w:val="0"/>
          <w:numId w:val="5"/>
        </w:numPr>
        <w:spacing w:after="70" w:line="288"/>
      </w:pPr>
      <w:r>
        <w:rPr>
          <w:rFonts w:ascii="Arial" w:cs="Arial" w:eastAsia="Arial" w:hAnsi="Arial"/>
          <w:sz w:val="21"/>
          <w:szCs w:val="21"/>
        </w:rPr>
        <w:t xml:space="preserve">A use case for this feature is written and linked on the epic.</w:t>
      </w:r>
    </w:p>
    <w:p>
      <w:pPr>
        <w:pStyle w:val="ListParagraph"/>
        <w:numPr>
          <w:ilvl w:val="0"/>
          <w:numId w:val="5"/>
        </w:numPr>
        <w:spacing w:after="70" w:line="288"/>
      </w:pPr>
      <w:r>
        <w:rPr>
          <w:rFonts w:ascii="Arial" w:cs="Arial" w:eastAsia="Arial" w:hAnsi="Arial"/>
          <w:sz w:val="21"/>
          <w:szCs w:val="21"/>
        </w:rPr>
        <w:t xml:space="preserve">Every story in this epic meets its acceptance criteria and is merged to main.</w:t>
      </w:r>
    </w:p>
    <w:p>
      <w:pPr>
        <w:pStyle w:val="ListParagraph"/>
        <w:numPr>
          <w:ilvl w:val="0"/>
          <w:numId w:val="5"/>
        </w:numPr>
        <w:spacing w:after="70" w:line="288"/>
      </w:pPr>
      <w:r>
        <w:rPr>
          <w:rFonts w:ascii="Arial" w:cs="Arial" w:eastAsia="Arial" w:hAnsi="Arial"/>
          <w:sz w:val="21"/>
          <w:szCs w:val="21"/>
        </w:rPr>
        <w:t xml:space="preserve">Signing off a seeded application mints a loan note and stores its audit hash on the chain; the borrower's app shows the note; and the hash recomputed from a downloaded audit pack matches the one on the chain.</w:t>
      </w:r>
    </w:p>
    <w:sectPr>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4f8ea7bff4292871b9c7430f4040a96a526511d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2026-10-22T17:25:34.213Z</dcterms:created>
  <dcterms:modified xsi:type="dcterms:W3CDTF">2026-10-22T17:25:34.213Z</dcterms:modified>
</cp:coreProperties>
</file>

<file path=docProps/custom.xml><?xml version="1.0" encoding="utf-8"?>
<Properties xmlns="http://schemas.openxmlformats.org/officeDocument/2006/custom-properties" xmlns:vt="http://schemas.openxmlformats.org/officeDocument/2006/docPropsVTypes"/>
</file>