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REQUEST FOR PROPOSAL</w:t>
      </w:r>
    </w:p>
    <w:p>
      <w:pPr>
        <w:pStyle w:val="Title"/>
        <w:jc w:val="center"/>
      </w:pPr>
      <w:r>
        <w:t>Escape the 90s</w:t>
      </w:r>
    </w:p>
    <w:p>
      <w:pPr>
        <w:jc w:val="center"/>
      </w:pPr>
      <w:r>
        <w:rPr>
          <w:b/>
          <w:sz w:val="30"/>
        </w:rPr>
        <w:t>2D Side-Scrolling Game Development Project</w:t>
      </w:r>
    </w:p>
    <w:p>
      <w:pPr>
        <w:jc w:val="center"/>
      </w:pPr>
      <w:r>
        <w:rPr>
          <w:sz w:val="22"/>
        </w:rPr>
        <w:t>Unity / C# | PC Build | Full-Project Procurement Scope</w:t>
      </w:r>
    </w:p>
    <w:p>
      <w:pPr>
        <w:spacing w:before="700"/>
        <w:jc w:val="center"/>
      </w:pPr>
      <w:r>
        <w:rPr>
          <w:b/>
          <w:sz w:val="22"/>
        </w:rPr>
        <w:t>RFP No. E90S-2026-01</w:t>
      </w:r>
    </w:p>
    <w:p>
      <w:pPr>
        <w:jc w:val="center"/>
      </w:pPr>
      <w:r>
        <w:rPr>
          <w:sz w:val="20"/>
        </w:rPr>
        <w:t>Issue Date: September 19, 2026</w:t>
      </w:r>
    </w:p>
    <w:p>
      <w:pPr>
        <w:jc w:val="center"/>
      </w:pPr>
      <w:r>
        <w:rPr>
          <w:sz w:val="20"/>
        </w:rPr>
        <w:t>Target Completion: Approximately 2.5 months (about 10–11 weeks) from notice to proceed</w:t>
      </w:r>
    </w:p>
    <w:p>
      <w:pPr>
        <w:spacing w:before="900"/>
        <w:jc w:val="center"/>
      </w:pPr>
      <w:r>
        <w:rPr>
          <w:i/>
          <w:sz w:val="18"/>
        </w:rPr>
        <w:t>Prepared for competitive proposal / planning purposes</w:t>
      </w:r>
    </w:p>
    <w:p>
      <w:r>
        <w:br w:type="page"/>
      </w:r>
    </w:p>
    <w:p>
      <w:pPr>
        <w:pStyle w:val="Heading1"/>
        <w:spacing w:before="180" w:after="80"/>
      </w:pPr>
      <w:r>
        <w:t>1. RFP Overview</w:t>
      </w:r>
    </w:p>
    <w:p>
      <w:pPr>
        <w:spacing w:after="100" w:line="250" w:lineRule="auto"/>
      </w:pPr>
      <w:r>
        <w:rPr>
          <w:sz w:val="20"/>
        </w:rPr>
        <w:t>The issuing team seeks proposals from a qualified game-development vendor or development team to design, implement, integrate, test, document, and hand off the complete “Escape the 90s” Unity/C# game. This RFP covers the entire project, not a single feature.</w:t>
      </w:r>
    </w:p>
    <w:p>
      <w:pPr>
        <w:spacing w:after="100" w:line="250" w:lineRule="auto"/>
      </w:pPr>
      <w:r>
        <w:rPr>
          <w:sz w:val="20"/>
        </w:rPr>
        <w:t>The project is a 2D side-scrolling game for PC with six independently testable feature areas: UI/HUD and game state; procedural level and obstacle generation; power-ups and abilities; enemies/hazards and combat; meta progression and persistent upgrades; and player control and side-scrolling.</w:t>
      </w:r>
    </w:p>
    <w:p>
      <w:pPr>
        <w:spacing w:after="100" w:line="250" w:lineRule="auto"/>
      </w:pPr>
      <w:r>
        <w:rPr>
          <w:sz w:val="20"/>
        </w:rPr>
        <w:t>The desired implementation should preserve the project’s documented public interfaces, feature ownership boundaries, event-driven integration approach, Unity/C# platform, and acceptance-oriented testing practices.</w:t>
      </w:r>
    </w:p>
    <w:p>
      <w:pPr>
        <w:pStyle w:val="Heading2"/>
        <w:spacing w:before="120" w:after="80"/>
      </w:pPr>
      <w:r>
        <w:t>1.1 Project at a Glance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Pr>
          <w:p>
            <w:pPr>
              <w:spacing w:after="0"/>
            </w:pPr>
            <w:r/>
            <w:r>
              <w:rPr>
                <w:b/>
                <w:color w:val="FFFFFF"/>
                <w:sz w:val="17"/>
              </w:rPr>
              <w:t>Item</w:t>
            </w:r>
          </w:p>
        </w:tc>
        <w:tc>
          <w:tcPr>
            <w:tcW w:type="dxa" w:w="8208"/>
            <w:vAlign w:val="center"/>
            <w:shd w:fill="1F4E78"/>
          </w:tcPr>
          <w:p>
            <w:pPr>
              <w:spacing w:after="0"/>
            </w:pPr>
            <w:r/>
            <w:r>
              <w:rPr>
                <w:b/>
                <w:color w:val="FFFFFF"/>
                <w:sz w:val="17"/>
              </w:rPr>
              <w:t>RFP Requirement</w:t>
            </w:r>
          </w:p>
        </w:tc>
      </w:tr>
      <w:tr>
        <w:tc>
          <w:tcPr>
            <w:tcW w:type="dxa" w:w="2304"/>
            <w:vAlign w:val="center"/>
          </w:tcPr>
          <w:p>
            <w:pPr>
              <w:spacing w:after="0"/>
            </w:pPr>
            <w:r/>
            <w:r>
              <w:rPr>
                <w:b w:val="0"/>
                <w:color w:val="000000"/>
                <w:sz w:val="17"/>
              </w:rPr>
              <w:t>Project</w:t>
            </w:r>
          </w:p>
        </w:tc>
        <w:tc>
          <w:tcPr>
            <w:tcW w:type="dxa" w:w="8208"/>
            <w:vAlign w:val="center"/>
          </w:tcPr>
          <w:p>
            <w:pPr>
              <w:spacing w:after="0"/>
            </w:pPr>
            <w:r/>
            <w:r>
              <w:rPr>
                <w:b w:val="0"/>
                <w:color w:val="000000"/>
                <w:sz w:val="17"/>
              </w:rPr>
              <w:t>Escape the 90s</w:t>
            </w:r>
          </w:p>
        </w:tc>
      </w:tr>
      <w:tr>
        <w:tc>
          <w:tcPr>
            <w:tcW w:type="dxa" w:w="2304"/>
            <w:vAlign w:val="center"/>
          </w:tcPr>
          <w:p>
            <w:pPr>
              <w:spacing w:after="0"/>
            </w:pPr>
            <w:r/>
            <w:r>
              <w:rPr>
                <w:b w:val="0"/>
                <w:color w:val="000000"/>
                <w:sz w:val="17"/>
              </w:rPr>
              <w:t>Product type</w:t>
            </w:r>
          </w:p>
        </w:tc>
        <w:tc>
          <w:tcPr>
            <w:tcW w:type="dxa" w:w="8208"/>
            <w:vAlign w:val="center"/>
          </w:tcPr>
          <w:p>
            <w:pPr>
              <w:spacing w:after="0"/>
            </w:pPr>
            <w:r/>
            <w:r>
              <w:rPr>
                <w:b w:val="0"/>
                <w:color w:val="000000"/>
                <w:sz w:val="17"/>
              </w:rPr>
              <w:t>2D side-scrolling PC game</w:t>
            </w:r>
          </w:p>
        </w:tc>
      </w:tr>
      <w:tr>
        <w:tc>
          <w:tcPr>
            <w:tcW w:type="dxa" w:w="2304"/>
            <w:vAlign w:val="center"/>
          </w:tcPr>
          <w:p>
            <w:pPr>
              <w:spacing w:after="0"/>
            </w:pPr>
            <w:r/>
            <w:r>
              <w:rPr>
                <w:b w:val="0"/>
                <w:color w:val="000000"/>
                <w:sz w:val="17"/>
              </w:rPr>
              <w:t>Engine / language</w:t>
            </w:r>
          </w:p>
        </w:tc>
        <w:tc>
          <w:tcPr>
            <w:tcW w:type="dxa" w:w="8208"/>
            <w:vAlign w:val="center"/>
          </w:tcPr>
          <w:p>
            <w:pPr>
              <w:spacing w:after="0"/>
            </w:pPr>
            <w:r/>
            <w:r>
              <w:rPr>
                <w:b w:val="0"/>
                <w:color w:val="000000"/>
                <w:sz w:val="17"/>
              </w:rPr>
              <w:t>Unity / C#</w:t>
            </w:r>
          </w:p>
        </w:tc>
      </w:tr>
      <w:tr>
        <w:tc>
          <w:tcPr>
            <w:tcW w:type="dxa" w:w="2304"/>
            <w:vAlign w:val="center"/>
          </w:tcPr>
          <w:p>
            <w:pPr>
              <w:spacing w:after="0"/>
            </w:pPr>
            <w:r/>
            <w:r>
              <w:rPr>
                <w:b w:val="0"/>
                <w:color w:val="000000"/>
                <w:sz w:val="17"/>
              </w:rPr>
              <w:t>Core gameplay</w:t>
            </w:r>
          </w:p>
        </w:tc>
        <w:tc>
          <w:tcPr>
            <w:tcW w:type="dxa" w:w="8208"/>
            <w:vAlign w:val="center"/>
          </w:tcPr>
          <w:p>
            <w:pPr>
              <w:spacing w:after="0"/>
            </w:pPr>
            <w:r/>
            <w:r>
              <w:rPr>
                <w:b w:val="0"/>
                <w:color w:val="000000"/>
                <w:sz w:val="17"/>
              </w:rPr>
              <w:t>Side-scrolling run, procedural chunks, hazards/enemies, power-ups, player health/death</w:t>
            </w:r>
          </w:p>
        </w:tc>
      </w:tr>
      <w:tr>
        <w:tc>
          <w:tcPr>
            <w:tcW w:type="dxa" w:w="2304"/>
            <w:vAlign w:val="center"/>
          </w:tcPr>
          <w:p>
            <w:pPr>
              <w:spacing w:after="0"/>
            </w:pPr>
            <w:r/>
            <w:r>
              <w:rPr>
                <w:b w:val="0"/>
                <w:color w:val="000000"/>
                <w:sz w:val="17"/>
              </w:rPr>
              <w:t>Meta systems</w:t>
            </w:r>
          </w:p>
        </w:tc>
        <w:tc>
          <w:tcPr>
            <w:tcW w:type="dxa" w:w="8208"/>
            <w:vAlign w:val="center"/>
          </w:tcPr>
          <w:p>
            <w:pPr>
              <w:spacing w:after="0"/>
            </w:pPr>
            <w:r/>
            <w:r>
              <w:rPr>
                <w:b w:val="0"/>
                <w:color w:val="000000"/>
                <w:sz w:val="17"/>
              </w:rPr>
              <w:t>Run currency, persistent save/load, permanent upgrades</w:t>
            </w:r>
          </w:p>
        </w:tc>
      </w:tr>
      <w:tr>
        <w:tc>
          <w:tcPr>
            <w:tcW w:type="dxa" w:w="2304"/>
            <w:vAlign w:val="center"/>
          </w:tcPr>
          <w:p>
            <w:pPr>
              <w:spacing w:after="0"/>
            </w:pPr>
            <w:r/>
            <w:r>
              <w:rPr>
                <w:b w:val="0"/>
                <w:color w:val="000000"/>
                <w:sz w:val="17"/>
              </w:rPr>
              <w:t>Feature areas</w:t>
            </w:r>
          </w:p>
        </w:tc>
        <w:tc>
          <w:tcPr>
            <w:tcW w:type="dxa" w:w="8208"/>
            <w:vAlign w:val="center"/>
          </w:tcPr>
          <w:p>
            <w:pPr>
              <w:spacing w:after="0"/>
            </w:pPr>
            <w:r/>
            <w:r>
              <w:rPr>
                <w:b w:val="0"/>
                <w:color w:val="000000"/>
                <w:sz w:val="17"/>
              </w:rPr>
              <w:t>6 major feature owners / subsystems</w:t>
            </w:r>
          </w:p>
        </w:tc>
      </w:tr>
      <w:tr>
        <w:tc>
          <w:tcPr>
            <w:tcW w:type="dxa" w:w="2304"/>
            <w:vAlign w:val="center"/>
          </w:tcPr>
          <w:p>
            <w:pPr>
              <w:spacing w:after="0"/>
            </w:pPr>
            <w:r/>
            <w:r>
              <w:rPr>
                <w:b w:val="0"/>
                <w:color w:val="000000"/>
                <w:sz w:val="17"/>
              </w:rPr>
              <w:t>Current completion window</w:t>
            </w:r>
          </w:p>
        </w:tc>
        <w:tc>
          <w:tcPr>
            <w:tcW w:type="dxa" w:w="8208"/>
            <w:vAlign w:val="center"/>
          </w:tcPr>
          <w:p>
            <w:pPr>
              <w:spacing w:after="0"/>
            </w:pPr>
            <w:r/>
            <w:r>
              <w:rPr>
                <w:b w:val="0"/>
                <w:color w:val="000000"/>
                <w:sz w:val="17"/>
              </w:rPr>
              <w:t>Approximately 2.5 months / 10–11 weeks</w:t>
            </w:r>
          </w:p>
        </w:tc>
      </w:tr>
      <w:tr>
        <w:tc>
          <w:tcPr>
            <w:tcW w:type="dxa" w:w="2304"/>
            <w:vAlign w:val="center"/>
          </w:tcPr>
          <w:p>
            <w:pPr>
              <w:spacing w:after="0"/>
            </w:pPr>
            <w:r/>
            <w:r>
              <w:rPr>
                <w:b w:val="0"/>
                <w:color w:val="000000"/>
                <w:sz w:val="17"/>
              </w:rPr>
              <w:t>Budget status</w:t>
            </w:r>
          </w:p>
        </w:tc>
        <w:tc>
          <w:tcPr>
            <w:tcW w:type="dxa" w:w="8208"/>
            <w:vAlign w:val="center"/>
          </w:tcPr>
          <w:p>
            <w:pPr>
              <w:spacing w:after="0"/>
            </w:pPr>
            <w:r/>
            <w:r>
              <w:rPr>
                <w:b w:val="0"/>
                <w:color w:val="000000"/>
                <w:sz w:val="17"/>
              </w:rPr>
              <w:t>Planning estimate; vendor to provide proposed fixed or time-and-materials pricing</w:t>
            </w:r>
          </w:p>
        </w:tc>
      </w:tr>
      <w:tr>
        <w:tc>
          <w:tcPr>
            <w:tcW w:type="dxa" w:w="2304"/>
            <w:vAlign w:val="center"/>
          </w:tcPr>
          <w:p>
            <w:pPr>
              <w:spacing w:after="0"/>
            </w:pPr>
            <w:r/>
            <w:r>
              <w:rPr>
                <w:b w:val="0"/>
                <w:color w:val="000000"/>
                <w:sz w:val="17"/>
              </w:rPr>
              <w:t>Primary deliverable</w:t>
            </w:r>
          </w:p>
        </w:tc>
        <w:tc>
          <w:tcPr>
            <w:tcW w:type="dxa" w:w="8208"/>
            <w:vAlign w:val="center"/>
          </w:tcPr>
          <w:p>
            <w:pPr>
              <w:spacing w:after="0"/>
            </w:pPr>
            <w:r/>
            <w:r>
              <w:rPr>
                <w:b w:val="0"/>
                <w:color w:val="000000"/>
                <w:sz w:val="17"/>
              </w:rPr>
              <w:t>Integrated, tested, documented PC build and source project</w:t>
            </w:r>
          </w:p>
        </w:tc>
      </w:tr>
    </w:tbl>
    <w:p>
      <w:pPr>
        <w:spacing w:after="40"/>
      </w:pPr>
    </w:p>
    <w:p>
      <w:pPr>
        <w:pStyle w:val="Heading2"/>
        <w:spacing w:before="120" w:after="80"/>
      </w:pPr>
      <w:r>
        <w:t>1.2 Procurement Intent</w:t>
      </w:r>
    </w:p>
    <w:p>
      <w:pPr>
        <w:spacing w:after="100" w:line="250" w:lineRule="auto"/>
      </w:pPr>
      <w:r>
        <w:rPr>
          <w:sz w:val="20"/>
        </w:rPr>
        <w:t>The RFP is intended to obtain a complete implementation rather than isolated code samples. A successful proposal should show how the respondent will deliver an integrated build while keeping feature boundaries clear, interfaces testable, and cross-feature dependencies controlled.</w:t>
      </w:r>
    </w:p>
    <w:p>
      <w:pPr>
        <w:pStyle w:val="Heading1"/>
        <w:spacing w:before="180" w:after="80"/>
      </w:pPr>
      <w:r>
        <w:t>2. Project Background</w:t>
      </w:r>
    </w:p>
    <w:p>
      <w:pPr>
        <w:spacing w:after="100" w:line="250" w:lineRule="auto"/>
      </w:pPr>
      <w:r>
        <w:rPr>
          <w:sz w:val="20"/>
        </w:rPr>
        <w:t>The project plan defines six roughly equal feature areas at approximately 52 hours each and assigns each feature to a dedicated owner. The architecture is intentionally low-coupling: cross-feature communication uses documented methods, read-only getters, or events instead of shared internal fields or direct access to private implementation details.</w:t>
      </w:r>
    </w:p>
    <w:p>
      <w:pPr>
        <w:spacing w:after="100" w:line="250" w:lineRule="auto"/>
      </w:pPr>
      <w:r>
        <w:rPr>
          <w:sz w:val="20"/>
        </w:rPr>
        <w:t>The documented architecture identifies the UI/HUD and Game State system as the game shell; the Level Generation system as the source of endless terrain and difficulty; Power-Ups as effect providers; Enemies/Hazards as threats; Meta Progression as the persistent economy and upgrade layer; and Player Controller as the physical center of gameplay.</w:t>
      </w:r>
    </w:p>
    <w:p>
      <w:pPr>
        <w:spacing w:after="100" w:line="250" w:lineRule="auto"/>
      </w:pPr>
      <w:r>
        <w:rPr>
          <w:sz w:val="20"/>
        </w:rPr>
        <w:t>The TL1, TL4, and TL5 Champion Documents further specify concrete use cases, interface contracts, testing expectations, diagrams, and completion criteria for those features. Those documents should be treated as implementation constraints where they define public boundaries or acceptance behavior.</w:t>
      </w:r>
    </w:p>
    <w:p>
      <w:pPr>
        <w:pStyle w:val="Heading2"/>
        <w:spacing w:before="120" w:after="80"/>
      </w:pPr>
      <w:r>
        <w:t>2.1 Project Objectives</w:t>
      </w:r>
    </w:p>
    <w:p>
      <w:pPr>
        <w:pStyle w:val="ListBullet"/>
        <w:spacing w:after="40"/>
        <w:ind w:left="360"/>
      </w:pPr>
      <w:r>
        <w:rPr>
          <w:sz w:val="20"/>
        </w:rPr>
        <w:t>Deliver a playable and integrated Unity PC game implementing all six project feature areas.</w:t>
      </w:r>
    </w:p>
    <w:p>
      <w:pPr>
        <w:pStyle w:val="ListBullet"/>
        <w:spacing w:after="40"/>
        <w:ind w:left="360"/>
      </w:pPr>
      <w:r>
        <w:rPr>
          <w:sz w:val="20"/>
        </w:rPr>
        <w:t>Provide a coherent endless side-scrolling gameplay loop with menu, pause, game-over, restart, procedural generation, combat, power-ups, and player movement.</w:t>
      </w:r>
    </w:p>
    <w:p>
      <w:pPr>
        <w:pStyle w:val="ListBullet"/>
        <w:spacing w:after="40"/>
        <w:ind w:left="360"/>
      </w:pPr>
      <w:r>
        <w:rPr>
          <w:sz w:val="20"/>
        </w:rPr>
        <w:t>Provide persistent meta progression with currency, at least three upgrade types, save/load, and starting-bonus application.</w:t>
      </w:r>
    </w:p>
    <w:p>
      <w:pPr>
        <w:pStyle w:val="ListBullet"/>
        <w:spacing w:after="40"/>
        <w:ind w:left="360"/>
      </w:pPr>
      <w:r>
        <w:rPr>
          <w:sz w:val="20"/>
        </w:rPr>
        <w:t>Maintain the documented architecture and public interfaces so that features can be independently tested and integrated.</w:t>
      </w:r>
    </w:p>
    <w:p>
      <w:pPr>
        <w:pStyle w:val="ListBullet"/>
        <w:spacing w:after="40"/>
        <w:ind w:left="360"/>
      </w:pPr>
      <w:r>
        <w:rPr>
          <w:sz w:val="20"/>
        </w:rPr>
        <w:t>Demonstrate acceptance through unit, boundary, stress, integration, and end-to-end testing.</w:t>
      </w:r>
    </w:p>
    <w:p>
      <w:pPr>
        <w:pStyle w:val="ListBullet"/>
        <w:spacing w:after="40"/>
        <w:ind w:left="360"/>
      </w:pPr>
      <w:r>
        <w:rPr>
          <w:sz w:val="20"/>
        </w:rPr>
        <w:t>Provide project documentation sufficient for maintenance, evaluation, and future feature additions.</w:t>
      </w:r>
    </w:p>
    <w:p>
      <w:pPr>
        <w:pStyle w:val="Heading1"/>
        <w:spacing w:before="180" w:after="80"/>
      </w:pPr>
      <w:r>
        <w:t>3. Scope of Work</w:t>
      </w:r>
    </w:p>
    <w:p>
      <w:pPr>
        <w:spacing w:after="100" w:line="250" w:lineRule="auto"/>
      </w:pPr>
      <w:r>
        <w:rPr>
          <w:sz w:val="20"/>
        </w:rPr>
        <w:t>The selected respondent shall provide all work required to complete the following six feature areas and their integration. The descriptions below summarize the supplied project plan and Champion Documents; proposals should identify any requested deviations explicitly rather than silently changing the scope.</w:t>
      </w:r>
    </w:p>
    <w:p>
      <w:pPr>
        <w:pStyle w:val="Heading2"/>
        <w:spacing w:before="120" w:after="80"/>
      </w:pPr>
      <w:r>
        <w:t>3.1 UI/HUD, Game State &amp; Menu System (TL1)</w:t>
      </w:r>
    </w:p>
    <w:p>
      <w:pPr>
        <w:pStyle w:val="ListBullet"/>
        <w:spacing w:after="40"/>
        <w:ind w:left="360"/>
      </w:pPr>
      <w:r>
        <w:rPr>
          <w:sz w:val="20"/>
        </w:rPr>
        <w:t>Own the game shell and top-level state machine: Menu, Playing, Paused, and Game Over.</w:t>
      </w:r>
    </w:p>
    <w:p>
      <w:pPr>
        <w:pStyle w:val="ListBullet"/>
        <w:spacing w:after="40"/>
        <w:ind w:left="360"/>
      </w:pPr>
      <w:r>
        <w:rPr>
          <w:sz w:val="20"/>
        </w:rPr>
        <w:t>Provide main menu, pause/resume, restart, game-over presentation, and HUD behavior.</w:t>
      </w:r>
    </w:p>
    <w:p>
      <w:pPr>
        <w:pStyle w:val="ListBullet"/>
        <w:spacing w:after="40"/>
        <w:ind w:left="360"/>
      </w:pPr>
      <w:r>
        <w:rPr>
          <w:sz w:val="20"/>
        </w:rPr>
        <w:t>Display health, score, and currency; consume typed gameplay notifications without owning the underlying gameplay rules.</w:t>
      </w:r>
    </w:p>
    <w:p>
      <w:pPr>
        <w:pStyle w:val="ListBullet"/>
        <w:spacing w:after="40"/>
        <w:ind w:left="360"/>
      </w:pPr>
      <w:r>
        <w:rPr>
          <w:sz w:val="20"/>
        </w:rPr>
        <w:t>Expose the documented GameStateManager and HUDController boundary, including CurrentState, OnStateChanged, RequestPause, RequestResume, RequestRestart, UpdateScore, and UpdateHealth.</w:t>
      </w:r>
    </w:p>
    <w:p>
      <w:pPr>
        <w:pStyle w:val="ListBullet"/>
        <w:spacing w:after="40"/>
        <w:ind w:left="360"/>
      </w:pPr>
      <w:r>
        <w:rPr>
          <w:sz w:val="20"/>
        </w:rPr>
        <w:t>Use the State pattern with virtual GameState.Enter() and GameState.Update() behavior as documented.</w:t>
      </w:r>
    </w:p>
    <w:p>
      <w:pPr>
        <w:pStyle w:val="Heading2"/>
        <w:spacing w:before="120" w:after="80"/>
      </w:pPr>
      <w:r>
        <w:t>3.2 Procedural Level &amp; Obstacle Generation (TL2)</w:t>
      </w:r>
    </w:p>
    <w:p>
      <w:pPr>
        <w:pStyle w:val="ListBullet"/>
        <w:spacing w:after="40"/>
        <w:ind w:left="360"/>
      </w:pPr>
      <w:r>
        <w:rPr>
          <w:sz w:val="20"/>
        </w:rPr>
        <w:t>Generate and recycle endless level chunks ahead of and behind the player.</w:t>
      </w:r>
    </w:p>
    <w:p>
      <w:pPr>
        <w:pStyle w:val="ListBullet"/>
        <w:spacing w:after="40"/>
        <w:ind w:left="360"/>
      </w:pPr>
      <w:r>
        <w:rPr>
          <w:sz w:val="20"/>
        </w:rPr>
        <w:t>Support chunk pooling and a chunk library with GroundChunk, GapChunk, and RampChunk behavior.</w:t>
      </w:r>
    </w:p>
    <w:p>
      <w:pPr>
        <w:pStyle w:val="ListBullet"/>
        <w:spacing w:after="40"/>
        <w:ind w:left="360"/>
      </w:pPr>
      <w:r>
        <w:rPr>
          <w:sz w:val="20"/>
        </w:rPr>
        <w:t>Scale difficulty with distance and expose read-only distance/difficulty information to dependent systems.</w:t>
      </w:r>
    </w:p>
    <w:p>
      <w:pPr>
        <w:pStyle w:val="ListBullet"/>
        <w:spacing w:after="40"/>
        <w:ind w:left="360"/>
      </w:pPr>
      <w:r>
        <w:rPr>
          <w:sz w:val="20"/>
        </w:rPr>
        <w:t>Avoid visible seams or repeats and support sustained high-speed play without obvious performance degradation.</w:t>
      </w:r>
    </w:p>
    <w:p>
      <w:pPr>
        <w:pStyle w:val="Heading2"/>
        <w:spacing w:before="120" w:after="80"/>
      </w:pPr>
      <w:r>
        <w:t>3.3 Power-Up &amp; Ability System (TL3)</w:t>
      </w:r>
    </w:p>
    <w:p>
      <w:pPr>
        <w:pStyle w:val="ListBullet"/>
        <w:spacing w:after="40"/>
        <w:ind w:left="360"/>
      </w:pPr>
      <w:r>
        <w:rPr>
          <w:sz w:val="20"/>
        </w:rPr>
        <w:t>Spawn pickups and detect collection.</w:t>
      </w:r>
    </w:p>
    <w:p>
      <w:pPr>
        <w:pStyle w:val="ListBullet"/>
        <w:spacing w:after="40"/>
        <w:ind w:left="360"/>
      </w:pPr>
      <w:r>
        <w:rPr>
          <w:sz w:val="20"/>
        </w:rPr>
        <w:t>Provide at least three visually distinct effects, including speed boost, shield, and magnet-style behavior as specified.</w:t>
      </w:r>
    </w:p>
    <w:p>
      <w:pPr>
        <w:pStyle w:val="ListBullet"/>
        <w:spacing w:after="40"/>
        <w:ind w:left="360"/>
      </w:pPr>
      <w:r>
        <w:rPr>
          <w:sz w:val="20"/>
        </w:rPr>
        <w:t>Manage effect duration, stacking, application, and removal through documented player-facing methods.</w:t>
      </w:r>
    </w:p>
    <w:p>
      <w:pPr>
        <w:pStyle w:val="ListBullet"/>
        <w:spacing w:after="40"/>
        <w:ind w:left="360"/>
      </w:pPr>
      <w:r>
        <w:rPr>
          <w:sz w:val="20"/>
        </w:rPr>
        <w:t>Use the documented Strategy/Memento design approach where appropriate to preserve effect selection and temporary-state restoration behavior.</w:t>
      </w:r>
    </w:p>
    <w:p>
      <w:pPr>
        <w:pStyle w:val="Heading2"/>
        <w:spacing w:before="120" w:after="80"/>
      </w:pPr>
      <w:r>
        <w:t>3.4 Enemy/Hazard &amp; Combat System (TL4)</w:t>
      </w:r>
    </w:p>
    <w:p>
      <w:pPr>
        <w:pStyle w:val="ListBullet"/>
        <w:spacing w:after="40"/>
        <w:ind w:left="360"/>
      </w:pPr>
      <w:r>
        <w:rPr>
          <w:sz w:val="20"/>
        </w:rPr>
        <w:t>Populate generated chunks with threats using Ground, Flying, and Turret archetypes.</w:t>
      </w:r>
    </w:p>
    <w:p>
      <w:pPr>
        <w:pStyle w:val="ListBullet"/>
        <w:spacing w:after="40"/>
        <w:ind w:left="360"/>
      </w:pPr>
      <w:r>
        <w:rPr>
          <w:sz w:val="20"/>
        </w:rPr>
        <w:t>Scale spawning from the documented level difficulty signal and validate spawn positions against terrain and minimum player distance.</w:t>
      </w:r>
    </w:p>
    <w:p>
      <w:pPr>
        <w:pStyle w:val="ListBullet"/>
        <w:spacing w:after="40"/>
        <w:ind w:left="360"/>
      </w:pPr>
      <w:r>
        <w:rPr>
          <w:sz w:val="20"/>
        </w:rPr>
        <w:t>Implement patrol, pursuit, attack, search/line-of-sight behavior, attack cooldowns, and collision damage.</w:t>
      </w:r>
    </w:p>
    <w:p>
      <w:pPr>
        <w:pStyle w:val="ListBullet"/>
        <w:spacing w:after="40"/>
        <w:ind w:left="360"/>
      </w:pPr>
      <w:r>
        <w:rPr>
          <w:sz w:val="20"/>
        </w:rPr>
        <w:t>Use EnemyBase dynamic binding for archetype-specific movement/attack behavior and a spawner-based construction approach.</w:t>
      </w:r>
    </w:p>
    <w:p>
      <w:pPr>
        <w:pStyle w:val="ListBullet"/>
        <w:spacing w:after="40"/>
        <w:ind w:left="360"/>
      </w:pPr>
      <w:r>
        <w:rPr>
          <w:sz w:val="20"/>
        </w:rPr>
        <w:t>Publish OnEnemyDefeated events and remove defeated enemies within the documented window.</w:t>
      </w:r>
    </w:p>
    <w:p>
      <w:pPr>
        <w:pStyle w:val="Heading2"/>
        <w:spacing w:before="120" w:after="80"/>
      </w:pPr>
      <w:r>
        <w:t>3.5 Meta Progression &amp; Persistent Upgrades (TL5)</w:t>
      </w:r>
    </w:p>
    <w:p>
      <w:pPr>
        <w:pStyle w:val="ListBullet"/>
        <w:spacing w:after="40"/>
        <w:ind w:left="360"/>
      </w:pPr>
      <w:r>
        <w:rPr>
          <w:sz w:val="20"/>
        </w:rPr>
        <w:t>Track currency earned during runs and persistent currency between sessions.</w:t>
      </w:r>
    </w:p>
    <w:p>
      <w:pPr>
        <w:pStyle w:val="ListBullet"/>
        <w:spacing w:after="40"/>
        <w:ind w:left="360"/>
      </w:pPr>
      <w:r>
        <w:rPr>
          <w:sz w:val="20"/>
        </w:rPr>
        <w:t>Support at least three permanent upgrade types: health, speed, and magnet range.</w:t>
      </w:r>
    </w:p>
    <w:p>
      <w:pPr>
        <w:pStyle w:val="ListBullet"/>
        <w:spacing w:after="40"/>
        <w:ind w:left="360"/>
      </w:pPr>
      <w:r>
        <w:rPr>
          <w:sz w:val="20"/>
        </w:rPr>
        <w:t>Validate purchases by available currency and maximum level; reject invalid purchases without mutating persistent values.</w:t>
      </w:r>
    </w:p>
    <w:p>
      <w:pPr>
        <w:pStyle w:val="ListBullet"/>
        <w:spacing w:after="40"/>
        <w:ind w:left="360"/>
      </w:pPr>
      <w:r>
        <w:rPr>
          <w:sz w:val="20"/>
        </w:rPr>
        <w:t>Save and load progress through a dedicated persistence service with validation, safe defaults, and missing/corrupt-file handling.</w:t>
      </w:r>
    </w:p>
    <w:p>
      <w:pPr>
        <w:pStyle w:val="ListBullet"/>
        <w:spacing w:after="40"/>
        <w:ind w:left="360"/>
      </w:pPr>
      <w:r>
        <w:rPr>
          <w:sz w:val="20"/>
        </w:rPr>
        <w:t>Apply starting bonuses through documented Player Controller methods at run start.</w:t>
      </w:r>
    </w:p>
    <w:p>
      <w:pPr>
        <w:pStyle w:val="Heading2"/>
        <w:spacing w:before="120" w:after="80"/>
      </w:pPr>
      <w:r>
        <w:t>3.6 Player Controller &amp; Side-Scrolling (TL6)</w:t>
      </w:r>
    </w:p>
    <w:p>
      <w:pPr>
        <w:pStyle w:val="ListBullet"/>
        <w:spacing w:after="40"/>
        <w:ind w:left="360"/>
      </w:pPr>
      <w:r>
        <w:rPr>
          <w:sz w:val="20"/>
        </w:rPr>
        <w:t>Provide player input handling, movement physics, camera scrolling, terrain collision, health, and death.</w:t>
      </w:r>
    </w:p>
    <w:p>
      <w:pPr>
        <w:pStyle w:val="ListBullet"/>
        <w:spacing w:after="40"/>
        <w:ind w:left="360"/>
      </w:pPr>
      <w:r>
        <w:rPr>
          <w:sz w:val="20"/>
        </w:rPr>
        <w:t>Support Running, Jumping, and Dashing movement states with dynamic binding.</w:t>
      </w:r>
    </w:p>
    <w:p>
      <w:pPr>
        <w:pStyle w:val="ListBullet"/>
        <w:spacing w:after="40"/>
        <w:ind w:left="360"/>
      </w:pPr>
      <w:r>
        <w:rPr>
          <w:sz w:val="20"/>
        </w:rPr>
        <w:t>Expose PlayerHealth.TakeDamage/Heal, PlayerController.SetSpeedMultiplier, GetPosition, and OnPlayerDied.</w:t>
      </w:r>
    </w:p>
    <w:p>
      <w:pPr>
        <w:pStyle w:val="ListBullet"/>
        <w:spacing w:after="40"/>
        <w:ind w:left="360"/>
      </w:pPr>
      <w:r>
        <w:rPr>
          <w:sz w:val="20"/>
        </w:rPr>
        <w:t>Trigger game-over behavior on death and maintain smooth scrolling without stutter.</w:t>
      </w:r>
    </w:p>
    <w:p>
      <w:pPr>
        <w:pStyle w:val="Heading1"/>
        <w:spacing w:before="180" w:after="80"/>
      </w:pPr>
      <w:r>
        <w:t>4. System Integration &amp; Architecture Requirements</w:t>
      </w:r>
    </w:p>
    <w:p>
      <w:pPr>
        <w:spacing w:after="100" w:line="250" w:lineRule="auto"/>
      </w:pPr>
      <w:r>
        <w:rPr>
          <w:sz w:val="20"/>
        </w:rPr>
        <w:t>The respondent shall implement the project as one integrated Unity application while preserving the feature boundaries established by the project plan. The following integration rules are mandatory unless an approved change is documented.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shd w:fill="1F4E78"/>
          </w:tcPr>
          <w:p>
            <w:pPr>
              <w:spacing w:after="0"/>
            </w:pPr>
            <w:r/>
            <w:r>
              <w:rPr>
                <w:b/>
                <w:color w:val="FFFFFF"/>
                <w:sz w:val="17"/>
              </w:rPr>
              <w:t>Area</w:t>
            </w:r>
          </w:p>
        </w:tc>
        <w:tc>
          <w:tcPr>
            <w:tcW w:type="dxa" w:w="8280"/>
            <w:vAlign w:val="center"/>
            <w:shd w:fill="1F4E78"/>
          </w:tcPr>
          <w:p>
            <w:pPr>
              <w:spacing w:after="0"/>
            </w:pPr>
            <w:r/>
            <w:r>
              <w:rPr>
                <w:b/>
                <w:color w:val="FFFFFF"/>
                <w:sz w:val="17"/>
              </w:rPr>
              <w:t>Required Integration Behavior</w:t>
            </w:r>
          </w:p>
        </w:tc>
      </w:tr>
      <w:tr>
        <w:tc>
          <w:tcPr>
            <w:tcW w:type="dxa" w:w="2232"/>
            <w:vAlign w:val="center"/>
          </w:tcPr>
          <w:p>
            <w:pPr>
              <w:spacing w:after="0"/>
            </w:pPr>
            <w:r/>
            <w:r>
              <w:rPr>
                <w:b w:val="0"/>
                <w:color w:val="000000"/>
                <w:sz w:val="17"/>
              </w:rPr>
              <w:t>Game shell</w:t>
            </w:r>
          </w:p>
        </w:tc>
        <w:tc>
          <w:tcPr>
            <w:tcW w:type="dxa" w:w="8280"/>
            <w:vAlign w:val="center"/>
          </w:tcPr>
          <w:p>
            <w:pPr>
              <w:spacing w:after="0"/>
            </w:pPr>
            <w:r/>
            <w:r>
              <w:rPr>
                <w:b w:val="0"/>
                <w:color w:val="000000"/>
                <w:sz w:val="17"/>
              </w:rPr>
              <w:t>TL1 owns top-level game states and the main integration scene.</w:t>
            </w:r>
          </w:p>
        </w:tc>
      </w:tr>
      <w:tr>
        <w:tc>
          <w:tcPr>
            <w:tcW w:type="dxa" w:w="2232"/>
            <w:vAlign w:val="center"/>
          </w:tcPr>
          <w:p>
            <w:pPr>
              <w:spacing w:after="0"/>
            </w:pPr>
            <w:r/>
            <w:r>
              <w:rPr>
                <w:b w:val="0"/>
                <w:color w:val="000000"/>
                <w:sz w:val="17"/>
              </w:rPr>
              <w:t>Level generation</w:t>
            </w:r>
          </w:p>
        </w:tc>
        <w:tc>
          <w:tcPr>
            <w:tcW w:type="dxa" w:w="8280"/>
            <w:vAlign w:val="center"/>
          </w:tcPr>
          <w:p>
            <w:pPr>
              <w:spacing w:after="0"/>
            </w:pPr>
            <w:r/>
            <w:r>
              <w:rPr>
                <w:b w:val="0"/>
                <w:color w:val="000000"/>
                <w:sz w:val="17"/>
              </w:rPr>
              <w:t>TL2 reads TL6 player position; TL4 and other dependent systems consume documented difficulty/distance outputs.</w:t>
            </w:r>
          </w:p>
        </w:tc>
      </w:tr>
      <w:tr>
        <w:tc>
          <w:tcPr>
            <w:tcW w:type="dxa" w:w="2232"/>
            <w:vAlign w:val="center"/>
          </w:tcPr>
          <w:p>
            <w:pPr>
              <w:spacing w:after="0"/>
            </w:pPr>
            <w:r/>
            <w:r>
              <w:rPr>
                <w:b w:val="0"/>
                <w:color w:val="000000"/>
                <w:sz w:val="17"/>
              </w:rPr>
              <w:t>Power-ups</w:t>
            </w:r>
          </w:p>
        </w:tc>
        <w:tc>
          <w:tcPr>
            <w:tcW w:type="dxa" w:w="8280"/>
            <w:vAlign w:val="center"/>
          </w:tcPr>
          <w:p>
            <w:pPr>
              <w:spacing w:after="0"/>
            </w:pPr>
            <w:r/>
            <w:r>
              <w:rPr>
                <w:b w:val="0"/>
                <w:color w:val="000000"/>
                <w:sz w:val="17"/>
              </w:rPr>
              <w:t>TL3 affects TL6 only through documented Player Controller methods; TL1 consumes result events for presentation.</w:t>
            </w:r>
          </w:p>
        </w:tc>
      </w:tr>
      <w:tr>
        <w:tc>
          <w:tcPr>
            <w:tcW w:type="dxa" w:w="2232"/>
            <w:vAlign w:val="center"/>
          </w:tcPr>
          <w:p>
            <w:pPr>
              <w:spacing w:after="0"/>
            </w:pPr>
            <w:r/>
            <w:r>
              <w:rPr>
                <w:b w:val="0"/>
                <w:color w:val="000000"/>
                <w:sz w:val="17"/>
              </w:rPr>
              <w:t>Combat</w:t>
            </w:r>
          </w:p>
        </w:tc>
        <w:tc>
          <w:tcPr>
            <w:tcW w:type="dxa" w:w="8280"/>
            <w:vAlign w:val="center"/>
          </w:tcPr>
          <w:p>
            <w:pPr>
              <w:spacing w:after="0"/>
            </w:pPr>
            <w:r/>
            <w:r>
              <w:rPr>
                <w:b w:val="0"/>
                <w:color w:val="000000"/>
                <w:sz w:val="17"/>
              </w:rPr>
              <w:t>TL4 calls TL6 damage methods and publishes defeat events; it does not modify player health directly.</w:t>
            </w:r>
          </w:p>
        </w:tc>
      </w:tr>
      <w:tr>
        <w:tc>
          <w:tcPr>
            <w:tcW w:type="dxa" w:w="2232"/>
            <w:vAlign w:val="center"/>
          </w:tcPr>
          <w:p>
            <w:pPr>
              <w:spacing w:after="0"/>
            </w:pPr>
            <w:r/>
            <w:r>
              <w:rPr>
                <w:b w:val="0"/>
                <w:color w:val="000000"/>
                <w:sz w:val="17"/>
              </w:rPr>
              <w:t>Persistence</w:t>
            </w:r>
          </w:p>
        </w:tc>
        <w:tc>
          <w:tcPr>
            <w:tcW w:type="dxa" w:w="8280"/>
            <w:vAlign w:val="center"/>
          </w:tcPr>
          <w:p>
            <w:pPr>
              <w:spacing w:after="0"/>
            </w:pPr>
            <w:r/>
            <w:r>
              <w:rPr>
                <w:b w:val="0"/>
                <w:color w:val="000000"/>
                <w:sz w:val="17"/>
              </w:rPr>
              <w:t>TL5 is the only feature that writes the local save file; SaveDataManager owns serialization, validation, and versioning.</w:t>
            </w:r>
          </w:p>
        </w:tc>
      </w:tr>
      <w:tr>
        <w:tc>
          <w:tcPr>
            <w:tcW w:type="dxa" w:w="2232"/>
            <w:vAlign w:val="center"/>
          </w:tcPr>
          <w:p>
            <w:pPr>
              <w:spacing w:after="0"/>
            </w:pPr>
            <w:r/>
            <w:r>
              <w:rPr>
                <w:b w:val="0"/>
                <w:color w:val="000000"/>
                <w:sz w:val="17"/>
              </w:rPr>
              <w:t>Starting bonuses</w:t>
            </w:r>
          </w:p>
        </w:tc>
        <w:tc>
          <w:tcPr>
            <w:tcW w:type="dxa" w:w="8280"/>
            <w:vAlign w:val="center"/>
          </w:tcPr>
          <w:p>
            <w:pPr>
              <w:spacing w:after="0"/>
            </w:pPr>
            <w:r/>
            <w:r>
              <w:rPr>
                <w:b w:val="0"/>
                <w:color w:val="000000"/>
                <w:sz w:val="17"/>
              </w:rPr>
              <w:t>TL5 applies unlocked upgrades to TL6 using documented setters at the beginning of a run.</w:t>
            </w:r>
          </w:p>
        </w:tc>
      </w:tr>
      <w:tr>
        <w:tc>
          <w:tcPr>
            <w:tcW w:type="dxa" w:w="2232"/>
            <w:vAlign w:val="center"/>
          </w:tcPr>
          <w:p>
            <w:pPr>
              <w:spacing w:after="0"/>
            </w:pPr>
            <w:r/>
            <w:r>
              <w:rPr>
                <w:b w:val="0"/>
                <w:color w:val="000000"/>
                <w:sz w:val="17"/>
              </w:rPr>
              <w:t>UI</w:t>
            </w:r>
          </w:p>
        </w:tc>
        <w:tc>
          <w:tcPr>
            <w:tcW w:type="dxa" w:w="8280"/>
            <w:vAlign w:val="center"/>
          </w:tcPr>
          <w:p>
            <w:pPr>
              <w:spacing w:after="0"/>
            </w:pPr>
            <w:r/>
            <w:r>
              <w:rPr>
                <w:b w:val="0"/>
                <w:color w:val="000000"/>
                <w:sz w:val="17"/>
              </w:rPr>
              <w:t>TL1 consumes public events/outputs for score, currency, power-up, and death display/state behavior.</w:t>
            </w:r>
          </w:p>
        </w:tc>
      </w:tr>
      <w:tr>
        <w:tc>
          <w:tcPr>
            <w:tcW w:type="dxa" w:w="2232"/>
            <w:vAlign w:val="center"/>
          </w:tcPr>
          <w:p>
            <w:pPr>
              <w:spacing w:after="0"/>
            </w:pPr>
            <w:r/>
            <w:r>
              <w:rPr>
                <w:b w:val="0"/>
                <w:color w:val="000000"/>
                <w:sz w:val="17"/>
              </w:rPr>
              <w:t>Source ownership</w:t>
            </w:r>
          </w:p>
        </w:tc>
        <w:tc>
          <w:tcPr>
            <w:tcW w:type="dxa" w:w="8280"/>
            <w:vAlign w:val="center"/>
          </w:tcPr>
          <w:p>
            <w:pPr>
              <w:spacing w:after="0"/>
            </w:pPr>
            <w:r/>
            <w:r>
              <w:rPr>
                <w:b w:val="0"/>
                <w:color w:val="000000"/>
                <w:sz w:val="17"/>
              </w:rPr>
              <w:t>Implementation should remain organized so each major feature can be tested in isolation and integration code does not edit another feature’s private internals.</w:t>
            </w:r>
          </w:p>
        </w:tc>
      </w:tr>
    </w:tbl>
    <w:p>
      <w:pPr>
        <w:spacing w:after="40"/>
      </w:pPr>
    </w:p>
    <w:p>
      <w:pPr>
        <w:pStyle w:val="Heading2"/>
        <w:spacing w:before="120" w:after="80"/>
      </w:pPr>
      <w:r>
        <w:t>4.1 Public Interface Expectations</w:t>
      </w:r>
    </w:p>
    <w:p>
      <w:pPr>
        <w:spacing w:after="100" w:line="250" w:lineRule="auto"/>
      </w:pPr>
      <w:r>
        <w:rPr>
          <w:sz w:val="20"/>
        </w:rPr>
        <w:t>The following interfaces are representative of the supplied project specification and shall be treated as typed, documented boundaries. The selected vendor may implement equivalent internal structures only where observable behavior and integration contracts remain unchanged.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1F4E78"/>
          </w:tcPr>
          <w:p>
            <w:pPr>
              <w:spacing w:after="0"/>
            </w:pPr>
            <w:r/>
            <w:r>
              <w:rPr>
                <w:b/>
                <w:color w:val="FFFFFF"/>
                <w:sz w:val="17"/>
              </w:rPr>
              <w:t>Feature</w:t>
            </w:r>
          </w:p>
        </w:tc>
        <w:tc>
          <w:tcPr>
            <w:tcW w:type="dxa" w:w="9072"/>
            <w:vAlign w:val="center"/>
            <w:shd w:fill="1F4E78"/>
          </w:tcPr>
          <w:p>
            <w:pPr>
              <w:spacing w:after="0"/>
            </w:pPr>
            <w:r/>
            <w:r>
              <w:rPr>
                <w:b/>
                <w:color w:val="FFFFFF"/>
                <w:sz w:val="17"/>
              </w:rPr>
              <w:t>Required Public Boundary</w:t>
            </w:r>
          </w:p>
        </w:tc>
      </w:tr>
      <w:tr>
        <w:tc>
          <w:tcPr>
            <w:tcW w:type="dxa" w:w="1440"/>
            <w:vAlign w:val="center"/>
          </w:tcPr>
          <w:p>
            <w:pPr>
              <w:spacing w:after="0"/>
            </w:pPr>
            <w:r/>
            <w:r>
              <w:rPr>
                <w:b w:val="0"/>
                <w:color w:val="000000"/>
                <w:sz w:val="17"/>
              </w:rPr>
              <w:t>TL1</w:t>
            </w:r>
          </w:p>
        </w:tc>
        <w:tc>
          <w:tcPr>
            <w:tcW w:type="dxa" w:w="9072"/>
            <w:vAlign w:val="center"/>
          </w:tcPr>
          <w:p>
            <w:pPr>
              <w:spacing w:after="0"/>
            </w:pPr>
            <w:r/>
            <w:r>
              <w:rPr>
                <w:b w:val="0"/>
                <w:color w:val="000000"/>
                <w:sz w:val="17"/>
              </w:rPr>
              <w:t>GameStateManager.CurrentState; OnStateChanged; RequestPause/Resume/Restart; HUDController.UpdateScore/UpdateHealth</w:t>
            </w:r>
          </w:p>
        </w:tc>
      </w:tr>
      <w:tr>
        <w:tc>
          <w:tcPr>
            <w:tcW w:type="dxa" w:w="1440"/>
            <w:vAlign w:val="center"/>
          </w:tcPr>
          <w:p>
            <w:pPr>
              <w:spacing w:after="0"/>
            </w:pPr>
            <w:r/>
            <w:r>
              <w:rPr>
                <w:b w:val="0"/>
                <w:color w:val="000000"/>
                <w:sz w:val="17"/>
              </w:rPr>
              <w:t>TL2</w:t>
            </w:r>
          </w:p>
        </w:tc>
        <w:tc>
          <w:tcPr>
            <w:tcW w:type="dxa" w:w="9072"/>
            <w:vAlign w:val="center"/>
          </w:tcPr>
          <w:p>
            <w:pPr>
              <w:spacing w:after="0"/>
            </w:pPr>
            <w:r/>
            <w:r>
              <w:rPr>
                <w:b w:val="0"/>
                <w:color w:val="000000"/>
                <w:sz w:val="17"/>
              </w:rPr>
              <w:t>SetDifficulty(float); GetCurrentDistance(); OnChunkSpawned</w:t>
            </w:r>
          </w:p>
        </w:tc>
      </w:tr>
      <w:tr>
        <w:tc>
          <w:tcPr>
            <w:tcW w:type="dxa" w:w="1440"/>
            <w:vAlign w:val="center"/>
          </w:tcPr>
          <w:p>
            <w:pPr>
              <w:spacing w:after="0"/>
            </w:pPr>
            <w:r/>
            <w:r>
              <w:rPr>
                <w:b w:val="0"/>
                <w:color w:val="000000"/>
                <w:sz w:val="17"/>
              </w:rPr>
              <w:t>TL3</w:t>
            </w:r>
          </w:p>
        </w:tc>
        <w:tc>
          <w:tcPr>
            <w:tcW w:type="dxa" w:w="9072"/>
            <w:vAlign w:val="center"/>
          </w:tcPr>
          <w:p>
            <w:pPr>
              <w:spacing w:after="0"/>
            </w:pPr>
            <w:r/>
            <w:r>
              <w:rPr>
                <w:b w:val="0"/>
                <w:color w:val="000000"/>
                <w:sz w:val="17"/>
              </w:rPr>
              <w:t>SpawnPowerUp(Vector3, PowerUpType); OnPowerUpCollected</w:t>
            </w:r>
          </w:p>
        </w:tc>
      </w:tr>
      <w:tr>
        <w:tc>
          <w:tcPr>
            <w:tcW w:type="dxa" w:w="1440"/>
            <w:vAlign w:val="center"/>
          </w:tcPr>
          <w:p>
            <w:pPr>
              <w:spacing w:after="0"/>
            </w:pPr>
            <w:r/>
            <w:r>
              <w:rPr>
                <w:b w:val="0"/>
                <w:color w:val="000000"/>
                <w:sz w:val="17"/>
              </w:rPr>
              <w:t>TL4</w:t>
            </w:r>
          </w:p>
        </w:tc>
        <w:tc>
          <w:tcPr>
            <w:tcW w:type="dxa" w:w="9072"/>
            <w:vAlign w:val="center"/>
          </w:tcPr>
          <w:p>
            <w:pPr>
              <w:spacing w:after="0"/>
            </w:pPr>
            <w:r/>
            <w:r>
              <w:rPr>
                <w:b w:val="0"/>
                <w:color w:val="000000"/>
                <w:sz w:val="17"/>
              </w:rPr>
              <w:t>SetSpawnRate(float); OnEnemyDefeated; EnemyBase.TakeDamage/Move behavior</w:t>
            </w:r>
          </w:p>
        </w:tc>
      </w:tr>
      <w:tr>
        <w:tc>
          <w:tcPr>
            <w:tcW w:type="dxa" w:w="1440"/>
            <w:vAlign w:val="center"/>
          </w:tcPr>
          <w:p>
            <w:pPr>
              <w:spacing w:after="0"/>
            </w:pPr>
            <w:r/>
            <w:r>
              <w:rPr>
                <w:b w:val="0"/>
                <w:color w:val="000000"/>
                <w:sz w:val="17"/>
              </w:rPr>
              <w:t>TL5</w:t>
            </w:r>
          </w:p>
        </w:tc>
        <w:tc>
          <w:tcPr>
            <w:tcW w:type="dxa" w:w="9072"/>
            <w:vAlign w:val="center"/>
          </w:tcPr>
          <w:p>
            <w:pPr>
              <w:spacing w:after="0"/>
            </w:pPr>
            <w:r/>
            <w:r>
              <w:rPr>
                <w:b w:val="0"/>
                <w:color w:val="000000"/>
                <w:sz w:val="17"/>
              </w:rPr>
              <w:t>AddCurrency(int); GetUpgradeLevel(UpgradeType); PurchaseUpgrade(UpgradeType); ApplyStartingBonuses(GameObject); Save/Load</w:t>
            </w:r>
          </w:p>
        </w:tc>
      </w:tr>
      <w:tr>
        <w:tc>
          <w:tcPr>
            <w:tcW w:type="dxa" w:w="1440"/>
            <w:vAlign w:val="center"/>
          </w:tcPr>
          <w:p>
            <w:pPr>
              <w:spacing w:after="0"/>
            </w:pPr>
            <w:r/>
            <w:r>
              <w:rPr>
                <w:b w:val="0"/>
                <w:color w:val="000000"/>
                <w:sz w:val="17"/>
              </w:rPr>
              <w:t>TL6</w:t>
            </w:r>
          </w:p>
        </w:tc>
        <w:tc>
          <w:tcPr>
            <w:tcW w:type="dxa" w:w="9072"/>
            <w:vAlign w:val="center"/>
          </w:tcPr>
          <w:p>
            <w:pPr>
              <w:spacing w:after="0"/>
            </w:pPr>
            <w:r/>
            <w:r>
              <w:rPr>
                <w:b w:val="0"/>
                <w:color w:val="000000"/>
                <w:sz w:val="17"/>
              </w:rPr>
              <w:t>PlayerHealth.TakeDamage/Heal; PlayerController.SetSpeedMultiplier/GetPosition; OnPlayerDied</w:t>
            </w:r>
          </w:p>
        </w:tc>
      </w:tr>
    </w:tbl>
    <w:p>
      <w:pPr>
        <w:spacing w:after="40"/>
      </w:pPr>
    </w:p>
    <w:p>
      <w:pPr>
        <w:pStyle w:val="Heading1"/>
        <w:spacing w:before="180" w:after="80"/>
      </w:pPr>
      <w:r>
        <w:t>5. Technical &amp; Nonfunctional Requirements</w:t>
      </w:r>
    </w:p>
    <w:p>
      <w:pPr>
        <w:pStyle w:val="ListBullet"/>
        <w:spacing w:after="40"/>
        <w:ind w:left="360"/>
      </w:pPr>
      <w:r>
        <w:rPr>
          <w:sz w:val="20"/>
        </w:rPr>
        <w:t>Platform: Unity/C# PC build, with the project kept buildable from the supplied source tree.</w:t>
      </w:r>
    </w:p>
    <w:p>
      <w:pPr>
        <w:pStyle w:val="ListBullet"/>
        <w:spacing w:after="40"/>
        <w:ind w:left="360"/>
      </w:pPr>
      <w:r>
        <w:rPr>
          <w:sz w:val="20"/>
        </w:rPr>
        <w:t>Performance: procedural generation, pooling, combat, and scrolling should remain stable under the documented stress cases.</w:t>
      </w:r>
    </w:p>
    <w:p>
      <w:pPr>
        <w:pStyle w:val="ListBullet"/>
        <w:spacing w:after="40"/>
        <w:ind w:left="360"/>
      </w:pPr>
      <w:r>
        <w:rPr>
          <w:sz w:val="20"/>
        </w:rPr>
        <w:t>Maintainability: use cohesive classes, documented interfaces, and low-coupling feature boundaries.</w:t>
      </w:r>
    </w:p>
    <w:p>
      <w:pPr>
        <w:pStyle w:val="ListBullet"/>
        <w:spacing w:after="40"/>
        <w:ind w:left="360"/>
      </w:pPr>
      <w:r>
        <w:rPr>
          <w:sz w:val="20"/>
        </w:rPr>
        <w:t>Extensibility: new chunk types, enemy types, upgrade types, and movement/effect variants should be addable without rewriting unrelated systems where the documented Protected Variations approach applies.</w:t>
      </w:r>
    </w:p>
    <w:p>
      <w:pPr>
        <w:pStyle w:val="ListBullet"/>
        <w:spacing w:after="40"/>
        <w:ind w:left="360"/>
      </w:pPr>
      <w:r>
        <w:rPr>
          <w:sz w:val="20"/>
        </w:rPr>
        <w:t>Persistence integrity: treat local save data as untrusted input and validate non-negative currency, valid enum values, legal upgrade ranges, and schema/version information.</w:t>
      </w:r>
    </w:p>
    <w:p>
      <w:pPr>
        <w:pStyle w:val="ListBullet"/>
        <w:spacing w:after="40"/>
        <w:ind w:left="360"/>
      </w:pPr>
      <w:r>
        <w:rPr>
          <w:sz w:val="20"/>
        </w:rPr>
        <w:t>Input robustness: game-state transitions and gameplay state changes must reject or safely handle invalid/repeated requests.</w:t>
      </w:r>
    </w:p>
    <w:p>
      <w:pPr>
        <w:pStyle w:val="ListBullet"/>
        <w:spacing w:after="40"/>
        <w:ind w:left="360"/>
      </w:pPr>
      <w:r>
        <w:rPr>
          <w:sz w:val="20"/>
        </w:rPr>
        <w:t>Testing: every externally visible interface shall have observable pass/fail behavior with unit, boundary, stress, or integration tests as applicable.</w:t>
      </w:r>
    </w:p>
    <w:p>
      <w:pPr>
        <w:pStyle w:val="ListBullet"/>
        <w:spacing w:after="40"/>
        <w:ind w:left="360"/>
      </w:pPr>
      <w:r>
        <w:rPr>
          <w:sz w:val="20"/>
        </w:rPr>
        <w:t>Documentation: shipped diagrams, interface contracts, requirements, and implementation notes shall be kept consistent with the final code.</w:t>
      </w:r>
    </w:p>
    <w:p>
      <w:pPr>
        <w:pStyle w:val="Heading1"/>
        <w:spacing w:before="180" w:after="80"/>
      </w:pPr>
      <w:r>
        <w:t>6. User Experience, Presentation &amp; Game Content</w:t>
      </w:r>
    </w:p>
    <w:p>
      <w:pPr>
        <w:spacing w:after="100" w:line="250" w:lineRule="auto"/>
      </w:pPr>
      <w:r>
        <w:rPr>
          <w:sz w:val="20"/>
        </w:rPr>
        <w:t>The project is a retro-themed 2D side-scroller. The implementation should support a cohesive in-game presentation, but this RFP treats visual polish as part of the final integration and does not replace the gameplay requirements with art-only deliverables.</w:t>
      </w:r>
    </w:p>
    <w:p>
      <w:pPr>
        <w:pStyle w:val="ListBullet"/>
        <w:spacing w:after="40"/>
        <w:ind w:left="360"/>
      </w:pPr>
      <w:r>
        <w:rPr>
          <w:sz w:val="20"/>
        </w:rPr>
        <w:t>Provide readable HUD, menu, pause, game-over, and shop/purchase presentation consistent with the game state.</w:t>
      </w:r>
    </w:p>
    <w:p>
      <w:pPr>
        <w:pStyle w:val="ListBullet"/>
        <w:spacing w:after="40"/>
        <w:ind w:left="360"/>
      </w:pPr>
      <w:r>
        <w:rPr>
          <w:sz w:val="20"/>
        </w:rPr>
        <w:t>Provide visually distinct representations for required power-up types and enemy/hazard archetypes.</w:t>
      </w:r>
    </w:p>
    <w:p>
      <w:pPr>
        <w:pStyle w:val="ListBullet"/>
        <w:spacing w:after="40"/>
        <w:ind w:left="360"/>
      </w:pPr>
      <w:r>
        <w:rPr>
          <w:sz w:val="20"/>
        </w:rPr>
        <w:t>Support the documented gameplay feedback for damage, enemy defeat, power-up collection, currency changes, and state transitions.</w:t>
      </w:r>
    </w:p>
    <w:p>
      <w:pPr>
        <w:pStyle w:val="ListBullet"/>
        <w:spacing w:after="40"/>
        <w:ind w:left="360"/>
      </w:pPr>
      <w:r>
        <w:rPr>
          <w:sz w:val="20"/>
        </w:rPr>
        <w:t>Ensure art/animation assets imported into Unity are organized so they can be integrated into prefabs and scenes without breaking the documented feature ownership boundaries.</w:t>
      </w:r>
    </w:p>
    <w:p>
      <w:pPr>
        <w:pStyle w:val="Heading1"/>
        <w:spacing w:before="180" w:after="80"/>
      </w:pPr>
      <w:r>
        <w:t>7. Testing &amp; Acceptance Requirements</w:t>
      </w:r>
    </w:p>
    <w:p>
      <w:pPr>
        <w:spacing w:after="100" w:line="250" w:lineRule="auto"/>
      </w:pPr>
      <w:r>
        <w:rPr>
          <w:sz w:val="20"/>
        </w:rPr>
        <w:t>Acceptance shall be based on observable behavior from the supplied feature specifications and Champion Documents. The respondent shall provide evidence of testing before final handoff.</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1F4E78"/>
          </w:tcPr>
          <w:p>
            <w:pPr>
              <w:spacing w:after="0"/>
            </w:pPr>
            <w:r/>
            <w:r>
              <w:rPr>
                <w:b/>
                <w:color w:val="FFFFFF"/>
                <w:sz w:val="17"/>
              </w:rPr>
              <w:t>Test area</w:t>
            </w:r>
          </w:p>
        </w:tc>
        <w:tc>
          <w:tcPr>
            <w:tcW w:type="dxa" w:w="8352"/>
            <w:vAlign w:val="center"/>
            <w:shd w:fill="1F4E78"/>
          </w:tcPr>
          <w:p>
            <w:pPr>
              <w:spacing w:after="0"/>
            </w:pPr>
            <w:r/>
            <w:r>
              <w:rPr>
                <w:b/>
                <w:color w:val="FFFFFF"/>
                <w:sz w:val="17"/>
              </w:rPr>
              <w:t>Acceptance expectation</w:t>
            </w:r>
          </w:p>
        </w:tc>
      </w:tr>
      <w:tr>
        <w:tc>
          <w:tcPr>
            <w:tcW w:type="dxa" w:w="2160"/>
            <w:vAlign w:val="center"/>
          </w:tcPr>
          <w:p>
            <w:pPr>
              <w:spacing w:after="0"/>
            </w:pPr>
            <w:r/>
            <w:r>
              <w:rPr>
                <w:b w:val="0"/>
                <w:color w:val="000000"/>
                <w:sz w:val="17"/>
              </w:rPr>
              <w:t>Game flow</w:t>
            </w:r>
          </w:p>
        </w:tc>
        <w:tc>
          <w:tcPr>
            <w:tcW w:type="dxa" w:w="8352"/>
            <w:vAlign w:val="center"/>
          </w:tcPr>
          <w:p>
            <w:pPr>
              <w:spacing w:after="0"/>
            </w:pPr>
            <w:r/>
            <w:r>
              <w:rPr>
                <w:b w:val="0"/>
                <w:color w:val="000000"/>
                <w:sz w:val="17"/>
              </w:rPr>
              <w:t>Legal transitions work; illegal pause/resume requests do not create extra state changes; restart returns to a clean Playing state.</w:t>
            </w:r>
          </w:p>
        </w:tc>
      </w:tr>
      <w:tr>
        <w:tc>
          <w:tcPr>
            <w:tcW w:type="dxa" w:w="2160"/>
            <w:vAlign w:val="center"/>
          </w:tcPr>
          <w:p>
            <w:pPr>
              <w:spacing w:after="0"/>
            </w:pPr>
            <w:r/>
            <w:r>
              <w:rPr>
                <w:b w:val="0"/>
                <w:color w:val="000000"/>
                <w:sz w:val="17"/>
              </w:rPr>
              <w:t>HUD</w:t>
            </w:r>
          </w:p>
        </w:tc>
        <w:tc>
          <w:tcPr>
            <w:tcW w:type="dxa" w:w="8352"/>
            <w:vAlign w:val="center"/>
          </w:tcPr>
          <w:p>
            <w:pPr>
              <w:spacing w:after="0"/>
            </w:pPr>
            <w:r/>
            <w:r>
              <w:rPr>
                <w:b w:val="0"/>
                <w:color w:val="000000"/>
                <w:sz w:val="17"/>
              </w:rPr>
              <w:t>Health, score, and currency reflect accepted inputs within the documented update window; hidden states retain values without displaying gameplay HUD when inappropriate.</w:t>
            </w:r>
          </w:p>
        </w:tc>
      </w:tr>
      <w:tr>
        <w:tc>
          <w:tcPr>
            <w:tcW w:type="dxa" w:w="2160"/>
            <w:vAlign w:val="center"/>
          </w:tcPr>
          <w:p>
            <w:pPr>
              <w:spacing w:after="0"/>
            </w:pPr>
            <w:r/>
            <w:r>
              <w:rPr>
                <w:b w:val="0"/>
                <w:color w:val="000000"/>
                <w:sz w:val="17"/>
              </w:rPr>
              <w:t>Procedural level</w:t>
            </w:r>
          </w:p>
        </w:tc>
        <w:tc>
          <w:tcPr>
            <w:tcW w:type="dxa" w:w="8352"/>
            <w:vAlign w:val="center"/>
          </w:tcPr>
          <w:p>
            <w:pPr>
              <w:spacing w:after="0"/>
            </w:pPr>
            <w:r/>
            <w:r>
              <w:rPr>
                <w:b w:val="0"/>
                <w:color w:val="000000"/>
                <w:sz w:val="17"/>
              </w:rPr>
              <w:t>Chunk pooling/reuse works; generation remains continuous; difficulty increases with distance; high-speed generation is stress-tested.</w:t>
            </w:r>
          </w:p>
        </w:tc>
      </w:tr>
      <w:tr>
        <w:tc>
          <w:tcPr>
            <w:tcW w:type="dxa" w:w="2160"/>
            <w:vAlign w:val="center"/>
          </w:tcPr>
          <w:p>
            <w:pPr>
              <w:spacing w:after="0"/>
            </w:pPr>
            <w:r/>
            <w:r>
              <w:rPr>
                <w:b w:val="0"/>
                <w:color w:val="000000"/>
                <w:sz w:val="17"/>
              </w:rPr>
              <w:t>Power-ups</w:t>
            </w:r>
          </w:p>
        </w:tc>
        <w:tc>
          <w:tcPr>
            <w:tcW w:type="dxa" w:w="8352"/>
            <w:vAlign w:val="center"/>
          </w:tcPr>
          <w:p>
            <w:pPr>
              <w:spacing w:after="0"/>
            </w:pPr>
            <w:r/>
            <w:r>
              <w:rPr>
                <w:b w:val="0"/>
                <w:color w:val="000000"/>
                <w:sz w:val="17"/>
              </w:rPr>
              <w:t>At least three effects apply/remove correctly, including stacking/duration boundary behavior.</w:t>
            </w:r>
          </w:p>
        </w:tc>
      </w:tr>
      <w:tr>
        <w:tc>
          <w:tcPr>
            <w:tcW w:type="dxa" w:w="2160"/>
            <w:vAlign w:val="center"/>
          </w:tcPr>
          <w:p>
            <w:pPr>
              <w:spacing w:after="0"/>
            </w:pPr>
            <w:r/>
            <w:r>
              <w:rPr>
                <w:b w:val="0"/>
                <w:color w:val="000000"/>
                <w:sz w:val="17"/>
              </w:rPr>
              <w:t>Combat</w:t>
            </w:r>
          </w:p>
        </w:tc>
        <w:tc>
          <w:tcPr>
            <w:tcW w:type="dxa" w:w="8352"/>
            <w:vAlign w:val="center"/>
          </w:tcPr>
          <w:p>
            <w:pPr>
              <w:spacing w:after="0"/>
            </w:pPr>
            <w:r/>
            <w:r>
              <w:rPr>
                <w:b w:val="0"/>
                <w:color w:val="000000"/>
                <w:sz w:val="17"/>
              </w:rPr>
              <w:t>At least two enemy/hazard types actively damage the player; spawn rate scales with difficulty; defeat events fire exactly once.</w:t>
            </w:r>
          </w:p>
        </w:tc>
      </w:tr>
      <w:tr>
        <w:tc>
          <w:tcPr>
            <w:tcW w:type="dxa" w:w="2160"/>
            <w:vAlign w:val="center"/>
          </w:tcPr>
          <w:p>
            <w:pPr>
              <w:spacing w:after="0"/>
            </w:pPr>
            <w:r/>
            <w:r>
              <w:rPr>
                <w:b w:val="0"/>
                <w:color w:val="000000"/>
                <w:sz w:val="17"/>
              </w:rPr>
              <w:t>Persistence</w:t>
            </w:r>
          </w:p>
        </w:tc>
        <w:tc>
          <w:tcPr>
            <w:tcW w:type="dxa" w:w="8352"/>
            <w:vAlign w:val="center"/>
          </w:tcPr>
          <w:p>
            <w:pPr>
              <w:spacing w:after="0"/>
            </w:pPr>
            <w:r/>
            <w:r>
              <w:rPr>
                <w:b w:val="0"/>
                <w:color w:val="000000"/>
                <w:sz w:val="17"/>
              </w:rPr>
              <w:t>Save/load round-trip preserves currency and upgrade levels; missing/corrupt data uses safe defaults without crashing.</w:t>
            </w:r>
          </w:p>
        </w:tc>
      </w:tr>
      <w:tr>
        <w:tc>
          <w:tcPr>
            <w:tcW w:type="dxa" w:w="2160"/>
            <w:vAlign w:val="center"/>
          </w:tcPr>
          <w:p>
            <w:pPr>
              <w:spacing w:after="0"/>
            </w:pPr>
            <w:r/>
            <w:r>
              <w:rPr>
                <w:b w:val="0"/>
                <w:color w:val="000000"/>
                <w:sz w:val="17"/>
              </w:rPr>
              <w:t>Purchases</w:t>
            </w:r>
          </w:p>
        </w:tc>
        <w:tc>
          <w:tcPr>
            <w:tcW w:type="dxa" w:w="8352"/>
            <w:vAlign w:val="center"/>
          </w:tcPr>
          <w:p>
            <w:pPr>
              <w:spacing w:after="0"/>
            </w:pPr>
            <w:r/>
            <w:r>
              <w:rPr>
                <w:b w:val="0"/>
                <w:color w:val="000000"/>
                <w:sz w:val="17"/>
              </w:rPr>
              <w:t>Insufficient-currency and max-level purchases fail without mutating persistent values.</w:t>
            </w:r>
          </w:p>
        </w:tc>
      </w:tr>
      <w:tr>
        <w:tc>
          <w:tcPr>
            <w:tcW w:type="dxa" w:w="2160"/>
            <w:vAlign w:val="center"/>
          </w:tcPr>
          <w:p>
            <w:pPr>
              <w:spacing w:after="0"/>
            </w:pPr>
            <w:r/>
            <w:r>
              <w:rPr>
                <w:b w:val="0"/>
                <w:color w:val="000000"/>
                <w:sz w:val="17"/>
              </w:rPr>
              <w:t>Starting bonuses</w:t>
            </w:r>
          </w:p>
        </w:tc>
        <w:tc>
          <w:tcPr>
            <w:tcW w:type="dxa" w:w="8352"/>
            <w:vAlign w:val="center"/>
          </w:tcPr>
          <w:p>
            <w:pPr>
              <w:spacing w:after="0"/>
            </w:pPr>
            <w:r/>
            <w:r>
              <w:rPr>
                <w:b w:val="0"/>
                <w:color w:val="000000"/>
                <w:sz w:val="17"/>
              </w:rPr>
              <w:t>Unlocked bonuses are calculated correctly and applied only through documented Player Controller methods.</w:t>
            </w:r>
          </w:p>
        </w:tc>
      </w:tr>
      <w:tr>
        <w:tc>
          <w:tcPr>
            <w:tcW w:type="dxa" w:w="2160"/>
            <w:vAlign w:val="center"/>
          </w:tcPr>
          <w:p>
            <w:pPr>
              <w:spacing w:after="0"/>
            </w:pPr>
            <w:r/>
            <w:r>
              <w:rPr>
                <w:b w:val="0"/>
                <w:color w:val="000000"/>
                <w:sz w:val="17"/>
              </w:rPr>
              <w:t>Player controller</w:t>
            </w:r>
          </w:p>
        </w:tc>
        <w:tc>
          <w:tcPr>
            <w:tcW w:type="dxa" w:w="8352"/>
            <w:vAlign w:val="center"/>
          </w:tcPr>
          <w:p>
            <w:pPr>
              <w:spacing w:after="0"/>
            </w:pPr>
            <w:r/>
            <w:r>
              <w:rPr>
                <w:b w:val="0"/>
                <w:color w:val="000000"/>
                <w:sz w:val="17"/>
              </w:rPr>
              <w:t>Run/jump/dash state transitions, health/death, and camera scrolling function continuously without stutter.</w:t>
            </w:r>
          </w:p>
        </w:tc>
      </w:tr>
      <w:tr>
        <w:tc>
          <w:tcPr>
            <w:tcW w:type="dxa" w:w="2160"/>
            <w:vAlign w:val="center"/>
          </w:tcPr>
          <w:p>
            <w:pPr>
              <w:spacing w:after="0"/>
            </w:pPr>
            <w:r/>
            <w:r>
              <w:rPr>
                <w:b w:val="0"/>
                <w:color w:val="000000"/>
                <w:sz w:val="17"/>
              </w:rPr>
              <w:t>Integration</w:t>
            </w:r>
          </w:p>
        </w:tc>
        <w:tc>
          <w:tcPr>
            <w:tcW w:type="dxa" w:w="8352"/>
            <w:vAlign w:val="center"/>
          </w:tcPr>
          <w:p>
            <w:pPr>
              <w:spacing w:after="0"/>
            </w:pPr>
            <w:r/>
            <w:r>
              <w:rPr>
                <w:b w:val="0"/>
                <w:color w:val="000000"/>
                <w:sz w:val="17"/>
              </w:rPr>
              <w:t>End-to-end scenario supports earn currency -&gt; purchase upgrade -&gt; save -&gt; restart/load -&gt; apply bonus -&gt; play.</w:t>
            </w:r>
          </w:p>
        </w:tc>
      </w:tr>
    </w:tbl>
    <w:p>
      <w:pPr>
        <w:spacing w:after="40"/>
      </w:pPr>
    </w:p>
    <w:p>
      <w:pPr>
        <w:pStyle w:val="Heading2"/>
        <w:spacing w:before="120" w:after="80"/>
      </w:pPr>
      <w:r>
        <w:t>7.1 Required Test Evidence</w:t>
      </w:r>
    </w:p>
    <w:p>
      <w:pPr>
        <w:pStyle w:val="ListBullet"/>
        <w:spacing w:after="40"/>
        <w:ind w:left="360"/>
      </w:pPr>
      <w:r>
        <w:rPr>
          <w:sz w:val="20"/>
        </w:rPr>
        <w:t>Unit-test results for feature-specific logic.</w:t>
      </w:r>
    </w:p>
    <w:p>
      <w:pPr>
        <w:pStyle w:val="ListBullet"/>
        <w:spacing w:after="40"/>
        <w:ind w:left="360"/>
      </w:pPr>
      <w:r>
        <w:rPr>
          <w:sz w:val="20"/>
        </w:rPr>
        <w:t>Boundary test results for zero/max/invalid values and missing/corrupt persistence data.</w:t>
      </w:r>
    </w:p>
    <w:p>
      <w:pPr>
        <w:pStyle w:val="ListBullet"/>
        <w:spacing w:after="40"/>
        <w:ind w:left="360"/>
      </w:pPr>
      <w:r>
        <w:rPr>
          <w:sz w:val="20"/>
        </w:rPr>
        <w:t>Stress-test results for rapid state switching, repeated purchase/save-load activity, enemy counts, and high-speed generation.</w:t>
      </w:r>
    </w:p>
    <w:p>
      <w:pPr>
        <w:pStyle w:val="ListBullet"/>
        <w:spacing w:after="40"/>
        <w:ind w:left="360"/>
      </w:pPr>
      <w:r>
        <w:rPr>
          <w:sz w:val="20"/>
        </w:rPr>
        <w:t>Integration test evidence covering the documented public interfaces.</w:t>
      </w:r>
    </w:p>
    <w:p>
      <w:pPr>
        <w:pStyle w:val="ListBullet"/>
        <w:spacing w:after="40"/>
        <w:ind w:left="360"/>
      </w:pPr>
      <w:r>
        <w:rPr>
          <w:sz w:val="20"/>
        </w:rPr>
        <w:t>A final acceptance checklist mapping the shipped behavior to the RFP requirements.</w:t>
      </w:r>
    </w:p>
    <w:p>
      <w:pPr>
        <w:pStyle w:val="Heading1"/>
        <w:spacing w:before="180" w:after="80"/>
      </w:pPr>
      <w:r>
        <w:t>8. Deliverables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F4E78"/>
          </w:tcPr>
          <w:p>
            <w:pPr>
              <w:spacing w:after="0"/>
            </w:pPr>
            <w:r/>
            <w:r>
              <w:rPr>
                <w:b/>
                <w:color w:val="FFFFFF"/>
                <w:sz w:val="17"/>
              </w:rPr>
              <w:t>Deliverable</w:t>
            </w:r>
          </w:p>
        </w:tc>
        <w:tc>
          <w:tcPr>
            <w:tcW w:type="dxa" w:w="8064"/>
            <w:vAlign w:val="center"/>
            <w:shd w:fill="1F4E78"/>
          </w:tcPr>
          <w:p>
            <w:pPr>
              <w:spacing w:after="0"/>
            </w:pPr>
            <w:r/>
            <w:r>
              <w:rPr>
                <w:b/>
                <w:color w:val="FFFFFF"/>
                <w:sz w:val="17"/>
              </w:rPr>
              <w:t>Minimum expected contents</w:t>
            </w:r>
          </w:p>
        </w:tc>
      </w:tr>
      <w:tr>
        <w:tc>
          <w:tcPr>
            <w:tcW w:type="dxa" w:w="2448"/>
            <w:vAlign w:val="center"/>
          </w:tcPr>
          <w:p>
            <w:pPr>
              <w:spacing w:after="0"/>
            </w:pPr>
            <w:r/>
            <w:r>
              <w:rPr>
                <w:b w:val="0"/>
                <w:color w:val="000000"/>
                <w:sz w:val="17"/>
              </w:rPr>
              <w:t>A. Complete Unity project</w:t>
            </w:r>
          </w:p>
        </w:tc>
        <w:tc>
          <w:tcPr>
            <w:tcW w:type="dxa" w:w="8064"/>
            <w:vAlign w:val="center"/>
          </w:tcPr>
          <w:p>
            <w:pPr>
              <w:spacing w:after="0"/>
            </w:pPr>
            <w:r/>
            <w:r>
              <w:rPr>
                <w:b w:val="0"/>
                <w:color w:val="000000"/>
                <w:sz w:val="17"/>
              </w:rPr>
              <w:t>Source files, scenes, prefabs, scripts, configuration, and assets required to build/run the game.</w:t>
            </w:r>
          </w:p>
        </w:tc>
      </w:tr>
      <w:tr>
        <w:tc>
          <w:tcPr>
            <w:tcW w:type="dxa" w:w="2448"/>
            <w:vAlign w:val="center"/>
          </w:tcPr>
          <w:p>
            <w:pPr>
              <w:spacing w:after="0"/>
            </w:pPr>
            <w:r/>
            <w:r>
              <w:rPr>
                <w:b w:val="0"/>
                <w:color w:val="000000"/>
                <w:sz w:val="17"/>
              </w:rPr>
              <w:t>B. PC build</w:t>
            </w:r>
          </w:p>
        </w:tc>
        <w:tc>
          <w:tcPr>
            <w:tcW w:type="dxa" w:w="8064"/>
            <w:vAlign w:val="center"/>
          </w:tcPr>
          <w:p>
            <w:pPr>
              <w:spacing w:after="0"/>
            </w:pPr>
            <w:r/>
            <w:r>
              <w:rPr>
                <w:b w:val="0"/>
                <w:color w:val="000000"/>
                <w:sz w:val="17"/>
              </w:rPr>
              <w:t>Playable release candidate and final build suitable for demonstration/testing.</w:t>
            </w:r>
          </w:p>
        </w:tc>
      </w:tr>
      <w:tr>
        <w:tc>
          <w:tcPr>
            <w:tcW w:type="dxa" w:w="2448"/>
            <w:vAlign w:val="center"/>
          </w:tcPr>
          <w:p>
            <w:pPr>
              <w:spacing w:after="0"/>
            </w:pPr>
            <w:r/>
            <w:r>
              <w:rPr>
                <w:b w:val="0"/>
                <w:color w:val="000000"/>
                <w:sz w:val="17"/>
              </w:rPr>
              <w:t>C. Feature implementations</w:t>
            </w:r>
          </w:p>
        </w:tc>
        <w:tc>
          <w:tcPr>
            <w:tcW w:type="dxa" w:w="8064"/>
            <w:vAlign w:val="center"/>
          </w:tcPr>
          <w:p>
            <w:pPr>
              <w:spacing w:after="0"/>
            </w:pPr>
            <w:r/>
            <w:r>
              <w:rPr>
                <w:b w:val="0"/>
                <w:color w:val="000000"/>
                <w:sz w:val="17"/>
              </w:rPr>
              <w:t>All six feature areas integrated and functioning within the agreed scope.</w:t>
            </w:r>
          </w:p>
        </w:tc>
      </w:tr>
      <w:tr>
        <w:tc>
          <w:tcPr>
            <w:tcW w:type="dxa" w:w="2448"/>
            <w:vAlign w:val="center"/>
          </w:tcPr>
          <w:p>
            <w:pPr>
              <w:spacing w:after="0"/>
            </w:pPr>
            <w:r/>
            <w:r>
              <w:rPr>
                <w:b w:val="0"/>
                <w:color w:val="000000"/>
                <w:sz w:val="17"/>
              </w:rPr>
              <w:t>D. Automated/unit test suite</w:t>
            </w:r>
          </w:p>
        </w:tc>
        <w:tc>
          <w:tcPr>
            <w:tcW w:type="dxa" w:w="8064"/>
            <w:vAlign w:val="center"/>
          </w:tcPr>
          <w:p>
            <w:pPr>
              <w:spacing w:after="0"/>
            </w:pPr>
            <w:r/>
            <w:r>
              <w:rPr>
                <w:b w:val="0"/>
                <w:color w:val="000000"/>
                <w:sz w:val="17"/>
              </w:rPr>
              <w:t>Tests covering public methods, boundary conditions, dynamic-binding behaviors, and critical persistence/gameplay logic.</w:t>
            </w:r>
          </w:p>
        </w:tc>
      </w:tr>
      <w:tr>
        <w:tc>
          <w:tcPr>
            <w:tcW w:type="dxa" w:w="2448"/>
            <w:vAlign w:val="center"/>
          </w:tcPr>
          <w:p>
            <w:pPr>
              <w:spacing w:after="0"/>
            </w:pPr>
            <w:r/>
            <w:r>
              <w:rPr>
                <w:b w:val="0"/>
                <w:color w:val="000000"/>
                <w:sz w:val="17"/>
              </w:rPr>
              <w:t>E. Integration/acceptance evidence</w:t>
            </w:r>
          </w:p>
        </w:tc>
        <w:tc>
          <w:tcPr>
            <w:tcW w:type="dxa" w:w="8064"/>
            <w:vAlign w:val="center"/>
          </w:tcPr>
          <w:p>
            <w:pPr>
              <w:spacing w:after="0"/>
            </w:pPr>
            <w:r/>
            <w:r>
              <w:rPr>
                <w:b w:val="0"/>
                <w:color w:val="000000"/>
                <w:sz w:val="17"/>
              </w:rPr>
              <w:t>Test results, issue list, resolution status, and final acceptance checklist.</w:t>
            </w:r>
          </w:p>
        </w:tc>
      </w:tr>
      <w:tr>
        <w:tc>
          <w:tcPr>
            <w:tcW w:type="dxa" w:w="2448"/>
            <w:vAlign w:val="center"/>
          </w:tcPr>
          <w:p>
            <w:pPr>
              <w:spacing w:after="0"/>
            </w:pPr>
            <w:r/>
            <w:r>
              <w:rPr>
                <w:b w:val="0"/>
                <w:color w:val="000000"/>
                <w:sz w:val="17"/>
              </w:rPr>
              <w:t>F. Technical documentation</w:t>
            </w:r>
          </w:p>
        </w:tc>
        <w:tc>
          <w:tcPr>
            <w:tcW w:type="dxa" w:w="8064"/>
            <w:vAlign w:val="center"/>
          </w:tcPr>
          <w:p>
            <w:pPr>
              <w:spacing w:after="0"/>
            </w:pPr>
            <w:r/>
            <w:r>
              <w:rPr>
                <w:b w:val="0"/>
                <w:color w:val="000000"/>
                <w:sz w:val="17"/>
              </w:rPr>
              <w:t>Architecture summary, interface contracts, diagrams, setup/build instructions, persistence notes, and maintenance guidance.</w:t>
            </w:r>
          </w:p>
        </w:tc>
      </w:tr>
      <w:tr>
        <w:tc>
          <w:tcPr>
            <w:tcW w:type="dxa" w:w="2448"/>
            <w:vAlign w:val="center"/>
          </w:tcPr>
          <w:p>
            <w:pPr>
              <w:spacing w:after="0"/>
            </w:pPr>
            <w:r/>
            <w:r>
              <w:rPr>
                <w:b w:val="0"/>
                <w:color w:val="000000"/>
                <w:sz w:val="17"/>
              </w:rPr>
              <w:t>G. Handoff package</w:t>
            </w:r>
          </w:p>
        </w:tc>
        <w:tc>
          <w:tcPr>
            <w:tcW w:type="dxa" w:w="8064"/>
            <w:vAlign w:val="center"/>
          </w:tcPr>
          <w:p>
            <w:pPr>
              <w:spacing w:after="0"/>
            </w:pPr>
            <w:r/>
            <w:r>
              <w:rPr>
                <w:b w:val="0"/>
                <w:color w:val="000000"/>
                <w:sz w:val="17"/>
              </w:rPr>
              <w:t>Clean project structure, final configuration, known-issues list, and instructions for running/building the system.</w:t>
            </w:r>
          </w:p>
        </w:tc>
      </w:tr>
    </w:tbl>
    <w:p>
      <w:pPr>
        <w:spacing w:after="40"/>
      </w:pPr>
    </w:p>
    <w:p>
      <w:pPr>
        <w:pStyle w:val="Heading1"/>
        <w:spacing w:before="180" w:after="80"/>
      </w:pPr>
      <w:r>
        <w:t>9. Schedule &amp; Milestones</w:t>
      </w:r>
    </w:p>
    <w:p>
      <w:pPr>
        <w:spacing w:after="100" w:line="250" w:lineRule="auto"/>
      </w:pPr>
      <w:r>
        <w:rPr>
          <w:sz w:val="20"/>
        </w:rPr>
        <w:t>The current expected completion window is approximately 2.5 months. For proposal planning, respondents should assume approximately 10–11 weeks from notice to proceed. The exact calendar dates may be set by the issuing team after selection.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664"/>
            <w:vAlign w:val="center"/>
            <w:shd w:fill="1F4E78"/>
          </w:tcPr>
          <w:p>
            <w:pPr>
              <w:spacing w:after="0"/>
            </w:pPr>
            <w:r/>
            <w:r>
              <w:rPr>
                <w:b/>
                <w:color w:val="FFFFFF"/>
                <w:sz w:val="17"/>
              </w:rPr>
              <w:t>Milestone</w:t>
            </w:r>
          </w:p>
        </w:tc>
        <w:tc>
          <w:tcPr>
            <w:tcW w:type="dxa" w:w="1872"/>
            <w:vAlign w:val="center"/>
            <w:shd w:fill="1F4E78"/>
          </w:tcPr>
          <w:p>
            <w:pPr>
              <w:spacing w:after="0"/>
            </w:pPr>
            <w:r/>
            <w:r>
              <w:rPr>
                <w:b/>
                <w:color w:val="FFFFFF"/>
                <w:sz w:val="17"/>
              </w:rPr>
              <w:t>Target window</w:t>
            </w:r>
          </w:p>
        </w:tc>
        <w:tc>
          <w:tcPr>
            <w:tcW w:type="dxa" w:w="5976"/>
            <w:vAlign w:val="center"/>
            <w:shd w:fill="1F4E78"/>
          </w:tcPr>
          <w:p>
            <w:pPr>
              <w:spacing w:after="0"/>
            </w:pPr>
            <w:r/>
            <w:r>
              <w:rPr>
                <w:b/>
                <w:color w:val="FFFFFF"/>
                <w:sz w:val="17"/>
              </w:rPr>
              <w:t>Expected outcome</w:t>
            </w:r>
          </w:p>
        </w:tc>
      </w:tr>
      <w:tr>
        <w:tc>
          <w:tcPr>
            <w:tcW w:type="dxa" w:w="2664"/>
            <w:vAlign w:val="center"/>
          </w:tcPr>
          <w:p>
            <w:pPr>
              <w:spacing w:after="0"/>
            </w:pPr>
            <w:r/>
            <w:r>
              <w:rPr>
                <w:b w:val="0"/>
                <w:color w:val="000000"/>
                <w:sz w:val="17"/>
              </w:rPr>
              <w:t>1. Initiation / interface freeze</w:t>
            </w:r>
          </w:p>
        </w:tc>
        <w:tc>
          <w:tcPr>
            <w:tcW w:type="dxa" w:w="1872"/>
            <w:vAlign w:val="center"/>
          </w:tcPr>
          <w:p>
            <w:pPr>
              <w:spacing w:after="0"/>
            </w:pPr>
            <w:r/>
            <w:r>
              <w:rPr>
                <w:b w:val="0"/>
                <w:color w:val="000000"/>
                <w:sz w:val="17"/>
              </w:rPr>
              <w:t>Week 1</w:t>
            </w:r>
          </w:p>
        </w:tc>
        <w:tc>
          <w:tcPr>
            <w:tcW w:type="dxa" w:w="5976"/>
            <w:vAlign w:val="center"/>
          </w:tcPr>
          <w:p>
            <w:pPr>
              <w:spacing w:after="0"/>
            </w:pPr>
            <w:r/>
            <w:r>
              <w:rPr>
                <w:b w:val="0"/>
                <w:color w:val="000000"/>
                <w:sz w:val="17"/>
              </w:rPr>
              <w:t>Confirm scope, public interfaces, repository/build setup, schedule, and integration responsibilities.</w:t>
            </w:r>
          </w:p>
        </w:tc>
      </w:tr>
      <w:tr>
        <w:tc>
          <w:tcPr>
            <w:tcW w:type="dxa" w:w="2664"/>
            <w:vAlign w:val="center"/>
          </w:tcPr>
          <w:p>
            <w:pPr>
              <w:spacing w:after="0"/>
            </w:pPr>
            <w:r/>
            <w:r>
              <w:rPr>
                <w:b w:val="0"/>
                <w:color w:val="000000"/>
                <w:sz w:val="17"/>
              </w:rPr>
              <w:t>2. Core systems</w:t>
            </w:r>
          </w:p>
        </w:tc>
        <w:tc>
          <w:tcPr>
            <w:tcW w:type="dxa" w:w="1872"/>
            <w:vAlign w:val="center"/>
          </w:tcPr>
          <w:p>
            <w:pPr>
              <w:spacing w:after="0"/>
            </w:pPr>
            <w:r/>
            <w:r>
              <w:rPr>
                <w:b w:val="0"/>
                <w:color w:val="000000"/>
                <w:sz w:val="17"/>
              </w:rPr>
              <w:t>Weeks 2–3</w:t>
            </w:r>
          </w:p>
        </w:tc>
        <w:tc>
          <w:tcPr>
            <w:tcW w:type="dxa" w:w="5976"/>
            <w:vAlign w:val="center"/>
          </w:tcPr>
          <w:p>
            <w:pPr>
              <w:spacing w:after="0"/>
            </w:pPr>
            <w:r/>
            <w:r>
              <w:rPr>
                <w:b w:val="0"/>
                <w:color w:val="000000"/>
                <w:sz w:val="17"/>
              </w:rPr>
              <w:t>Game-state shell, player controller, procedural generation skeleton, core combat/power-up scaffolding.</w:t>
            </w:r>
          </w:p>
        </w:tc>
      </w:tr>
      <w:tr>
        <w:tc>
          <w:tcPr>
            <w:tcW w:type="dxa" w:w="2664"/>
            <w:vAlign w:val="center"/>
          </w:tcPr>
          <w:p>
            <w:pPr>
              <w:spacing w:after="0"/>
            </w:pPr>
            <w:r/>
            <w:r>
              <w:rPr>
                <w:b w:val="0"/>
                <w:color w:val="000000"/>
                <w:sz w:val="17"/>
              </w:rPr>
              <w:t>3. Feature completion</w:t>
            </w:r>
          </w:p>
        </w:tc>
        <w:tc>
          <w:tcPr>
            <w:tcW w:type="dxa" w:w="1872"/>
            <w:vAlign w:val="center"/>
          </w:tcPr>
          <w:p>
            <w:pPr>
              <w:spacing w:after="0"/>
            </w:pPr>
            <w:r/>
            <w:r>
              <w:rPr>
                <w:b w:val="0"/>
                <w:color w:val="000000"/>
                <w:sz w:val="17"/>
              </w:rPr>
              <w:t>Weeks 4–6</w:t>
            </w:r>
          </w:p>
        </w:tc>
        <w:tc>
          <w:tcPr>
            <w:tcW w:type="dxa" w:w="5976"/>
            <w:vAlign w:val="center"/>
          </w:tcPr>
          <w:p>
            <w:pPr>
              <w:spacing w:after="0"/>
            </w:pPr>
            <w:r/>
            <w:r>
              <w:rPr>
                <w:b w:val="0"/>
                <w:color w:val="000000"/>
                <w:sz w:val="17"/>
              </w:rPr>
              <w:t>Functional enemies/hazards, power-ups, procedural scaling, UI/HUD flows, meta progression and persistence.</w:t>
            </w:r>
          </w:p>
        </w:tc>
      </w:tr>
      <w:tr>
        <w:tc>
          <w:tcPr>
            <w:tcW w:type="dxa" w:w="2664"/>
            <w:vAlign w:val="center"/>
          </w:tcPr>
          <w:p>
            <w:pPr>
              <w:spacing w:after="0"/>
            </w:pPr>
            <w:r/>
            <w:r>
              <w:rPr>
                <w:b w:val="0"/>
                <w:color w:val="000000"/>
                <w:sz w:val="17"/>
              </w:rPr>
              <w:t>4. Integration</w:t>
            </w:r>
          </w:p>
        </w:tc>
        <w:tc>
          <w:tcPr>
            <w:tcW w:type="dxa" w:w="1872"/>
            <w:vAlign w:val="center"/>
          </w:tcPr>
          <w:p>
            <w:pPr>
              <w:spacing w:after="0"/>
            </w:pPr>
            <w:r/>
            <w:r>
              <w:rPr>
                <w:b w:val="0"/>
                <w:color w:val="000000"/>
                <w:sz w:val="17"/>
              </w:rPr>
              <w:t>Weeks 7–8</w:t>
            </w:r>
          </w:p>
        </w:tc>
        <w:tc>
          <w:tcPr>
            <w:tcW w:type="dxa" w:w="5976"/>
            <w:vAlign w:val="center"/>
          </w:tcPr>
          <w:p>
            <w:pPr>
              <w:spacing w:after="0"/>
            </w:pPr>
            <w:r/>
            <w:r>
              <w:rPr>
                <w:b w:val="0"/>
                <w:color w:val="000000"/>
                <w:sz w:val="17"/>
              </w:rPr>
              <w:t>Wire all public interfaces, run start/end flows, HUD updates, currency/upgrade integration, and scene integration.</w:t>
            </w:r>
          </w:p>
        </w:tc>
      </w:tr>
      <w:tr>
        <w:tc>
          <w:tcPr>
            <w:tcW w:type="dxa" w:w="2664"/>
            <w:vAlign w:val="center"/>
          </w:tcPr>
          <w:p>
            <w:pPr>
              <w:spacing w:after="0"/>
            </w:pPr>
            <w:r/>
            <w:r>
              <w:rPr>
                <w:b w:val="0"/>
                <w:color w:val="000000"/>
                <w:sz w:val="17"/>
              </w:rPr>
              <w:t>5. System testing</w:t>
            </w:r>
          </w:p>
        </w:tc>
        <w:tc>
          <w:tcPr>
            <w:tcW w:type="dxa" w:w="1872"/>
            <w:vAlign w:val="center"/>
          </w:tcPr>
          <w:p>
            <w:pPr>
              <w:spacing w:after="0"/>
            </w:pPr>
            <w:r/>
            <w:r>
              <w:rPr>
                <w:b w:val="0"/>
                <w:color w:val="000000"/>
                <w:sz w:val="17"/>
              </w:rPr>
              <w:t>Weeks 9–10</w:t>
            </w:r>
          </w:p>
        </w:tc>
        <w:tc>
          <w:tcPr>
            <w:tcW w:type="dxa" w:w="5976"/>
            <w:vAlign w:val="center"/>
          </w:tcPr>
          <w:p>
            <w:pPr>
              <w:spacing w:after="0"/>
            </w:pPr>
            <w:r/>
            <w:r>
              <w:rPr>
                <w:b w:val="0"/>
                <w:color w:val="000000"/>
                <w:sz w:val="17"/>
              </w:rPr>
              <w:t>Boundary, stress, regression, and end-to-end testing; performance and defect correction.</w:t>
            </w:r>
          </w:p>
        </w:tc>
      </w:tr>
      <w:tr>
        <w:tc>
          <w:tcPr>
            <w:tcW w:type="dxa" w:w="2664"/>
            <w:vAlign w:val="center"/>
          </w:tcPr>
          <w:p>
            <w:pPr>
              <w:spacing w:after="0"/>
            </w:pPr>
            <w:r/>
            <w:r>
              <w:rPr>
                <w:b w:val="0"/>
                <w:color w:val="000000"/>
                <w:sz w:val="17"/>
              </w:rPr>
              <w:t>6. Final handoff</w:t>
            </w:r>
          </w:p>
        </w:tc>
        <w:tc>
          <w:tcPr>
            <w:tcW w:type="dxa" w:w="1872"/>
            <w:vAlign w:val="center"/>
          </w:tcPr>
          <w:p>
            <w:pPr>
              <w:spacing w:after="0"/>
            </w:pPr>
            <w:r/>
            <w:r>
              <w:rPr>
                <w:b w:val="0"/>
                <w:color w:val="000000"/>
                <w:sz w:val="17"/>
              </w:rPr>
              <w:t>Week 11 or earlier</w:t>
            </w:r>
          </w:p>
        </w:tc>
        <w:tc>
          <w:tcPr>
            <w:tcW w:type="dxa" w:w="5976"/>
            <w:vAlign w:val="center"/>
          </w:tcPr>
          <w:p>
            <w:pPr>
              <w:spacing w:after="0"/>
            </w:pPr>
            <w:r/>
            <w:r>
              <w:rPr>
                <w:b w:val="0"/>
                <w:color w:val="000000"/>
                <w:sz w:val="17"/>
              </w:rPr>
              <w:t>Final build, source package, documentation, acceptance evidence, and known-issues handoff.</w:t>
            </w:r>
          </w:p>
        </w:tc>
      </w:tr>
    </w:tbl>
    <w:p>
      <w:pPr>
        <w:spacing w:after="40"/>
      </w:pPr>
    </w:p>
    <w:p>
      <w:pPr>
        <w:spacing w:after="80"/>
      </w:pPr>
      <w:r>
        <w:rPr>
          <w:i/>
          <w:color w:val="595959"/>
          <w:sz w:val="17"/>
        </w:rPr>
        <w:t>The schedule is a planning framework derived from the supplied project timeline and the stated 2.5-month completion window. Respondents may propose a different sequencing only if the proposal identifies dependencies and preserves the required completion window.</w:t>
      </w:r>
    </w:p>
    <w:p>
      <w:pPr>
        <w:pStyle w:val="Heading1"/>
        <w:spacing w:before="180" w:after="80"/>
      </w:pPr>
      <w:r>
        <w:t>10. Estimated Project Budget</w:t>
      </w:r>
    </w:p>
    <w:p>
      <w:pPr>
        <w:spacing w:after="100" w:line="250" w:lineRule="auto"/>
      </w:pPr>
      <w:r>
        <w:rPr>
          <w:sz w:val="20"/>
        </w:rPr>
        <w:t>The budget in this RFP is an estimate for planning and proposal comparison. The supplied project plan assigns approximately 52 core hours to each of the six feature areas, for an initial project effort of approximately 312 core hours. The TL5 Champion Document separately identifies a 56-hour base estimate and a 15% project-level contingency, resulting in a 64.5-hour planning figure for that feature. Those figures indicate the scale of work rather than a guaranteed vendor price.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736"/>
            <w:vAlign w:val="center"/>
            <w:shd w:fill="1F4E78"/>
          </w:tcPr>
          <w:p>
            <w:pPr>
              <w:spacing w:after="0"/>
            </w:pPr>
            <w:r/>
            <w:r>
              <w:rPr>
                <w:b/>
                <w:color w:val="FFFFFF"/>
                <w:sz w:val="17"/>
              </w:rPr>
              <w:t>Budget component</w:t>
            </w:r>
          </w:p>
        </w:tc>
        <w:tc>
          <w:tcPr>
            <w:tcW w:type="dxa" w:w="2304"/>
            <w:vAlign w:val="center"/>
            <w:shd w:fill="1F4E78"/>
          </w:tcPr>
          <w:p>
            <w:pPr>
              <w:spacing w:after="0"/>
            </w:pPr>
            <w:r/>
            <w:r>
              <w:rPr>
                <w:b/>
                <w:color w:val="FFFFFF"/>
                <w:sz w:val="17"/>
              </w:rPr>
              <w:t>Planning estimate</w:t>
            </w:r>
          </w:p>
        </w:tc>
        <w:tc>
          <w:tcPr>
            <w:tcW w:type="dxa" w:w="5472"/>
            <w:vAlign w:val="center"/>
            <w:shd w:fill="1F4E78"/>
          </w:tcPr>
          <w:p>
            <w:pPr>
              <w:spacing w:after="0"/>
            </w:pPr>
            <w:r/>
            <w:r>
              <w:rPr>
                <w:b/>
                <w:color w:val="FFFFFF"/>
                <w:sz w:val="17"/>
              </w:rPr>
              <w:t>Basis / assumption</w:t>
            </w:r>
          </w:p>
        </w:tc>
      </w:tr>
      <w:tr>
        <w:tc>
          <w:tcPr>
            <w:tcW w:type="dxa" w:w="2736"/>
            <w:vAlign w:val="center"/>
          </w:tcPr>
          <w:p>
            <w:pPr>
              <w:spacing w:after="0"/>
            </w:pPr>
            <w:r/>
            <w:r>
              <w:rPr>
                <w:b w:val="0"/>
                <w:color w:val="000000"/>
                <w:sz w:val="17"/>
              </w:rPr>
              <w:t>Core implementation effort</w:t>
            </w:r>
          </w:p>
        </w:tc>
        <w:tc>
          <w:tcPr>
            <w:tcW w:type="dxa" w:w="2304"/>
            <w:vAlign w:val="center"/>
          </w:tcPr>
          <w:p>
            <w:pPr>
              <w:spacing w:after="0"/>
            </w:pPr>
            <w:r/>
            <w:r>
              <w:rPr>
                <w:b w:val="0"/>
                <w:color w:val="000000"/>
                <w:sz w:val="17"/>
              </w:rPr>
              <w:t>312 hours</w:t>
            </w:r>
          </w:p>
        </w:tc>
        <w:tc>
          <w:tcPr>
            <w:tcW w:type="dxa" w:w="5472"/>
            <w:vAlign w:val="center"/>
          </w:tcPr>
          <w:p>
            <w:pPr>
              <w:spacing w:after="0"/>
            </w:pPr>
            <w:r/>
            <w:r>
              <w:rPr>
                <w:b w:val="0"/>
                <w:color w:val="000000"/>
                <w:sz w:val="17"/>
              </w:rPr>
              <w:t>6 feature areas x approximately 52 hours each, from the project plan.</w:t>
            </w:r>
          </w:p>
        </w:tc>
      </w:tr>
      <w:tr>
        <w:tc>
          <w:tcPr>
            <w:tcW w:type="dxa" w:w="2736"/>
            <w:vAlign w:val="center"/>
          </w:tcPr>
          <w:p>
            <w:pPr>
              <w:spacing w:after="0"/>
            </w:pPr>
            <w:r/>
            <w:r>
              <w:rPr>
                <w:b w:val="0"/>
                <w:color w:val="000000"/>
                <w:sz w:val="17"/>
              </w:rPr>
              <w:t>Project contingency / integration allowance</w:t>
            </w:r>
          </w:p>
        </w:tc>
        <w:tc>
          <w:tcPr>
            <w:tcW w:type="dxa" w:w="2304"/>
            <w:vAlign w:val="center"/>
          </w:tcPr>
          <w:p>
            <w:pPr>
              <w:spacing w:after="0"/>
            </w:pPr>
            <w:r/>
            <w:r>
              <w:rPr>
                <w:b w:val="0"/>
                <w:color w:val="000000"/>
                <w:sz w:val="17"/>
              </w:rPr>
              <w:t>approximately 15%</w:t>
            </w:r>
          </w:p>
        </w:tc>
        <w:tc>
          <w:tcPr>
            <w:tcW w:type="dxa" w:w="5472"/>
            <w:vAlign w:val="center"/>
          </w:tcPr>
          <w:p>
            <w:pPr>
              <w:spacing w:after="0"/>
            </w:pPr>
            <w:r/>
            <w:r>
              <w:rPr>
                <w:b w:val="0"/>
                <w:color w:val="000000"/>
                <w:sz w:val="17"/>
              </w:rPr>
              <w:t>Planning allowance for integration, rework, defect correction, and cross-feature coordination.</w:t>
            </w:r>
          </w:p>
        </w:tc>
      </w:tr>
      <w:tr>
        <w:tc>
          <w:tcPr>
            <w:tcW w:type="dxa" w:w="2736"/>
            <w:vAlign w:val="center"/>
          </w:tcPr>
          <w:p>
            <w:pPr>
              <w:spacing w:after="0"/>
            </w:pPr>
            <w:r/>
            <w:r>
              <w:rPr>
                <w:b w:val="0"/>
                <w:color w:val="000000"/>
                <w:sz w:val="17"/>
              </w:rPr>
              <w:t>Overall planning effort</w:t>
            </w:r>
          </w:p>
        </w:tc>
        <w:tc>
          <w:tcPr>
            <w:tcW w:type="dxa" w:w="2304"/>
            <w:vAlign w:val="center"/>
          </w:tcPr>
          <w:p>
            <w:pPr>
              <w:spacing w:after="0"/>
            </w:pPr>
            <w:r/>
            <w:r>
              <w:rPr>
                <w:b w:val="0"/>
                <w:color w:val="000000"/>
                <w:sz w:val="17"/>
              </w:rPr>
              <w:t>approximately 360 hours</w:t>
            </w:r>
          </w:p>
        </w:tc>
        <w:tc>
          <w:tcPr>
            <w:tcW w:type="dxa" w:w="5472"/>
            <w:vAlign w:val="center"/>
          </w:tcPr>
          <w:p>
            <w:pPr>
              <w:spacing w:after="0"/>
            </w:pPr>
            <w:r/>
            <w:r>
              <w:rPr>
                <w:b w:val="0"/>
                <w:color w:val="000000"/>
                <w:sz w:val="17"/>
              </w:rPr>
              <w:t>Rounded planning figure for the full project including contingency.</w:t>
            </w:r>
          </w:p>
        </w:tc>
      </w:tr>
      <w:tr>
        <w:tc>
          <w:tcPr>
            <w:tcW w:type="dxa" w:w="2736"/>
            <w:vAlign w:val="center"/>
          </w:tcPr>
          <w:p>
            <w:pPr>
              <w:spacing w:after="0"/>
            </w:pPr>
            <w:r/>
            <w:r>
              <w:rPr>
                <w:b w:val="0"/>
                <w:color w:val="000000"/>
                <w:sz w:val="17"/>
              </w:rPr>
              <w:t>Illustrative labor budget</w:t>
            </w:r>
          </w:p>
        </w:tc>
        <w:tc>
          <w:tcPr>
            <w:tcW w:type="dxa" w:w="2304"/>
            <w:vAlign w:val="center"/>
          </w:tcPr>
          <w:p>
            <w:pPr>
              <w:spacing w:after="0"/>
            </w:pPr>
            <w:r/>
            <w:r>
              <w:rPr>
                <w:b w:val="0"/>
                <w:color w:val="000000"/>
                <w:sz w:val="17"/>
              </w:rPr>
              <w:t>$25,000–$40,000</w:t>
            </w:r>
          </w:p>
        </w:tc>
        <w:tc>
          <w:tcPr>
            <w:tcW w:type="dxa" w:w="5472"/>
            <w:vAlign w:val="center"/>
          </w:tcPr>
          <w:p>
            <w:pPr>
              <w:spacing w:after="0"/>
            </w:pPr>
            <w:r/>
            <w:r>
              <w:rPr>
                <w:b w:val="0"/>
                <w:color w:val="000000"/>
                <w:sz w:val="17"/>
              </w:rPr>
              <w:t>Planning range, not a quoted price; assumes a blended vendor rate of roughly $70–$110/hour.</w:t>
            </w:r>
          </w:p>
        </w:tc>
      </w:tr>
      <w:tr>
        <w:tc>
          <w:tcPr>
            <w:tcW w:type="dxa" w:w="2736"/>
            <w:vAlign w:val="center"/>
          </w:tcPr>
          <w:p>
            <w:pPr>
              <w:spacing w:after="0"/>
            </w:pPr>
            <w:r/>
            <w:r>
              <w:rPr>
                <w:b w:val="0"/>
                <w:color w:val="000000"/>
                <w:sz w:val="17"/>
              </w:rPr>
              <w:t>Third-party software / licenses</w:t>
            </w:r>
          </w:p>
        </w:tc>
        <w:tc>
          <w:tcPr>
            <w:tcW w:type="dxa" w:w="2304"/>
            <w:vAlign w:val="center"/>
          </w:tcPr>
          <w:p>
            <w:pPr>
              <w:spacing w:after="0"/>
            </w:pPr>
            <w:r/>
            <w:r>
              <w:rPr>
                <w:b w:val="0"/>
                <w:color w:val="000000"/>
                <w:sz w:val="17"/>
              </w:rPr>
              <w:t>Excluded unless proposed</w:t>
            </w:r>
          </w:p>
        </w:tc>
        <w:tc>
          <w:tcPr>
            <w:tcW w:type="dxa" w:w="5472"/>
            <w:vAlign w:val="center"/>
          </w:tcPr>
          <w:p>
            <w:pPr>
              <w:spacing w:after="0"/>
            </w:pPr>
            <w:r/>
            <w:r>
              <w:rPr>
                <w:b w:val="0"/>
                <w:color w:val="000000"/>
                <w:sz w:val="17"/>
              </w:rPr>
              <w:t>Respondent shall identify any required paid tools, packages, assets, hosting, or services separately.</w:t>
            </w:r>
          </w:p>
        </w:tc>
      </w:tr>
    </w:tbl>
    <w:p>
      <w:pPr>
        <w:spacing w:after="40"/>
      </w:pPr>
    </w:p>
    <w:p>
      <w:pPr>
        <w:spacing w:after="80"/>
      </w:pPr>
      <w:r>
        <w:rPr>
          <w:i/>
          <w:color w:val="595959"/>
          <w:sz w:val="17"/>
        </w:rPr>
        <w:t>Budget note: the monetary range is an RFP planning estimate because the source documents provide effort estimates but do not specify a vendor billing rate or approved dollar ceiling. Respondents should provide a detailed price and assumptions so the issuing team can replace this estimate with an actual proposal value.</w:t>
      </w:r>
    </w:p>
    <w:p>
      <w:pPr>
        <w:pStyle w:val="Heading1"/>
        <w:spacing w:before="180" w:after="80"/>
      </w:pPr>
      <w:r>
        <w:t>11. Vendor / Respondent Proposal Requirements</w:t>
      </w:r>
    </w:p>
    <w:p>
      <w:pPr>
        <w:spacing w:after="100" w:line="250" w:lineRule="auto"/>
      </w:pPr>
      <w:r>
        <w:rPr>
          <w:sz w:val="20"/>
        </w:rPr>
        <w:t>Proposals should be concise enough to evaluate but detailed enough to demonstrate that the respondent can deliver the complete project within the stated window.</w:t>
      </w:r>
    </w:p>
    <w:p>
      <w:pPr>
        <w:pStyle w:val="ListBullet"/>
        <w:spacing w:after="40"/>
        <w:ind w:left="360"/>
      </w:pPr>
      <w:r>
        <w:rPr>
          <w:sz w:val="20"/>
        </w:rPr>
        <w:t>Executive summary and understanding of the project.</w:t>
      </w:r>
    </w:p>
    <w:p>
      <w:pPr>
        <w:pStyle w:val="ListBullet"/>
        <w:spacing w:after="40"/>
        <w:ind w:left="360"/>
      </w:pPr>
      <w:r>
        <w:rPr>
          <w:sz w:val="20"/>
        </w:rPr>
        <w:t>Proposed technical approach for all six feature areas.</w:t>
      </w:r>
    </w:p>
    <w:p>
      <w:pPr>
        <w:pStyle w:val="ListBullet"/>
        <w:spacing w:after="40"/>
        <w:ind w:left="360"/>
      </w:pPr>
      <w:r>
        <w:rPr>
          <w:sz w:val="20"/>
        </w:rPr>
        <w:t>Integration strategy and approach to preserving public interfaces and low coupling.</w:t>
      </w:r>
    </w:p>
    <w:p>
      <w:pPr>
        <w:pStyle w:val="ListBullet"/>
        <w:spacing w:after="40"/>
        <w:ind w:left="360"/>
      </w:pPr>
      <w:r>
        <w:rPr>
          <w:sz w:val="20"/>
        </w:rPr>
        <w:t>Project schedule mapped to the approximately 10–11 week target.</w:t>
      </w:r>
    </w:p>
    <w:p>
      <w:pPr>
        <w:pStyle w:val="ListBullet"/>
        <w:spacing w:after="40"/>
        <w:ind w:left="360"/>
      </w:pPr>
      <w:r>
        <w:rPr>
          <w:sz w:val="20"/>
        </w:rPr>
        <w:t>Staffing plan identifying roles, estimated effort, and availability.</w:t>
      </w:r>
    </w:p>
    <w:p>
      <w:pPr>
        <w:pStyle w:val="ListBullet"/>
        <w:spacing w:after="40"/>
        <w:ind w:left="360"/>
      </w:pPr>
      <w:r>
        <w:rPr>
          <w:sz w:val="20"/>
        </w:rPr>
        <w:t>Detailed fixed-price or time-and-materials cost proposal, including assumptions and exclusions.</w:t>
      </w:r>
    </w:p>
    <w:p>
      <w:pPr>
        <w:pStyle w:val="ListBullet"/>
        <w:spacing w:after="40"/>
        <w:ind w:left="360"/>
      </w:pPr>
      <w:r>
        <w:rPr>
          <w:sz w:val="20"/>
        </w:rPr>
        <w:t>Testing and quality-assurance approach, including acceptance evidence.</w:t>
      </w:r>
    </w:p>
    <w:p>
      <w:pPr>
        <w:pStyle w:val="ListBullet"/>
        <w:spacing w:after="40"/>
        <w:ind w:left="360"/>
      </w:pPr>
      <w:r>
        <w:rPr>
          <w:sz w:val="20"/>
        </w:rPr>
        <w:t>Documentation and handoff approach.</w:t>
      </w:r>
    </w:p>
    <w:p>
      <w:pPr>
        <w:pStyle w:val="ListBullet"/>
        <w:spacing w:after="40"/>
        <w:ind w:left="360"/>
      </w:pPr>
      <w:r>
        <w:rPr>
          <w:sz w:val="20"/>
        </w:rPr>
        <w:t>Identification of risks, dependencies, and proposed mitigations.</w:t>
      </w:r>
    </w:p>
    <w:p>
      <w:pPr>
        <w:pStyle w:val="ListBullet"/>
        <w:spacing w:after="40"/>
        <w:ind w:left="360"/>
      </w:pPr>
      <w:r>
        <w:rPr>
          <w:sz w:val="20"/>
        </w:rPr>
        <w:t>Relevant Unity/C# game-development experience or representative examples.</w:t>
      </w:r>
    </w:p>
    <w:p>
      <w:pPr>
        <w:pStyle w:val="Heading1"/>
        <w:spacing w:before="180" w:after="80"/>
      </w:pPr>
      <w:r>
        <w:t>12. Proposal Evaluation Framework</w:t>
      </w:r>
    </w:p>
    <w:p>
      <w:pPr>
        <w:spacing w:after="100" w:line="250" w:lineRule="auto"/>
      </w:pPr>
      <w:r>
        <w:rPr>
          <w:sz w:val="20"/>
        </w:rPr>
        <w:t>The issuing team may evaluate proposals using the following categories. The categories are intended to support a transparent comparison and may be adjusted when the final procurement process is established.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F4E78"/>
          </w:tcPr>
          <w:p>
            <w:pPr>
              <w:spacing w:after="0"/>
            </w:pPr>
            <w:r/>
            <w:r>
              <w:rPr>
                <w:b/>
                <w:color w:val="FFFFFF"/>
                <w:sz w:val="17"/>
              </w:rPr>
              <w:t>Evaluation category</w:t>
            </w:r>
          </w:p>
        </w:tc>
        <w:tc>
          <w:tcPr>
            <w:tcW w:type="dxa" w:w="8064"/>
            <w:vAlign w:val="center"/>
            <w:shd w:fill="1F4E78"/>
          </w:tcPr>
          <w:p>
            <w:pPr>
              <w:spacing w:after="0"/>
            </w:pPr>
            <w:r/>
            <w:r>
              <w:rPr>
                <w:b/>
                <w:color w:val="FFFFFF"/>
                <w:sz w:val="17"/>
              </w:rPr>
              <w:t>What will be considered</w:t>
            </w:r>
          </w:p>
        </w:tc>
      </w:tr>
      <w:tr>
        <w:tc>
          <w:tcPr>
            <w:tcW w:type="dxa" w:w="2448"/>
            <w:vAlign w:val="center"/>
          </w:tcPr>
          <w:p>
            <w:pPr>
              <w:spacing w:after="0"/>
            </w:pPr>
            <w:r/>
            <w:r>
              <w:rPr>
                <w:b w:val="0"/>
                <w:color w:val="000000"/>
                <w:sz w:val="17"/>
              </w:rPr>
              <w:t>Technical fit</w:t>
            </w:r>
          </w:p>
        </w:tc>
        <w:tc>
          <w:tcPr>
            <w:tcW w:type="dxa" w:w="8064"/>
            <w:vAlign w:val="center"/>
          </w:tcPr>
          <w:p>
            <w:pPr>
              <w:spacing w:after="0"/>
            </w:pPr>
            <w:r/>
            <w:r>
              <w:rPr>
                <w:b w:val="0"/>
                <w:color w:val="000000"/>
                <w:sz w:val="17"/>
              </w:rPr>
              <w:t>Ability to meet Unity/C#, architecture, integration, persistence, gameplay, and testing requirements.</w:t>
            </w:r>
          </w:p>
        </w:tc>
      </w:tr>
      <w:tr>
        <w:tc>
          <w:tcPr>
            <w:tcW w:type="dxa" w:w="2448"/>
            <w:vAlign w:val="center"/>
          </w:tcPr>
          <w:p>
            <w:pPr>
              <w:spacing w:after="0"/>
            </w:pPr>
            <w:r/>
            <w:r>
              <w:rPr>
                <w:b w:val="0"/>
                <w:color w:val="000000"/>
                <w:sz w:val="17"/>
              </w:rPr>
              <w:t>Schedule feasibility</w:t>
            </w:r>
          </w:p>
        </w:tc>
        <w:tc>
          <w:tcPr>
            <w:tcW w:type="dxa" w:w="8064"/>
            <w:vAlign w:val="center"/>
          </w:tcPr>
          <w:p>
            <w:pPr>
              <w:spacing w:after="0"/>
            </w:pPr>
            <w:r/>
            <w:r>
              <w:rPr>
                <w:b w:val="0"/>
                <w:color w:val="000000"/>
                <w:sz w:val="17"/>
              </w:rPr>
              <w:t>Credibility of completing the full scope within approximately 10–11 weeks.</w:t>
            </w:r>
          </w:p>
        </w:tc>
      </w:tr>
      <w:tr>
        <w:tc>
          <w:tcPr>
            <w:tcW w:type="dxa" w:w="2448"/>
            <w:vAlign w:val="center"/>
          </w:tcPr>
          <w:p>
            <w:pPr>
              <w:spacing w:after="0"/>
            </w:pPr>
            <w:r/>
            <w:r>
              <w:rPr>
                <w:b w:val="0"/>
                <w:color w:val="000000"/>
                <w:sz w:val="17"/>
              </w:rPr>
              <w:t>Cost transparency</w:t>
            </w:r>
          </w:p>
        </w:tc>
        <w:tc>
          <w:tcPr>
            <w:tcW w:type="dxa" w:w="8064"/>
            <w:vAlign w:val="center"/>
          </w:tcPr>
          <w:p>
            <w:pPr>
              <w:spacing w:after="0"/>
            </w:pPr>
            <w:r/>
            <w:r>
              <w:rPr>
                <w:b w:val="0"/>
                <w:color w:val="000000"/>
                <w:sz w:val="17"/>
              </w:rPr>
              <w:t>Clarity of pricing, assumptions, contingency, exclusions, and licensing costs.</w:t>
            </w:r>
          </w:p>
        </w:tc>
      </w:tr>
      <w:tr>
        <w:tc>
          <w:tcPr>
            <w:tcW w:type="dxa" w:w="2448"/>
            <w:vAlign w:val="center"/>
          </w:tcPr>
          <w:p>
            <w:pPr>
              <w:spacing w:after="0"/>
            </w:pPr>
            <w:r/>
            <w:r>
              <w:rPr>
                <w:b w:val="0"/>
                <w:color w:val="000000"/>
                <w:sz w:val="17"/>
              </w:rPr>
              <w:t>Delivery approach</w:t>
            </w:r>
          </w:p>
        </w:tc>
        <w:tc>
          <w:tcPr>
            <w:tcW w:type="dxa" w:w="8064"/>
            <w:vAlign w:val="center"/>
          </w:tcPr>
          <w:p>
            <w:pPr>
              <w:spacing w:after="0"/>
            </w:pPr>
            <w:r/>
            <w:r>
              <w:rPr>
                <w:b w:val="0"/>
                <w:color w:val="000000"/>
                <w:sz w:val="17"/>
              </w:rPr>
              <w:t>Milestones, communication, source-control practices, testing, and handoff discipline.</w:t>
            </w:r>
          </w:p>
        </w:tc>
      </w:tr>
      <w:tr>
        <w:tc>
          <w:tcPr>
            <w:tcW w:type="dxa" w:w="2448"/>
            <w:vAlign w:val="center"/>
          </w:tcPr>
          <w:p>
            <w:pPr>
              <w:spacing w:after="0"/>
            </w:pPr>
            <w:r/>
            <w:r>
              <w:rPr>
                <w:b w:val="0"/>
                <w:color w:val="000000"/>
                <w:sz w:val="17"/>
              </w:rPr>
              <w:t>Relevant experience</w:t>
            </w:r>
          </w:p>
        </w:tc>
        <w:tc>
          <w:tcPr>
            <w:tcW w:type="dxa" w:w="8064"/>
            <w:vAlign w:val="center"/>
          </w:tcPr>
          <w:p>
            <w:pPr>
              <w:spacing w:after="0"/>
            </w:pPr>
            <w:r/>
            <w:r>
              <w:rPr>
                <w:b w:val="0"/>
                <w:color w:val="000000"/>
                <w:sz w:val="17"/>
              </w:rPr>
              <w:t>Evidence of successful Unity/C# and 2D gameplay development work.</w:t>
            </w:r>
          </w:p>
        </w:tc>
      </w:tr>
      <w:tr>
        <w:tc>
          <w:tcPr>
            <w:tcW w:type="dxa" w:w="2448"/>
            <w:vAlign w:val="center"/>
          </w:tcPr>
          <w:p>
            <w:pPr>
              <w:spacing w:after="0"/>
            </w:pPr>
            <w:r/>
            <w:r>
              <w:rPr>
                <w:b w:val="0"/>
                <w:color w:val="000000"/>
                <w:sz w:val="17"/>
              </w:rPr>
              <w:t>Risk management</w:t>
            </w:r>
          </w:p>
        </w:tc>
        <w:tc>
          <w:tcPr>
            <w:tcW w:type="dxa" w:w="8064"/>
            <w:vAlign w:val="center"/>
          </w:tcPr>
          <w:p>
            <w:pPr>
              <w:spacing w:after="0"/>
            </w:pPr>
            <w:r/>
            <w:r>
              <w:rPr>
                <w:b w:val="0"/>
                <w:color w:val="000000"/>
                <w:sz w:val="17"/>
              </w:rPr>
              <w:t>Identification and mitigation of integration, performance, persistence, and schedule risks.</w:t>
            </w:r>
          </w:p>
        </w:tc>
      </w:tr>
    </w:tbl>
    <w:p>
      <w:pPr>
        <w:spacing w:after="40"/>
      </w:pPr>
    </w:p>
    <w:p>
      <w:pPr>
        <w:pStyle w:val="Heading1"/>
        <w:spacing w:before="180" w:after="80"/>
      </w:pPr>
      <w:r>
        <w:t>13. Key Assumptions &amp; Constraints</w:t>
      </w:r>
    </w:p>
    <w:p>
      <w:pPr>
        <w:pStyle w:val="ListBullet"/>
        <w:spacing w:after="40"/>
        <w:ind w:left="360"/>
      </w:pPr>
      <w:r>
        <w:rPr>
          <w:sz w:val="20"/>
        </w:rPr>
        <w:t>The project remains a Unity/C# PC build for the scope of this RFP.</w:t>
      </w:r>
    </w:p>
    <w:p>
      <w:pPr>
        <w:pStyle w:val="ListBullet"/>
        <w:spacing w:after="40"/>
        <w:ind w:left="360"/>
      </w:pPr>
      <w:r>
        <w:rPr>
          <w:sz w:val="20"/>
        </w:rPr>
        <w:t>The six major feature areas remain in scope unless formally changed.</w:t>
      </w:r>
    </w:p>
    <w:p>
      <w:pPr>
        <w:pStyle w:val="ListBullet"/>
        <w:spacing w:after="40"/>
        <w:ind w:left="360"/>
      </w:pPr>
      <w:r>
        <w:rPr>
          <w:sz w:val="20"/>
        </w:rPr>
        <w:t>Public interfaces are to be frozen early enough to support integration; later changes require documented coordination and may affect cost/schedule.</w:t>
      </w:r>
    </w:p>
    <w:p>
      <w:pPr>
        <w:pStyle w:val="ListBullet"/>
        <w:spacing w:after="40"/>
        <w:ind w:left="360"/>
      </w:pPr>
      <w:r>
        <w:rPr>
          <w:sz w:val="20"/>
        </w:rPr>
        <w:t>TL1 owns the integration scene, while other feature work may be developed in isolated test scenes/prefabs to reduce scene merge conflicts.</w:t>
      </w:r>
    </w:p>
    <w:p>
      <w:pPr>
        <w:pStyle w:val="ListBullet"/>
        <w:spacing w:after="40"/>
        <w:ind w:left="360"/>
      </w:pPr>
      <w:r>
        <w:rPr>
          <w:sz w:val="20"/>
        </w:rPr>
        <w:t>The local save file is treated as untrusted input and must be validated on load.</w:t>
      </w:r>
    </w:p>
    <w:p>
      <w:pPr>
        <w:pStyle w:val="ListBullet"/>
        <w:spacing w:after="40"/>
        <w:ind w:left="360"/>
      </w:pPr>
      <w:r>
        <w:rPr>
          <w:sz w:val="20"/>
        </w:rPr>
        <w:t>The RFP does not assume online services, multiplayer, cloud saves, or external backend infrastructure unless explicitly proposed as an option.</w:t>
      </w:r>
    </w:p>
    <w:p>
      <w:pPr>
        <w:pStyle w:val="ListBullet"/>
        <w:spacing w:after="40"/>
        <w:ind w:left="360"/>
      </w:pPr>
      <w:r>
        <w:rPr>
          <w:sz w:val="20"/>
        </w:rPr>
        <w:t>Any scope addition that introduces substantial new gameplay systems, platforms, or online services should be quoted as a change or option.</w:t>
      </w:r>
    </w:p>
    <w:p>
      <w:pPr>
        <w:pStyle w:val="Heading1"/>
        <w:spacing w:before="180" w:after="80"/>
      </w:pPr>
      <w:r>
        <w:t>14. Known Project Risks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F4E78"/>
          </w:tcPr>
          <w:p>
            <w:pPr>
              <w:spacing w:after="0"/>
            </w:pPr>
            <w:r/>
            <w:r>
              <w:rPr>
                <w:b/>
                <w:color w:val="FFFFFF"/>
                <w:sz w:val="17"/>
              </w:rPr>
              <w:t>Risk</w:t>
            </w:r>
          </w:p>
        </w:tc>
        <w:tc>
          <w:tcPr>
            <w:tcW w:type="dxa" w:w="2448"/>
            <w:vAlign w:val="center"/>
            <w:shd w:fill="1F4E78"/>
          </w:tcPr>
          <w:p>
            <w:pPr>
              <w:spacing w:after="0"/>
            </w:pPr>
            <w:r/>
            <w:r>
              <w:rPr>
                <w:b/>
                <w:color w:val="FFFFFF"/>
                <w:sz w:val="17"/>
              </w:rPr>
              <w:t>Impact</w:t>
            </w:r>
          </w:p>
        </w:tc>
        <w:tc>
          <w:tcPr>
            <w:tcW w:type="dxa" w:w="5616"/>
            <w:vAlign w:val="center"/>
            <w:shd w:fill="1F4E78"/>
          </w:tcPr>
          <w:p>
            <w:pPr>
              <w:spacing w:after="0"/>
            </w:pPr>
            <w:r/>
            <w:r>
              <w:rPr>
                <w:b/>
                <w:color w:val="FFFFFF"/>
                <w:sz w:val="17"/>
              </w:rPr>
              <w:t>Required mitigation direction</w:t>
            </w:r>
          </w:p>
        </w:tc>
      </w:tr>
      <w:tr>
        <w:tc>
          <w:tcPr>
            <w:tcW w:type="dxa" w:w="2448"/>
            <w:vAlign w:val="center"/>
          </w:tcPr>
          <w:p>
            <w:pPr>
              <w:spacing w:after="0"/>
            </w:pPr>
            <w:r/>
            <w:r>
              <w:rPr>
                <w:b w:val="0"/>
                <w:color w:val="000000"/>
                <w:sz w:val="17"/>
              </w:rPr>
              <w:t>Integration interface drift</w:t>
            </w:r>
          </w:p>
        </w:tc>
        <w:tc>
          <w:tcPr>
            <w:tcW w:type="dxa" w:w="2448"/>
            <w:vAlign w:val="center"/>
          </w:tcPr>
          <w:p>
            <w:pPr>
              <w:spacing w:after="0"/>
            </w:pPr>
            <w:r/>
            <w:r>
              <w:rPr>
                <w:b w:val="0"/>
                <w:color w:val="000000"/>
                <w:sz w:val="17"/>
              </w:rPr>
              <w:t>Rework / schedule delay</w:t>
            </w:r>
          </w:p>
        </w:tc>
        <w:tc>
          <w:tcPr>
            <w:tcW w:type="dxa" w:w="5616"/>
            <w:vAlign w:val="center"/>
          </w:tcPr>
          <w:p>
            <w:pPr>
              <w:spacing w:after="0"/>
            </w:pPr>
            <w:r/>
            <w:r>
              <w:rPr>
                <w:b w:val="0"/>
                <w:color w:val="000000"/>
                <w:sz w:val="17"/>
              </w:rPr>
              <w:t>Freeze public signatures early; changes require coordinated review.</w:t>
            </w:r>
          </w:p>
        </w:tc>
      </w:tr>
      <w:tr>
        <w:tc>
          <w:tcPr>
            <w:tcW w:type="dxa" w:w="2448"/>
            <w:vAlign w:val="center"/>
          </w:tcPr>
          <w:p>
            <w:pPr>
              <w:spacing w:after="0"/>
            </w:pPr>
            <w:r/>
            <w:r>
              <w:rPr>
                <w:b w:val="0"/>
                <w:color w:val="000000"/>
                <w:sz w:val="17"/>
              </w:rPr>
              <w:t>Endless generation performance</w:t>
            </w:r>
          </w:p>
        </w:tc>
        <w:tc>
          <w:tcPr>
            <w:tcW w:type="dxa" w:w="2448"/>
            <w:vAlign w:val="center"/>
          </w:tcPr>
          <w:p>
            <w:pPr>
              <w:spacing w:after="0"/>
            </w:pPr>
            <w:r/>
            <w:r>
              <w:rPr>
                <w:b w:val="0"/>
                <w:color w:val="000000"/>
                <w:sz w:val="17"/>
              </w:rPr>
              <w:t>Frame-rate degradation</w:t>
            </w:r>
          </w:p>
        </w:tc>
        <w:tc>
          <w:tcPr>
            <w:tcW w:type="dxa" w:w="5616"/>
            <w:vAlign w:val="center"/>
          </w:tcPr>
          <w:p>
            <w:pPr>
              <w:spacing w:after="0"/>
            </w:pPr>
            <w:r/>
            <w:r>
              <w:rPr>
                <w:b w:val="0"/>
                <w:color w:val="000000"/>
                <w:sz w:val="17"/>
              </w:rPr>
              <w:t>Profile pooling and spawn behavior before final integration.</w:t>
            </w:r>
          </w:p>
        </w:tc>
      </w:tr>
      <w:tr>
        <w:tc>
          <w:tcPr>
            <w:tcW w:type="dxa" w:w="2448"/>
            <w:vAlign w:val="center"/>
          </w:tcPr>
          <w:p>
            <w:pPr>
              <w:spacing w:after="0"/>
            </w:pPr>
            <w:r/>
            <w:r>
              <w:rPr>
                <w:b w:val="0"/>
                <w:color w:val="000000"/>
                <w:sz w:val="17"/>
              </w:rPr>
              <w:t>Save-data corruption</w:t>
            </w:r>
          </w:p>
        </w:tc>
        <w:tc>
          <w:tcPr>
            <w:tcW w:type="dxa" w:w="2448"/>
            <w:vAlign w:val="center"/>
          </w:tcPr>
          <w:p>
            <w:pPr>
              <w:spacing w:after="0"/>
            </w:pPr>
            <w:r/>
            <w:r>
              <w:rPr>
                <w:b w:val="0"/>
                <w:color w:val="000000"/>
                <w:sz w:val="17"/>
              </w:rPr>
              <w:t>Loss of progression / difficult recovery</w:t>
            </w:r>
          </w:p>
        </w:tc>
        <w:tc>
          <w:tcPr>
            <w:tcW w:type="dxa" w:w="5616"/>
            <w:vAlign w:val="center"/>
          </w:tcPr>
          <w:p>
            <w:pPr>
              <w:spacing w:after="0"/>
            </w:pPr>
            <w:r/>
            <w:r>
              <w:rPr>
                <w:b w:val="0"/>
                <w:color w:val="000000"/>
                <w:sz w:val="17"/>
              </w:rPr>
              <w:t>Versioned schema, input validation, corruption tests, safe defaults.</w:t>
            </w:r>
          </w:p>
        </w:tc>
      </w:tr>
      <w:tr>
        <w:tc>
          <w:tcPr>
            <w:tcW w:type="dxa" w:w="2448"/>
            <w:vAlign w:val="center"/>
          </w:tcPr>
          <w:p>
            <w:pPr>
              <w:spacing w:after="0"/>
            </w:pPr>
            <w:r/>
            <w:r>
              <w:rPr>
                <w:b w:val="0"/>
                <w:color w:val="000000"/>
                <w:sz w:val="17"/>
              </w:rPr>
              <w:t>Uneven feature effort</w:t>
            </w:r>
          </w:p>
        </w:tc>
        <w:tc>
          <w:tcPr>
            <w:tcW w:type="dxa" w:w="2448"/>
            <w:vAlign w:val="center"/>
          </w:tcPr>
          <w:p>
            <w:pPr>
              <w:spacing w:after="0"/>
            </w:pPr>
            <w:r/>
            <w:r>
              <w:rPr>
                <w:b w:val="0"/>
                <w:color w:val="000000"/>
                <w:sz w:val="17"/>
              </w:rPr>
              <w:t>Schedule overrun</w:t>
            </w:r>
          </w:p>
        </w:tc>
        <w:tc>
          <w:tcPr>
            <w:tcW w:type="dxa" w:w="5616"/>
            <w:vAlign w:val="center"/>
          </w:tcPr>
          <w:p>
            <w:pPr>
              <w:spacing w:after="0"/>
            </w:pPr>
            <w:r/>
            <w:r>
              <w:rPr>
                <w:b w:val="0"/>
                <w:color w:val="000000"/>
                <w:sz w:val="17"/>
              </w:rPr>
              <w:t>Track actual hours against estimates and review variance regularly.</w:t>
            </w:r>
          </w:p>
        </w:tc>
      </w:tr>
      <w:tr>
        <w:tc>
          <w:tcPr>
            <w:tcW w:type="dxa" w:w="2448"/>
            <w:vAlign w:val="center"/>
          </w:tcPr>
          <w:p>
            <w:pPr>
              <w:spacing w:after="0"/>
            </w:pPr>
            <w:r/>
            <w:r>
              <w:rPr>
                <w:b w:val="0"/>
                <w:color w:val="000000"/>
                <w:sz w:val="17"/>
              </w:rPr>
              <w:t>Integration-scene conflicts</w:t>
            </w:r>
          </w:p>
        </w:tc>
        <w:tc>
          <w:tcPr>
            <w:tcW w:type="dxa" w:w="2448"/>
            <w:vAlign w:val="center"/>
          </w:tcPr>
          <w:p>
            <w:pPr>
              <w:spacing w:after="0"/>
            </w:pPr>
            <w:r/>
            <w:r>
              <w:rPr>
                <w:b w:val="0"/>
                <w:color w:val="000000"/>
                <w:sz w:val="17"/>
              </w:rPr>
              <w:t>Merge delays / broken build</w:t>
            </w:r>
          </w:p>
        </w:tc>
        <w:tc>
          <w:tcPr>
            <w:tcW w:type="dxa" w:w="5616"/>
            <w:vAlign w:val="center"/>
          </w:tcPr>
          <w:p>
            <w:pPr>
              <w:spacing w:after="0"/>
            </w:pPr>
            <w:r/>
            <w:r>
              <w:rPr>
                <w:b w:val="0"/>
                <w:color w:val="000000"/>
                <w:sz w:val="17"/>
              </w:rPr>
              <w:t>Maintain clear ownership of the integration scene and isolated test scenes.</w:t>
            </w:r>
          </w:p>
        </w:tc>
      </w:tr>
      <w:tr>
        <w:tc>
          <w:tcPr>
            <w:tcW w:type="dxa" w:w="2448"/>
            <w:vAlign w:val="center"/>
          </w:tcPr>
          <w:p>
            <w:pPr>
              <w:spacing w:after="0"/>
            </w:pPr>
            <w:r/>
            <w:r>
              <w:rPr>
                <w:b w:val="0"/>
                <w:color w:val="000000"/>
                <w:sz w:val="17"/>
              </w:rPr>
              <w:t>Artificial design-pattern use</w:t>
            </w:r>
          </w:p>
        </w:tc>
        <w:tc>
          <w:tcPr>
            <w:tcW w:type="dxa" w:w="2448"/>
            <w:vAlign w:val="center"/>
          </w:tcPr>
          <w:p>
            <w:pPr>
              <w:spacing w:after="0"/>
            </w:pPr>
            <w:r/>
            <w:r>
              <w:rPr>
                <w:b w:val="0"/>
                <w:color w:val="000000"/>
                <w:sz w:val="17"/>
              </w:rPr>
              <w:t>Unnecessary complexity</w:t>
            </w:r>
          </w:p>
        </w:tc>
        <w:tc>
          <w:tcPr>
            <w:tcW w:type="dxa" w:w="5616"/>
            <w:vAlign w:val="center"/>
          </w:tcPr>
          <w:p>
            <w:pPr>
              <w:spacing w:after="0"/>
            </w:pPr>
            <w:r/>
            <w:r>
              <w:rPr>
                <w:b w:val="0"/>
                <w:color w:val="000000"/>
                <w:sz w:val="17"/>
              </w:rPr>
              <w:t>Preserve patterns only where they support the documented architecture and requirements.</w:t>
            </w:r>
          </w:p>
        </w:tc>
      </w:tr>
    </w:tbl>
    <w:p>
      <w:pPr>
        <w:spacing w:after="40"/>
      </w:pPr>
    </w:p>
    <w:p>
      <w:pPr>
        <w:pStyle w:val="Heading1"/>
        <w:spacing w:before="180" w:after="80"/>
      </w:pPr>
      <w:r>
        <w:t>15. RFP Terms &amp; Submission Notes</w:t>
      </w:r>
    </w:p>
    <w:p>
      <w:pPr>
        <w:pStyle w:val="ListBullet"/>
        <w:spacing w:after="40"/>
        <w:ind w:left="360"/>
      </w:pPr>
      <w:r>
        <w:rPr>
          <w:sz w:val="20"/>
        </w:rPr>
        <w:t>This RFP describes an intended scope and planning estimate; it is not itself a purchase order or guarantee of a minimum spend.</w:t>
      </w:r>
    </w:p>
    <w:p>
      <w:pPr>
        <w:pStyle w:val="ListBullet"/>
        <w:spacing w:after="40"/>
        <w:ind w:left="360"/>
      </w:pPr>
      <w:r>
        <w:rPr>
          <w:sz w:val="20"/>
        </w:rPr>
        <w:t>Respondents shall identify all material assumptions, exclusions, dependencies, and proposed substitutions.</w:t>
      </w:r>
    </w:p>
    <w:p>
      <w:pPr>
        <w:pStyle w:val="ListBullet"/>
        <w:spacing w:after="40"/>
        <w:ind w:left="360"/>
      </w:pPr>
      <w:r>
        <w:rPr>
          <w:sz w:val="20"/>
        </w:rPr>
        <w:t>The issuing team may request clarification, demonstrations, or revised pricing before selection.</w:t>
      </w:r>
    </w:p>
    <w:p>
      <w:pPr>
        <w:pStyle w:val="ListBullet"/>
        <w:spacing w:after="40"/>
        <w:ind w:left="360"/>
      </w:pPr>
      <w:r>
        <w:rPr>
          <w:sz w:val="20"/>
        </w:rPr>
        <w:t>The selected respondent shall not materially alter the documented public interfaces or system boundary without written approval from the issuing team.</w:t>
      </w:r>
    </w:p>
    <w:p>
      <w:pPr>
        <w:pStyle w:val="ListBullet"/>
        <w:spacing w:after="40"/>
        <w:ind w:left="360"/>
      </w:pPr>
      <w:r>
        <w:rPr>
          <w:sz w:val="20"/>
        </w:rPr>
        <w:t>All final source code, build instructions, test evidence, and project documentation required for operation and maintenance shall be included in the agreed handoff unless otherwise negotiated.</w:t>
      </w:r>
    </w:p>
    <w:p>
      <w:pPr>
        <w:pStyle w:val="Heading1"/>
        <w:spacing w:before="180" w:after="80"/>
      </w:pPr>
      <w:r>
        <w:t>16. Source Basis for This RFP</w:t>
      </w:r>
    </w:p>
    <w:p>
      <w:pPr>
        <w:spacing w:after="100" w:line="250" w:lineRule="auto"/>
      </w:pPr>
      <w:r>
        <w:rPr>
          <w:sz w:val="20"/>
        </w:rPr>
        <w:t>This RFP was prepared from the project materials supplied with the request. The source documents define the feature scope, public interfaces, use cases, architecture, testing requirements, schedules, risks, and completion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032"/>
            <w:vAlign w:val="center"/>
            <w:shd w:fill="1F4E78"/>
          </w:tcPr>
          <w:p>
            <w:pPr>
              <w:spacing w:after="0"/>
            </w:pPr>
            <w:r/>
            <w:r>
              <w:rPr>
                <w:b/>
                <w:color w:val="FFFFFF"/>
                <w:sz w:val="17"/>
              </w:rPr>
              <w:t>Source</w:t>
            </w:r>
          </w:p>
        </w:tc>
        <w:tc>
          <w:tcPr>
            <w:tcW w:type="dxa" w:w="6912"/>
            <w:vAlign w:val="center"/>
            <w:shd w:fill="1F4E78"/>
          </w:tcPr>
          <w:p>
            <w:pPr>
              <w:spacing w:after="0"/>
            </w:pPr>
            <w:r/>
            <w:r>
              <w:rPr>
                <w:b/>
                <w:color w:val="FFFFFF"/>
                <w:sz w:val="17"/>
              </w:rPr>
              <w:t>Role in this RFP</w:t>
            </w:r>
          </w:p>
        </w:tc>
      </w:tr>
      <w:tr>
        <w:tc>
          <w:tcPr>
            <w:tcW w:type="dxa" w:w="4032"/>
            <w:vAlign w:val="center"/>
          </w:tcPr>
          <w:p>
            <w:pPr>
              <w:spacing w:after="0"/>
            </w:pPr>
            <w:r/>
            <w:r>
              <w:rPr>
                <w:b w:val="0"/>
                <w:color w:val="000000"/>
                <w:sz w:val="17"/>
              </w:rPr>
              <w:t>Escape the 90s — CS3383 Project Plan</w:t>
            </w:r>
          </w:p>
        </w:tc>
        <w:tc>
          <w:tcPr>
            <w:tcW w:type="dxa" w:w="6912"/>
            <w:vAlign w:val="center"/>
          </w:tcPr>
          <w:p>
            <w:pPr>
              <w:spacing w:after="0"/>
            </w:pPr>
            <w:r/>
            <w:r>
              <w:rPr>
                <w:b w:val="0"/>
                <w:color w:val="000000"/>
                <w:sz w:val="17"/>
              </w:rPr>
              <w:t>Whole-project scope, six feature assignments, system architecture, project risks, effort baseline, and initial schedule.</w:t>
            </w:r>
          </w:p>
        </w:tc>
      </w:tr>
      <w:tr>
        <w:tc>
          <w:tcPr>
            <w:tcW w:type="dxa" w:w="4032"/>
            <w:vAlign w:val="center"/>
          </w:tcPr>
          <w:p>
            <w:pPr>
              <w:spacing w:after="0"/>
            </w:pPr>
            <w:r/>
            <w:r>
              <w:rPr>
                <w:b w:val="0"/>
                <w:color w:val="000000"/>
                <w:sz w:val="17"/>
              </w:rPr>
              <w:t>TL1 Champion — UI/HUD, Game State &amp; Menu System</w:t>
            </w:r>
          </w:p>
        </w:tc>
        <w:tc>
          <w:tcPr>
            <w:tcW w:type="dxa" w:w="6912"/>
            <w:vAlign w:val="center"/>
          </w:tcPr>
          <w:p>
            <w:pPr>
              <w:spacing w:after="0"/>
            </w:pPr>
            <w:r/>
            <w:r>
              <w:rPr>
                <w:b w:val="0"/>
                <w:color w:val="000000"/>
                <w:sz w:val="17"/>
              </w:rPr>
              <w:t>Detailed game shell, state transitions, HUD contracts, use cases, testing, and completion behavior.</w:t>
            </w:r>
          </w:p>
        </w:tc>
      </w:tr>
      <w:tr>
        <w:tc>
          <w:tcPr>
            <w:tcW w:type="dxa" w:w="4032"/>
            <w:vAlign w:val="center"/>
          </w:tcPr>
          <w:p>
            <w:pPr>
              <w:spacing w:after="0"/>
            </w:pPr>
            <w:r/>
            <w:r>
              <w:rPr>
                <w:b w:val="0"/>
                <w:color w:val="000000"/>
                <w:sz w:val="17"/>
              </w:rPr>
              <w:t>TL4 Champion — Enemy / Hazard &amp; Combat System</w:t>
            </w:r>
          </w:p>
        </w:tc>
        <w:tc>
          <w:tcPr>
            <w:tcW w:type="dxa" w:w="6912"/>
            <w:vAlign w:val="center"/>
          </w:tcPr>
          <w:p>
            <w:pPr>
              <w:spacing w:after="0"/>
            </w:pPr>
            <w:r/>
            <w:r>
              <w:rPr>
                <w:b w:val="0"/>
                <w:color w:val="000000"/>
                <w:sz w:val="17"/>
              </w:rPr>
              <w:t>Detailed enemy spawning, combat behavior, interfaces, dynamic binding, testing, and timing.</w:t>
            </w:r>
          </w:p>
        </w:tc>
      </w:tr>
      <w:tr>
        <w:tc>
          <w:tcPr>
            <w:tcW w:type="dxa" w:w="4032"/>
            <w:vAlign w:val="center"/>
          </w:tcPr>
          <w:p>
            <w:pPr>
              <w:spacing w:after="0"/>
            </w:pPr>
            <w:r/>
            <w:r>
              <w:rPr>
                <w:b w:val="0"/>
                <w:color w:val="000000"/>
                <w:sz w:val="17"/>
              </w:rPr>
              <w:t>TL5 Champion — Meta Progression &amp; Persistent Upgrade System</w:t>
            </w:r>
          </w:p>
        </w:tc>
        <w:tc>
          <w:tcPr>
            <w:tcW w:type="dxa" w:w="6912"/>
            <w:vAlign w:val="center"/>
          </w:tcPr>
          <w:p>
            <w:pPr>
              <w:spacing w:after="0"/>
            </w:pPr>
            <w:r/>
            <w:r>
              <w:rPr>
                <w:b w:val="0"/>
                <w:color w:val="000000"/>
                <w:sz w:val="17"/>
              </w:rPr>
              <w:t>Detailed currency, upgrades, persistence, starting bonuses, interface contracts, testing, completion criteria, and planning effort.</w:t>
            </w:r>
          </w:p>
        </w:tc>
      </w:tr>
    </w:tbl>
    <w:p>
      <w:pPr>
        <w:spacing w:after="40"/>
      </w:pPr>
    </w:p>
    <w:p>
      <w:pPr>
        <w:pStyle w:val="Heading1"/>
        <w:spacing w:before="180" w:after="80"/>
      </w:pPr>
      <w:r>
        <w:t>Appendix A - Core Feature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vAlign w:val="center"/>
            <w:shd w:fill="1F4E78"/>
          </w:tcPr>
          <w:p>
            <w:pPr>
              <w:spacing w:after="0"/>
            </w:pPr>
            <w:r/>
            <w:r>
              <w:rPr>
                <w:b/>
                <w:color w:val="FFFFFF"/>
                <w:sz w:val="17"/>
              </w:rPr>
              <w:t>Feature</w:t>
            </w:r>
          </w:p>
        </w:tc>
        <w:tc>
          <w:tcPr>
            <w:tcW w:type="dxa" w:w="2448"/>
            <w:vAlign w:val="center"/>
            <w:shd w:fill="1F4E78"/>
          </w:tcPr>
          <w:p>
            <w:pPr>
              <w:spacing w:after="0"/>
            </w:pPr>
            <w:r/>
            <w:r>
              <w:rPr>
                <w:b/>
                <w:color w:val="FFFFFF"/>
                <w:sz w:val="17"/>
              </w:rPr>
              <w:t>Owner</w:t>
            </w:r>
          </w:p>
        </w:tc>
        <w:tc>
          <w:tcPr>
            <w:tcW w:type="dxa" w:w="3816"/>
            <w:vAlign w:val="center"/>
            <w:shd w:fill="1F4E78"/>
          </w:tcPr>
          <w:p>
            <w:pPr>
              <w:spacing w:after="0"/>
            </w:pPr>
            <w:r/>
            <w:r>
              <w:rPr>
                <w:b/>
                <w:color w:val="FFFFFF"/>
                <w:sz w:val="17"/>
              </w:rPr>
              <w:t>Primary responsibility</w:t>
            </w:r>
          </w:p>
        </w:tc>
        <w:tc>
          <w:tcPr>
            <w:tcW w:type="dxa" w:w="3888"/>
            <w:vAlign w:val="center"/>
            <w:shd w:fill="1F4E78"/>
          </w:tcPr>
          <w:p>
            <w:pPr>
              <w:spacing w:after="0"/>
            </w:pPr>
            <w:r/>
            <w:r>
              <w:rPr>
                <w:b/>
                <w:color w:val="FFFFFF"/>
                <w:sz w:val="17"/>
              </w:rPr>
              <w:t>Key completion expectation</w:t>
            </w:r>
          </w:p>
        </w:tc>
      </w:tr>
      <w:tr>
        <w:tc>
          <w:tcPr>
            <w:tcW w:type="dxa" w:w="792"/>
            <w:vAlign w:val="center"/>
          </w:tcPr>
          <w:p>
            <w:pPr>
              <w:spacing w:after="0"/>
            </w:pPr>
            <w:r/>
            <w:r>
              <w:rPr>
                <w:b w:val="0"/>
                <w:color w:val="000000"/>
                <w:sz w:val="17"/>
              </w:rPr>
              <w:t>TL1</w:t>
            </w:r>
          </w:p>
        </w:tc>
        <w:tc>
          <w:tcPr>
            <w:tcW w:type="dxa" w:w="2448"/>
            <w:vAlign w:val="center"/>
          </w:tcPr>
          <w:p>
            <w:pPr>
              <w:spacing w:after="0"/>
            </w:pPr>
            <w:r/>
            <w:r>
              <w:rPr>
                <w:b w:val="0"/>
                <w:color w:val="000000"/>
                <w:sz w:val="17"/>
              </w:rPr>
              <w:t>UI/HUD, Game State &amp; Menu</w:t>
            </w:r>
          </w:p>
        </w:tc>
        <w:tc>
          <w:tcPr>
            <w:tcW w:type="dxa" w:w="3816"/>
            <w:vAlign w:val="center"/>
          </w:tcPr>
          <w:p>
            <w:pPr>
              <w:spacing w:after="0"/>
            </w:pPr>
            <w:r/>
            <w:r>
              <w:rPr>
                <w:b w:val="0"/>
                <w:color w:val="000000"/>
                <w:sz w:val="17"/>
              </w:rPr>
              <w:t>Game shell, HUD, menu, pause, game-over, restart</w:t>
            </w:r>
          </w:p>
        </w:tc>
        <w:tc>
          <w:tcPr>
            <w:tcW w:type="dxa" w:w="3888"/>
            <w:vAlign w:val="center"/>
          </w:tcPr>
          <w:p>
            <w:pPr>
              <w:spacing w:after="0"/>
            </w:pPr>
            <w:r/>
            <w:r>
              <w:rPr>
                <w:b w:val="0"/>
                <w:color w:val="000000"/>
                <w:sz w:val="17"/>
              </w:rPr>
              <w:t>HUD works; legal state transitions work; restart returns to clean Playing state.</w:t>
            </w:r>
          </w:p>
        </w:tc>
      </w:tr>
      <w:tr>
        <w:tc>
          <w:tcPr>
            <w:tcW w:type="dxa" w:w="792"/>
            <w:vAlign w:val="center"/>
          </w:tcPr>
          <w:p>
            <w:pPr>
              <w:spacing w:after="0"/>
            </w:pPr>
            <w:r/>
            <w:r>
              <w:rPr>
                <w:b w:val="0"/>
                <w:color w:val="000000"/>
                <w:sz w:val="17"/>
              </w:rPr>
              <w:t>TL2</w:t>
            </w:r>
          </w:p>
        </w:tc>
        <w:tc>
          <w:tcPr>
            <w:tcW w:type="dxa" w:w="2448"/>
            <w:vAlign w:val="center"/>
          </w:tcPr>
          <w:p>
            <w:pPr>
              <w:spacing w:after="0"/>
            </w:pPr>
            <w:r/>
            <w:r>
              <w:rPr>
                <w:b w:val="0"/>
                <w:color w:val="000000"/>
                <w:sz w:val="17"/>
              </w:rPr>
              <w:t>Procedural Level &amp; Obstacle Generation</w:t>
            </w:r>
          </w:p>
        </w:tc>
        <w:tc>
          <w:tcPr>
            <w:tcW w:type="dxa" w:w="3816"/>
            <w:vAlign w:val="center"/>
          </w:tcPr>
          <w:p>
            <w:pPr>
              <w:spacing w:after="0"/>
            </w:pPr>
            <w:r/>
            <w:r>
              <w:rPr>
                <w:b w:val="0"/>
                <w:color w:val="000000"/>
                <w:sz w:val="17"/>
              </w:rPr>
              <w:t>Endless chunks, pooling, obstacles, difficulty scaling</w:t>
            </w:r>
          </w:p>
        </w:tc>
        <w:tc>
          <w:tcPr>
            <w:tcW w:type="dxa" w:w="3888"/>
            <w:vAlign w:val="center"/>
          </w:tcPr>
          <w:p>
            <w:pPr>
              <w:spacing w:after="0"/>
            </w:pPr>
            <w:r/>
            <w:r>
              <w:rPr>
                <w:b w:val="0"/>
                <w:color w:val="000000"/>
                <w:sz w:val="17"/>
              </w:rPr>
              <w:t>Level generates indefinitely without visible seams/repeats and scales difficulty.</w:t>
            </w:r>
          </w:p>
        </w:tc>
      </w:tr>
      <w:tr>
        <w:tc>
          <w:tcPr>
            <w:tcW w:type="dxa" w:w="792"/>
            <w:vAlign w:val="center"/>
          </w:tcPr>
          <w:p>
            <w:pPr>
              <w:spacing w:after="0"/>
            </w:pPr>
            <w:r/>
            <w:r>
              <w:rPr>
                <w:b w:val="0"/>
                <w:color w:val="000000"/>
                <w:sz w:val="17"/>
              </w:rPr>
              <w:t>TL3</w:t>
            </w:r>
          </w:p>
        </w:tc>
        <w:tc>
          <w:tcPr>
            <w:tcW w:type="dxa" w:w="2448"/>
            <w:vAlign w:val="center"/>
          </w:tcPr>
          <w:p>
            <w:pPr>
              <w:spacing w:after="0"/>
            </w:pPr>
            <w:r/>
            <w:r>
              <w:rPr>
                <w:b w:val="0"/>
                <w:color w:val="000000"/>
                <w:sz w:val="17"/>
              </w:rPr>
              <w:t>Power-Up &amp; Ability System</w:t>
            </w:r>
          </w:p>
        </w:tc>
        <w:tc>
          <w:tcPr>
            <w:tcW w:type="dxa" w:w="3816"/>
            <w:vAlign w:val="center"/>
          </w:tcPr>
          <w:p>
            <w:pPr>
              <w:spacing w:after="0"/>
            </w:pPr>
            <w:r/>
            <w:r>
              <w:rPr>
                <w:b w:val="0"/>
                <w:color w:val="000000"/>
                <w:sz w:val="17"/>
              </w:rPr>
              <w:t>Pickups, temporary/permanent effects, duration/stacking</w:t>
            </w:r>
          </w:p>
        </w:tc>
        <w:tc>
          <w:tcPr>
            <w:tcW w:type="dxa" w:w="3888"/>
            <w:vAlign w:val="center"/>
          </w:tcPr>
          <w:p>
            <w:pPr>
              <w:spacing w:after="0"/>
            </w:pPr>
            <w:r/>
            <w:r>
              <w:rPr>
                <w:b w:val="0"/>
                <w:color w:val="000000"/>
                <w:sz w:val="17"/>
              </w:rPr>
              <w:t>At least 3 distinct power-ups function correctly, including stacking behavior.</w:t>
            </w:r>
          </w:p>
        </w:tc>
      </w:tr>
      <w:tr>
        <w:tc>
          <w:tcPr>
            <w:tcW w:type="dxa" w:w="792"/>
            <w:vAlign w:val="center"/>
          </w:tcPr>
          <w:p>
            <w:pPr>
              <w:spacing w:after="0"/>
            </w:pPr>
            <w:r/>
            <w:r>
              <w:rPr>
                <w:b w:val="0"/>
                <w:color w:val="000000"/>
                <w:sz w:val="17"/>
              </w:rPr>
              <w:t>TL4</w:t>
            </w:r>
          </w:p>
        </w:tc>
        <w:tc>
          <w:tcPr>
            <w:tcW w:type="dxa" w:w="2448"/>
            <w:vAlign w:val="center"/>
          </w:tcPr>
          <w:p>
            <w:pPr>
              <w:spacing w:after="0"/>
            </w:pPr>
            <w:r/>
            <w:r>
              <w:rPr>
                <w:b w:val="0"/>
                <w:color w:val="000000"/>
                <w:sz w:val="17"/>
              </w:rPr>
              <w:t>Enemy/Hazard &amp; Combat</w:t>
            </w:r>
          </w:p>
        </w:tc>
        <w:tc>
          <w:tcPr>
            <w:tcW w:type="dxa" w:w="3816"/>
            <w:vAlign w:val="center"/>
          </w:tcPr>
          <w:p>
            <w:pPr>
              <w:spacing w:after="0"/>
            </w:pPr>
            <w:r/>
            <w:r>
              <w:rPr>
                <w:b w:val="0"/>
                <w:color w:val="000000"/>
                <w:sz w:val="17"/>
              </w:rPr>
              <w:t>Threat spawning, movement/attack, collision damage, defeat</w:t>
            </w:r>
          </w:p>
        </w:tc>
        <w:tc>
          <w:tcPr>
            <w:tcW w:type="dxa" w:w="3888"/>
            <w:vAlign w:val="center"/>
          </w:tcPr>
          <w:p>
            <w:pPr>
              <w:spacing w:after="0"/>
            </w:pPr>
            <w:r/>
            <w:r>
              <w:rPr>
                <w:b w:val="0"/>
                <w:color w:val="000000"/>
                <w:sz w:val="17"/>
              </w:rPr>
              <w:t>At least 2 active enemy/hazard types damage player and scale with difficulty.</w:t>
            </w:r>
          </w:p>
        </w:tc>
      </w:tr>
      <w:tr>
        <w:tc>
          <w:tcPr>
            <w:tcW w:type="dxa" w:w="792"/>
            <w:vAlign w:val="center"/>
          </w:tcPr>
          <w:p>
            <w:pPr>
              <w:spacing w:after="0"/>
            </w:pPr>
            <w:r/>
            <w:r>
              <w:rPr>
                <w:b w:val="0"/>
                <w:color w:val="000000"/>
                <w:sz w:val="17"/>
              </w:rPr>
              <w:t>TL5</w:t>
            </w:r>
          </w:p>
        </w:tc>
        <w:tc>
          <w:tcPr>
            <w:tcW w:type="dxa" w:w="2448"/>
            <w:vAlign w:val="center"/>
          </w:tcPr>
          <w:p>
            <w:pPr>
              <w:spacing w:after="0"/>
            </w:pPr>
            <w:r/>
            <w:r>
              <w:rPr>
                <w:b w:val="0"/>
                <w:color w:val="000000"/>
                <w:sz w:val="17"/>
              </w:rPr>
              <w:t>Meta Progression &amp; Persistent Upgrades</w:t>
            </w:r>
          </w:p>
        </w:tc>
        <w:tc>
          <w:tcPr>
            <w:tcW w:type="dxa" w:w="3816"/>
            <w:vAlign w:val="center"/>
          </w:tcPr>
          <w:p>
            <w:pPr>
              <w:spacing w:after="0"/>
            </w:pPr>
            <w:r/>
            <w:r>
              <w:rPr>
                <w:b w:val="0"/>
                <w:color w:val="000000"/>
                <w:sz w:val="17"/>
              </w:rPr>
              <w:t>Currency, save/load, upgrade shop, starting bonuses</w:t>
            </w:r>
          </w:p>
        </w:tc>
        <w:tc>
          <w:tcPr>
            <w:tcW w:type="dxa" w:w="3888"/>
            <w:vAlign w:val="center"/>
          </w:tcPr>
          <w:p>
            <w:pPr>
              <w:spacing w:after="0"/>
            </w:pPr>
            <w:r/>
            <w:r>
              <w:rPr>
                <w:b w:val="0"/>
                <w:color w:val="000000"/>
                <w:sz w:val="17"/>
              </w:rPr>
              <w:t>Currency persists; at least 3 upgrades are purchasable and applied at run start.</w:t>
            </w:r>
          </w:p>
        </w:tc>
      </w:tr>
      <w:tr>
        <w:tc>
          <w:tcPr>
            <w:tcW w:type="dxa" w:w="792"/>
            <w:vAlign w:val="center"/>
          </w:tcPr>
          <w:p>
            <w:pPr>
              <w:spacing w:after="0"/>
            </w:pPr>
            <w:r/>
            <w:r>
              <w:rPr>
                <w:b w:val="0"/>
                <w:color w:val="000000"/>
                <w:sz w:val="17"/>
              </w:rPr>
              <w:t>TL6</w:t>
            </w:r>
          </w:p>
        </w:tc>
        <w:tc>
          <w:tcPr>
            <w:tcW w:type="dxa" w:w="2448"/>
            <w:vAlign w:val="center"/>
          </w:tcPr>
          <w:p>
            <w:pPr>
              <w:spacing w:after="0"/>
            </w:pPr>
            <w:r/>
            <w:r>
              <w:rPr>
                <w:b w:val="0"/>
                <w:color w:val="000000"/>
                <w:sz w:val="17"/>
              </w:rPr>
              <w:t>Player Controller &amp; Side-Scrolling</w:t>
            </w:r>
          </w:p>
        </w:tc>
        <w:tc>
          <w:tcPr>
            <w:tcW w:type="dxa" w:w="3816"/>
            <w:vAlign w:val="center"/>
          </w:tcPr>
          <w:p>
            <w:pPr>
              <w:spacing w:after="0"/>
            </w:pPr>
            <w:r/>
            <w:r>
              <w:rPr>
                <w:b w:val="0"/>
                <w:color w:val="000000"/>
                <w:sz w:val="17"/>
              </w:rPr>
              <w:t>Movement, camera, health, death</w:t>
            </w:r>
          </w:p>
        </w:tc>
        <w:tc>
          <w:tcPr>
            <w:tcW w:type="dxa" w:w="3888"/>
            <w:vAlign w:val="center"/>
          </w:tcPr>
          <w:p>
            <w:pPr>
              <w:spacing w:after="0"/>
            </w:pPr>
            <w:r/>
            <w:r>
              <w:rPr>
                <w:b w:val="0"/>
                <w:color w:val="000000"/>
                <w:sz w:val="17"/>
              </w:rPr>
              <w:t>Run/jump/dash work smoothly; death triggers correctly; camera scrolls continuously.</w:t>
            </w:r>
          </w:p>
        </w:tc>
      </w:tr>
    </w:tbl>
    <w:p>
      <w:pPr>
        <w:spacing w:after="40"/>
      </w:pPr>
    </w:p>
    <w:p>
      <w:pPr>
        <w:spacing w:after="100" w:line="250" w:lineRule="auto"/>
      </w:pPr>
      <w:r>
        <w:rPr>
          <w:sz w:val="20"/>
        </w:rPr>
        <w:t>End of RFP</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CS3383 Project Team  |  Confidential Working Draft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ESCAPE THE 90s | REQUEST FOR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