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1: Build Graph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Preconditions: Project configuration complete, must have corresponding vector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Postconditions: Graph is created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Actors: Analyst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selects graph view window.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generated graph on graph view window.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selects export graph (ALT 1, ALT 2, ALT 3, ALT 5).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options for export format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selects export option (ALT 4, ALT 5).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exports graph as selected format.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of use case.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ALT 1: Analyst modifies node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ALT1 -1: Analyst selects node.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ALT1 -2: Analyst modifies selected node.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ALT1 -3: Use case continues at step 3.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ALT 2: Analyst modifies relationship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ALT2 -1: Analyst selects relationship.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ALT2 -2: Analyst modifies selected relationship.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ALT2 -3: Use case continues at step 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 3: Analyst modifies vector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ALT3 -1: Analyst selects vector attribute.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ALT3 -2: Analyst modifies selected vector attribute.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ALT3 -3: Use case continues at step 3.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ALT 4: Analyst cancels export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ALT4 -1: Analyst selects cancel option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ALT4 -2: Use case continues at step 3.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 5: Analyst exits graph view window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ALT5 -1: Analyst exits graph view window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ALT5 -2: use case continues at step 7.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Team10 - TeamWork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Use Case Scenario Assignment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CS 4311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