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LEDs-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Fetch-decode-execute: 1 meter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Register name plates: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Red 1 meter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Blue 2 meters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Registers needed: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MDR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Changes to leds should tank place over 2 frames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Should come forward to: y -0.1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Mem integration-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Use 2 stacked 4 cluster gantrys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