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1/22/21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Should the sections on the input-output areas of the conveyors be driven as one unit using a belt or should they be individually powered by motors?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Are we concerned with the cost of the input-output areas on the conveyors*?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so do we need to take cost reduction measures?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Should the input-output unit design be standardized into individual modules so that each input output area on the conveyor is made up of 4 of the smaller units(one for each conveyor lane)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*specifically the cost will mainly com from needing lots of small components- the individual cost is only 5-10 dollars but the sheer number makes the cost go up dramatically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1/25/21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only screens in the memory?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 we care if people see the unwritten blocks and blocks returning?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do we want the ALU to be represented?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the blocks placed in the A&amp;B slots stay there like a register or should they only be there during the math operation?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the result stay in the slot or should it immediately be transferred to a register?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1/26/21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 we want LED’s around the registers?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 you want the registers to be labeled?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should the alu work?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Should there be hidden areas in the conveyor?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which parts of the conveyors should be powered by which motors?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spacing?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1/28/21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 we want the writable blocks to be different sizes than the memory blocks?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Should the writable blocks be larger*?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*New pattern is emerging-memory is massive compared to the execution area- may cause strange look-It might look better have larger writable blocks with larger registers to fill out the area more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next revision of nameplates for gnr put polycarbonate in the empty spaces so that opaque supports are not needed to support the areas in the middle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2/10/2021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Can the output of the ALU go directly to one of the general purpose registers, by passing the bus?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Is the disproportionality of the design a concern?- could decrease spacing in between screens to shorten stack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 the orientation of front to back a problem?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Does right to left matter?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